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k.htm"/>
      <w:bookmarkStart w:id="1" w:name="ksform10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50101__20"/>
      <w:bookmarkEnd w:id="2"/>
      <w:r>
        <w:rPr>
          <w:rFonts w:ascii="Times New Roman;Times;Serif" w:hAnsi="Times New Roman;Times;Serif"/>
          <w:b/>
          <w:i w:val="false"/>
          <w:caps w:val="false"/>
          <w:smallCaps w:val="false"/>
          <w:sz w:val="36"/>
        </w:rPr>
        <w:t>10-K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both"/>
        <w:rPr>
          <w:caps w:val="false"/>
          <w:smallCaps w:val="false"/>
        </w:rPr>
      </w:pPr>
      <w:bookmarkStart w:id="3" w:name="xdx_90C_edei--DocumentAnnualReport_c2025"/>
      <w:bookmarkEnd w:id="3"/>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6_edei--CurrentFiscalYearEndDate_c"/>
      <w:bookmarkStart w:id="5" w:name="xdx_90F_edei--DocumentPeriodEndDate_c202"/>
      <w:bookmarkEnd w:id="4"/>
      <w:bookmarkEnd w:id="5"/>
      <w:r>
        <w:rPr>
          <w:rFonts w:ascii="Times New Roman;Times;Serif" w:hAnsi="Times New Roman;Times;Serif"/>
          <w:b/>
          <w:i w:val="false"/>
          <w:caps w:val="false"/>
          <w:smallCaps w:val="false"/>
          <w:sz w:val="20"/>
        </w:rPr>
        <w:t xml:space="preserve">December 31, </w:t>
      </w:r>
      <w:bookmarkStart w:id="6" w:name="xdx_904_edei--DocumentFiscalYearFocus_c2"/>
      <w:bookmarkEnd w:id="6"/>
      <w:r>
        <w:rPr>
          <w:rFonts w:ascii="Times New Roman;Times;Serif" w:hAnsi="Times New Roman;Times;Serif"/>
          <w:b/>
          <w:i w:val="false"/>
          <w:caps w:val="false"/>
          <w:smallCaps w:val="false"/>
          <w:sz w:val="20"/>
        </w:rPr>
        <w:t>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7" w:name="xdx_907_edei--DocumentTransitionReport_c"/>
      <w:bookmarkEnd w:id="7"/>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8" w:name="xdx_900_edei--EntityFileNumber_c20250101"/>
      <w:bookmarkEnd w:id="8"/>
      <w:r>
        <w:rPr>
          <w:rFonts w:ascii="Times New Roman;Times;Serif" w:hAnsi="Times New Roman;Times;Serif"/>
          <w:b/>
          <w:i w:val="false"/>
          <w:caps w:val="false"/>
          <w:smallCaps w:val="false"/>
          <w:sz w:val="20"/>
        </w:rPr>
        <w:t>00-50626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9" w:name="xdx_909_edei--EntityRegistrantName_c2025"/>
      <w:bookmarkEnd w:id="9"/>
      <w:r>
        <w:rPr>
          <w:rFonts w:ascii="Times New Roman;Times;Serif" w:hAnsi="Times New Roman;Times;Serif"/>
          <w:b/>
          <w:i w:val="false"/>
          <w:caps w:val="false"/>
          <w:smallCaps w:val="false"/>
          <w:sz w:val="36"/>
        </w:rPr>
        <w:t>BIO GREEN MED SOLUTION,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560"/>
        <w:gridCol w:w="60"/>
        <w:gridCol w:w="1535"/>
      </w:tblGrid>
      <w:tr>
        <w:trPr/>
        <w:tc>
          <w:tcPr>
            <w:tcW w:w="35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8_edei--EntityIncorporationStateCo"/>
            <w:bookmarkEnd w:id="10"/>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F_edei--EntityTaxIdentificationNum"/>
            <w:bookmarkEnd w:id="11"/>
            <w:r>
              <w:rPr>
                <w:rFonts w:ascii="Times New Roman;Times;Serif" w:hAnsi="Times New Roman;Times;Serif"/>
                <w:b/>
                <w:i w:val="false"/>
                <w:caps w:val="false"/>
                <w:smallCaps w:val="false"/>
                <w:sz w:val="20"/>
              </w:rPr>
              <w:t>91-1707622</w:t>
            </w:r>
          </w:p>
        </w:tc>
      </w:tr>
      <w:tr>
        <w:trPr/>
        <w:tc>
          <w:tcPr>
            <w:tcW w:w="35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35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r>
        <w:trPr/>
        <w:tc>
          <w:tcPr>
            <w:tcW w:w="35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5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E_edei--EntityAddressAddressLine1_"/>
            <w:bookmarkEnd w:id="12"/>
            <w:r>
              <w:rPr>
                <w:rFonts w:ascii="Times New Roman;Times;Serif" w:hAnsi="Times New Roman;Times;Serif"/>
                <w:b/>
                <w:i w:val="false"/>
                <w:caps w:val="false"/>
                <w:smallCaps w:val="false"/>
                <w:sz w:val="20"/>
              </w:rPr>
              <w:t xml:space="preserve">Level 10, Tower 11, </w:t>
            </w:r>
            <w:bookmarkStart w:id="13" w:name="xdx_90E_edei--EntityAddressAddressLine2_"/>
            <w:bookmarkEnd w:id="13"/>
            <w:r>
              <w:rPr>
                <w:rFonts w:ascii="Times New Roman;Times;Serif" w:hAnsi="Times New Roman;Times;Serif"/>
                <w:b/>
                <w:i w:val="false"/>
                <w:caps w:val="false"/>
                <w:smallCaps w:val="false"/>
                <w:sz w:val="20"/>
              </w:rPr>
              <w:t>Avenue 5, No. 8</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5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4" w:name="xdx_905_edei--EntityAddressAddressLine3_"/>
            <w:bookmarkEnd w:id="14"/>
            <w:r>
              <w:rPr>
                <w:rFonts w:ascii="Times New Roman;Times;Serif" w:hAnsi="Times New Roman;Times;Serif"/>
                <w:b/>
                <w:i w:val="false"/>
                <w:caps w:val="false"/>
                <w:smallCaps w:val="false"/>
                <w:sz w:val="20"/>
              </w:rPr>
              <w:t xml:space="preserve">Jalan Kerinchi, </w:t>
            </w:r>
            <w:bookmarkStart w:id="15" w:name="xdx_90F_edei--EntityAddressCityOrTown_c2"/>
            <w:bookmarkEnd w:id="15"/>
            <w:r>
              <w:rPr>
                <w:rFonts w:ascii="Times New Roman;Times;Serif" w:hAnsi="Times New Roman;Times;Serif"/>
                <w:b/>
                <w:i w:val="false"/>
                <w:caps w:val="false"/>
                <w:smallCaps w:val="false"/>
                <w:sz w:val="20"/>
              </w:rPr>
              <w:t xml:space="preserve">Kuala Lumpur, </w:t>
            </w:r>
            <w:bookmarkStart w:id="16" w:name="xdx_908_edei--EntityAddressCountry_c2025"/>
            <w:bookmarkEnd w:id="16"/>
            <w:r>
              <w:rPr>
                <w:rFonts w:ascii="Times New Roman;Times;Serif" w:hAnsi="Times New Roman;Times;Serif"/>
                <w:b/>
                <w:i w:val="false"/>
                <w:caps w:val="false"/>
                <w:smallCaps w:val="false"/>
                <w:sz w:val="20"/>
              </w:rPr>
              <w:t>Malaysia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7" w:name="xdx_904_edei--EntityAddressPostalZipCode"/>
            <w:bookmarkEnd w:id="17"/>
            <w:r>
              <w:rPr>
                <w:rFonts w:ascii="Times New Roman;Times;Serif" w:hAnsi="Times New Roman;Times;Serif"/>
                <w:b/>
                <w:i w:val="false"/>
                <w:caps w:val="false"/>
                <w:smallCaps w:val="false"/>
                <w:sz w:val="20"/>
              </w:rPr>
              <w:t>59200</w:t>
            </w:r>
          </w:p>
        </w:tc>
      </w:tr>
      <w:tr>
        <w:trPr/>
        <w:tc>
          <w:tcPr>
            <w:tcW w:w="35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8" w:name="xdx_90F_edei--CityAreaCode_c20250101__20"/>
      <w:bookmarkEnd w:id="18"/>
      <w:r>
        <w:rPr>
          <w:rFonts w:ascii="Times New Roman;Times;Serif" w:hAnsi="Times New Roman;Times;Serif"/>
          <w:b/>
          <w:i w:val="false"/>
          <w:caps w:val="false"/>
          <w:smallCaps w:val="false"/>
          <w:sz w:val="20"/>
        </w:rPr>
        <w:t xml:space="preserve">(908) </w:t>
      </w:r>
      <w:bookmarkStart w:id="19" w:name="xdx_90F_edei--LocalPhoneNumber_c20250101"/>
      <w:bookmarkEnd w:id="19"/>
      <w:r>
        <w:rPr>
          <w:rFonts w:ascii="Times New Roman;Times;Serif" w:hAnsi="Times New Roman;Times;Serif"/>
          <w:b/>
          <w:i w:val="false"/>
          <w:caps w:val="false"/>
          <w:smallCaps w:val="false"/>
          <w:sz w:val="20"/>
        </w:rPr>
        <w:t>955-0526</w:t>
      </w:r>
    </w:p>
    <w:p>
      <w:pPr>
        <w:pStyle w:val="TextBody"/>
        <w:bidi w:val="0"/>
        <w:spacing w:before="0" w:after="0"/>
        <w:jc w:val="center"/>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 Connell Drive, Suite 1500, Berkeley Heights, New Jersey 07922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address, if changed since last report)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3515"/>
        <w:gridCol w:w="60"/>
        <w:gridCol w:w="1610"/>
        <w:gridCol w:w="60"/>
        <w:gridCol w:w="3710"/>
      </w:tblGrid>
      <w:tr>
        <w:trPr/>
        <w:tc>
          <w:tcPr>
            <w:tcW w:w="351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0" w:name="xdx_901_edei--Security12bTitle_c20250101"/>
            <w:bookmarkEnd w:id="20"/>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1" w:name="xdx_907_edei--TradingSymbol_c20250101__2"/>
            <w:bookmarkEnd w:id="21"/>
            <w:r>
              <w:rPr>
                <w:rFonts w:ascii="Times New Roman;Times;Serif" w:hAnsi="Times New Roman;Times;Serif"/>
                <w:b w:val="false"/>
                <w:i w:val="false"/>
                <w:caps w:val="false"/>
                <w:smallCaps w:val="false"/>
                <w:sz w:val="20"/>
              </w:rPr>
              <w:t>BGMS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2" w:name="xdx_908_edei--SecurityExchangeName_c2025"/>
            <w:bookmarkEnd w:id="22"/>
            <w:r>
              <w:rPr>
                <w:rFonts w:ascii="Times New Roman;Times;Serif" w:hAnsi="Times New Roman;Times;Serif"/>
                <w:b w:val="false"/>
                <w:i w:val="false"/>
                <w:caps w:val="false"/>
                <w:smallCaps w:val="false"/>
                <w:sz w:val="20"/>
              </w:rPr>
              <w:t>Nasdaq Capital Market</w:t>
            </w:r>
          </w:p>
        </w:tc>
      </w:tr>
      <w:tr>
        <w:trPr/>
        <w:tc>
          <w:tcPr>
            <w:tcW w:w="35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3" w:name="xdx_907_edei--Security12bTitle_c20250101"/>
            <w:bookmarkEnd w:id="23"/>
            <w:r>
              <w:rPr>
                <w:rFonts w:ascii="Times New Roman;Times;Serif" w:hAnsi="Times New Roman;Times;Serif"/>
                <w:b w:val="false"/>
                <w:i w:val="false"/>
                <w:caps w:val="false"/>
                <w:smallCaps w:val="false"/>
                <w:sz w:val="20"/>
              </w:rPr>
              <w:t>Preferred Stock, $0.001 par value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4" w:name="xdx_904_edei--TradingSymbol_c20250101__2"/>
            <w:bookmarkEnd w:id="24"/>
            <w:r>
              <w:rPr>
                <w:rFonts w:ascii="Times New Roman;Times;Serif" w:hAnsi="Times New Roman;Times;Serif"/>
                <w:b w:val="false"/>
                <w:i w:val="false"/>
                <w:caps w:val="false"/>
                <w:smallCaps w:val="false"/>
                <w:sz w:val="20"/>
              </w:rPr>
              <w:t>BGMSP</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5" w:name="xdx_902_edei--SecurityExchangeName_c2025"/>
            <w:bookmarkEnd w:id="25"/>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registered pursuant to section 12(g)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26" w:name="xdx_90F_edei--EntityWellKnownSeasonedIss"/>
      <w:bookmarkEnd w:id="26"/>
      <w:r>
        <w:rPr>
          <w:rFonts w:ascii="Times New Roman;Times;Serif" w:hAnsi="Times New Roman;Times;Serif"/>
          <w:b w:val="false"/>
          <w:i w:val="false"/>
          <w:caps w:val="false"/>
          <w:smallCaps w:val="false"/>
          <w:sz w:val="20"/>
        </w:rPr>
        <w:t>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Section 15(d) of the Act. Yes ☐ </w:t>
      </w:r>
      <w:bookmarkStart w:id="27" w:name="xdx_908_edei--EntityVoluntaryFilers_c202"/>
      <w:bookmarkEnd w:id="27"/>
      <w:r>
        <w:rPr>
          <w:rFonts w:ascii="Times New Roman;Times;Serif" w:hAnsi="Times New Roman;Times;Serif"/>
          <w:b w:val="false"/>
          <w:i w:val="false"/>
          <w:caps w:val="false"/>
          <w:smallCaps w:val="false"/>
          <w:sz w:val="20"/>
        </w:rPr>
        <w:t>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8" w:name="xdx_90A_edei--EntityCurrentReportingStat"/>
      <w:bookmarkEnd w:id="28"/>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9" w:name="xdx_901_edei--EntityInteractiveDataCurre"/>
      <w:bookmarkEnd w:id="29"/>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both"/>
        <w:rPr>
          <w:caps w:val="false"/>
          <w:smallCaps w:val="false"/>
        </w:rPr>
      </w:pPr>
      <w:r>
        <w:rPr>
          <w:caps w:val="false"/>
          <w:smallCaps w:val="false"/>
        </w:rPr>
        <w:t> </w:t>
      </w:r>
    </w:p>
    <w:tbl>
      <w:tblPr>
        <w:tblW w:w="5000" w:type="dxa"/>
        <w:jc w:val="left"/>
        <w:tblInd w:w="0" w:type="dxa"/>
        <w:tblLayout w:type="fixed"/>
        <w:tblCellMar>
          <w:top w:w="0" w:type="dxa"/>
          <w:left w:w="0" w:type="dxa"/>
          <w:bottom w:w="0" w:type="dxa"/>
          <w:right w:w="0" w:type="dxa"/>
        </w:tblCellMar>
      </w:tblPr>
      <w:tblGrid>
        <w:gridCol w:w="75"/>
        <w:gridCol w:w="2225"/>
        <w:gridCol w:w="230"/>
        <w:gridCol w:w="2225"/>
        <w:gridCol w:w="2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0" w:name="xdx_907_edei--EntityFilerCategory_c20250"/>
            <w:bookmarkEnd w:id="30"/>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both"/>
              <w:rPr>
                <w:caps w:val="false"/>
                <w:smallCaps w:val="false"/>
              </w:rPr>
            </w:pPr>
            <w:bookmarkStart w:id="31" w:name="xdx_90A_edei--EntitySmallBusiness_c20250"/>
            <w:bookmarkEnd w:id="31"/>
            <w:r>
              <w:rPr>
                <w:caps w:val="false"/>
                <w:smallCaps w:val="false"/>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30" w:type="dxa"/>
            <w:tcBorders/>
            <w:vAlign w:val="center"/>
          </w:tcPr>
          <w:p>
            <w:pPr>
              <w:pStyle w:val="TableContents"/>
              <w:bidi w:val="0"/>
              <w:spacing w:before="0" w:after="283"/>
              <w:jc w:val="both"/>
              <w:rPr>
                <w:caps w:val="false"/>
                <w:smallCaps w:val="false"/>
              </w:rPr>
            </w:pPr>
            <w:bookmarkStart w:id="32" w:name="xdx_90E_edei--EntityEmergingGrowthCompan"/>
            <w:bookmarkEnd w:id="32"/>
            <w:r>
              <w:rPr>
                <w:caps w:val="false"/>
                <w:smallCaps w:val="false"/>
              </w:rPr>
              <w:t>☐</w:t>
            </w:r>
          </w:p>
        </w:tc>
        <w:tc>
          <w:tcPr>
            <w:tcW w:w="222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33" w:name="xdx_904_edei--IcfrAuditorAttestationFlag"/>
      <w:bookmarkEnd w:id="33"/>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34" w:name="xdx_901_edei--DocumentFinStmtErrorCorrec"/>
      <w:bookmarkEnd w:id="34"/>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Act). ☐ Yes </w:t>
      </w:r>
      <w:bookmarkStart w:id="35" w:name="xdx_90D_edei--EntityShellCompany_dbF_c20"/>
      <w:bookmarkEnd w:id="35"/>
      <w:r>
        <w:rPr>
          <w:rFonts w:ascii="Times New Roman;Times;Serif" w:hAnsi="Times New Roman;Times;Serif"/>
          <w:b w:val="false"/>
          <w:i w:val="false"/>
          <w:caps w:val="false"/>
          <w:smallCaps w:val="false"/>
          <w:sz w:val="20"/>
        </w:rPr>
        <w:t>☒ No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registrant’s voting and non-voting common stock held by non-affiliates of the registrant (without admitting that any person whose shares are not included in such calculation is an affiliate), as of June 30, 2025 (based upon the closing sale price of $4.9543) of such shares on The NASDAQ Capital Market on June 30, 2025), the last business day of the registrant’s most recently completed second fiscal quarter, was $</w:t>
      </w:r>
      <w:bookmarkStart w:id="36" w:name="xdx_905_edei--EntityPublicFloat_iI_c2025"/>
      <w:bookmarkEnd w:id="36"/>
      <w:r>
        <w:rPr>
          <w:rFonts w:ascii="Times New Roman;Times;Serif" w:hAnsi="Times New Roman;Times;Serif"/>
          <w:b w:val="false"/>
          <w:i w:val="false"/>
          <w:caps w:val="false"/>
          <w:smallCaps w:val="false"/>
          <w:sz w:val="20"/>
        </w:rPr>
        <w:t>3,024,225.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24, 2026, there were </w:t>
      </w:r>
      <w:bookmarkStart w:id="37" w:name="xdx_905_edei--EntityCommonStockSharesOut"/>
      <w:bookmarkEnd w:id="37"/>
      <w:r>
        <w:rPr>
          <w:rFonts w:ascii="Times New Roman;Times;Serif" w:hAnsi="Times New Roman;Times;Serif"/>
          <w:b w:val="false"/>
          <w:i w:val="false"/>
          <w:caps w:val="false"/>
          <w:smallCaps w:val="false"/>
          <w:sz w:val="20"/>
        </w:rPr>
        <w:t>5,519,456 shares of the registrant’s common stock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8" w:name="xdx_902_edei--DocumentsIncorporatedByRef"/>
      <w:bookmarkEnd w:id="38"/>
      <w:r>
        <w:rPr>
          <w:rFonts w:ascii="Times New Roman;Times;Serif" w:hAnsi="Times New Roman;Times;Serif"/>
          <w:b w:val="false"/>
          <w:i w:val="false"/>
          <w:caps w:val="false"/>
          <w:smallCaps w:val="false"/>
          <w:sz w:val="20"/>
        </w:rPr>
        <w:t>The following document (or parts thereof) are incorporated by reference into the following parts of this Form 10-K: Certain information required in Part III of this Annual Report on Form 10-K is incorporated from the registrant’s definitive proxy statement for the 2026 annual meeting of stockholders to be filed pursuant to Regulation 14A with the Securities and Exchange Commission within 120 days of the registrant’s fiscal year ended December 31, 2025. Except with respect to information specifically incorporated by reference in this Form 10-K, the Definitive Proxy Statement is not deemed to be filed as part of this Form 10-K.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8" w:space="1" w:color="000000"/>
        </w:rPr>
      </w:pPr>
      <w:r>
        <w:rPr>
          <w:bdr w:val="single" w:sz="8" w:space="1" w:color="000000"/>
        </w:rPr>
        <w:t> </w:t>
      </w:r>
    </w:p>
    <w:p>
      <w:pPr>
        <w:pStyle w:val="TextBody"/>
        <w:bidi w:val="0"/>
        <w:spacing w:before="0" w:after="0"/>
        <w:ind w:left="0" w:right="0" w:firstLine="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9" w:name="toc_001"/>
      <w:bookmarkEnd w:id="39"/>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3"/>
        <w:gridCol w:w="9026"/>
        <w:gridCol w:w="456"/>
      </w:tblGrid>
      <w:tr>
        <w:trPr/>
        <w:tc>
          <w:tcPr>
            <w:tcW w:w="723" w:type="dxa"/>
            <w:tcBorders/>
            <w:vAlign w:val="center"/>
          </w:tcPr>
          <w:p>
            <w:pPr>
              <w:pStyle w:val="TableContents"/>
              <w:bidi w:val="0"/>
              <w:spacing w:before="0" w:after="283"/>
              <w:jc w:val="both"/>
              <w:rPr>
                <w:caps w:val="false"/>
                <w:smallCaps w:val="false"/>
              </w:rPr>
            </w:pPr>
            <w:r>
              <w:rPr>
                <w:caps w:val="false"/>
                <w:smallCaps w:val="false"/>
              </w:rPr>
              <w:t> </w:t>
            </w:r>
          </w:p>
        </w:tc>
        <w:tc>
          <w:tcPr>
            <w:tcW w:w="9026"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723"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026" w:type="dxa"/>
            <w:tcBorders/>
            <w:shd w:fill="CCEEFF" w:val="clear"/>
            <w:vAlign w:val="center"/>
          </w:tcPr>
          <w:p>
            <w:pPr>
              <w:pStyle w:val="TableContents"/>
              <w:bidi w:val="0"/>
              <w:spacing w:before="0" w:after="283"/>
              <w:jc w:val="left"/>
              <w:rPr/>
            </w:pPr>
            <w:hyperlink w:anchor="sh_001">
              <w:r>
                <w:rPr>
                  <w:rStyle w:val="InternetLink"/>
                  <w:rFonts w:ascii="Times New Roman;Times;Serif" w:hAnsi="Times New Roman;Times;Serif"/>
                  <w:b/>
                  <w:i w:val="false"/>
                  <w:caps w:val="false"/>
                  <w:smallCaps w:val="false"/>
                  <w:sz w:val="20"/>
                </w:rPr>
                <w:t>PART I</w:t>
              </w:r>
            </w:hyperlink>
          </w:p>
        </w:tc>
        <w:tc>
          <w:tcPr>
            <w:tcW w:w="45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026" w:type="dxa"/>
            <w:tcBorders/>
            <w:shd w:fill="CCEEFF" w:val="clear"/>
            <w:vAlign w:val="center"/>
          </w:tcPr>
          <w:p>
            <w:pPr>
              <w:pStyle w:val="TableContents"/>
              <w:bidi w:val="0"/>
              <w:spacing w:before="0" w:after="283"/>
              <w:jc w:val="left"/>
              <w:rPr/>
            </w:pPr>
            <w:hyperlink w:anchor="sh_002">
              <w:r>
                <w:rPr>
                  <w:rStyle w:val="InternetLink"/>
                  <w:rFonts w:ascii="Times New Roman;Times;Serif" w:hAnsi="Times New Roman;Times;Serif"/>
                  <w:b w:val="false"/>
                  <w:i w:val="false"/>
                  <w:caps w:val="false"/>
                  <w:smallCaps w:val="false"/>
                  <w:sz w:val="20"/>
                </w:rPr>
                <w:t>Business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2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9026" w:type="dxa"/>
            <w:tcBorders/>
            <w:shd w:fill="FFFFFF" w:val="clear"/>
            <w:vAlign w:val="center"/>
          </w:tcPr>
          <w:p>
            <w:pPr>
              <w:pStyle w:val="TableContents"/>
              <w:bidi w:val="0"/>
              <w:spacing w:before="0" w:after="283"/>
              <w:jc w:val="left"/>
              <w:rPr/>
            </w:pPr>
            <w:hyperlink w:anchor="sh_003">
              <w:r>
                <w:rPr>
                  <w:rStyle w:val="InternetLink"/>
                  <w:rFonts w:ascii="Times New Roman;Times;Serif" w:hAnsi="Times New Roman;Times;Serif"/>
                  <w:b w:val="false"/>
                  <w:i w:val="false"/>
                  <w:caps w:val="false"/>
                  <w:smallCaps w:val="false"/>
                  <w:sz w:val="20"/>
                </w:rPr>
                <w:t>Risk Factors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1B.</w:t>
            </w:r>
          </w:p>
        </w:tc>
        <w:tc>
          <w:tcPr>
            <w:tcW w:w="9026" w:type="dxa"/>
            <w:tcBorders/>
            <w:shd w:fill="CCEEFF" w:val="clear"/>
            <w:vAlign w:val="center"/>
          </w:tcPr>
          <w:p>
            <w:pPr>
              <w:pStyle w:val="TableContents"/>
              <w:bidi w:val="0"/>
              <w:spacing w:before="0" w:after="283"/>
              <w:jc w:val="left"/>
              <w:rPr/>
            </w:pPr>
            <w:hyperlink w:anchor="sp_008">
              <w:r>
                <w:rPr>
                  <w:rStyle w:val="InternetLink"/>
                  <w:rFonts w:ascii="Times New Roman;Times;Serif" w:hAnsi="Times New Roman;Times;Serif"/>
                  <w:b w:val="false"/>
                  <w:i w:val="false"/>
                  <w:caps w:val="false"/>
                  <w:smallCaps w:val="false"/>
                  <w:sz w:val="20"/>
                </w:rPr>
                <w:t>Unresolved Staff Comments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2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1C.</w:t>
            </w:r>
          </w:p>
        </w:tc>
        <w:tc>
          <w:tcPr>
            <w:tcW w:w="9026" w:type="dxa"/>
            <w:tcBorders/>
            <w:shd w:fill="FFFFFF" w:val="clear"/>
            <w:vAlign w:val="center"/>
          </w:tcPr>
          <w:p>
            <w:pPr>
              <w:pStyle w:val="TableContents"/>
              <w:bidi w:val="0"/>
              <w:spacing w:before="0" w:after="283"/>
              <w:jc w:val="left"/>
              <w:rPr/>
            </w:pPr>
            <w:hyperlink w:anchor="sp_009">
              <w:r>
                <w:rPr>
                  <w:rStyle w:val="InternetLink"/>
                  <w:rFonts w:ascii="Times New Roman;Times;Serif" w:hAnsi="Times New Roman;Times;Serif"/>
                  <w:b w:val="false"/>
                  <w:i w:val="false"/>
                  <w:caps w:val="false"/>
                  <w:smallCaps w:val="false"/>
                  <w:sz w:val="20"/>
                </w:rPr>
                <w:t>Cybersecurity</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026" w:type="dxa"/>
            <w:tcBorders/>
            <w:shd w:fill="CCEEFF" w:val="clear"/>
            <w:vAlign w:val="center"/>
          </w:tcPr>
          <w:p>
            <w:pPr>
              <w:pStyle w:val="TableContents"/>
              <w:bidi w:val="0"/>
              <w:spacing w:before="0" w:after="283"/>
              <w:jc w:val="left"/>
              <w:rPr/>
            </w:pPr>
            <w:hyperlink w:anchor="sp_010">
              <w:r>
                <w:rPr>
                  <w:rStyle w:val="InternetLink"/>
                  <w:rFonts w:ascii="Times New Roman;Times;Serif" w:hAnsi="Times New Roman;Times;Serif"/>
                  <w:b w:val="false"/>
                  <w:i w:val="false"/>
                  <w:caps w:val="false"/>
                  <w:smallCaps w:val="false"/>
                  <w:sz w:val="20"/>
                </w:rPr>
                <w:t>Properties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2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026" w:type="dxa"/>
            <w:tcBorders/>
            <w:shd w:fill="FFFFFF" w:val="clear"/>
            <w:vAlign w:val="center"/>
          </w:tcPr>
          <w:p>
            <w:pPr>
              <w:pStyle w:val="TableContents"/>
              <w:bidi w:val="0"/>
              <w:spacing w:before="0" w:after="283"/>
              <w:jc w:val="left"/>
              <w:rPr/>
            </w:pPr>
            <w:hyperlink w:anchor="sp_011">
              <w:r>
                <w:rPr>
                  <w:rStyle w:val="InternetLink"/>
                  <w:rFonts w:ascii="Times New Roman;Times;Serif" w:hAnsi="Times New Roman;Times;Serif"/>
                  <w:b w:val="false"/>
                  <w:i w:val="false"/>
                  <w:caps w:val="false"/>
                  <w:smallCaps w:val="false"/>
                  <w:sz w:val="20"/>
                </w:rPr>
                <w:t>Legal Proceedings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026" w:type="dxa"/>
            <w:tcBorders/>
            <w:shd w:fill="CCEEFF" w:val="clear"/>
            <w:vAlign w:val="center"/>
          </w:tcPr>
          <w:p>
            <w:pPr>
              <w:pStyle w:val="TableContents"/>
              <w:bidi w:val="0"/>
              <w:spacing w:before="0" w:after="283"/>
              <w:jc w:val="left"/>
              <w:rPr/>
            </w:pPr>
            <w:hyperlink w:anchor="sp_012">
              <w:r>
                <w:rPr>
                  <w:rStyle w:val="InternetLink"/>
                  <w:rFonts w:ascii="Times New Roman;Times;Serif" w:hAnsi="Times New Roman;Times;Serif"/>
                  <w:b w:val="false"/>
                  <w:i w:val="false"/>
                  <w:caps w:val="false"/>
                  <w:smallCaps w:val="false"/>
                  <w:sz w:val="20"/>
                </w:rPr>
                <w:t>Mine Safety Disclosures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2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3"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026" w:type="dxa"/>
            <w:tcBorders/>
            <w:shd w:fill="CCEEFF" w:val="clear"/>
            <w:vAlign w:val="center"/>
          </w:tcPr>
          <w:p>
            <w:pPr>
              <w:pStyle w:val="TableContents"/>
              <w:bidi w:val="0"/>
              <w:spacing w:before="0" w:after="283"/>
              <w:jc w:val="left"/>
              <w:rPr/>
            </w:pPr>
            <w:hyperlink w:anchor="sp_013">
              <w:r>
                <w:rPr>
                  <w:rStyle w:val="InternetLink"/>
                  <w:rFonts w:ascii="Times New Roman;Times;Serif" w:hAnsi="Times New Roman;Times;Serif"/>
                  <w:b/>
                  <w:i w:val="false"/>
                  <w:caps w:val="false"/>
                  <w:smallCaps w:val="false"/>
                  <w:sz w:val="20"/>
                </w:rPr>
                <w:t>PART II</w:t>
              </w:r>
            </w:hyperlink>
          </w:p>
        </w:tc>
        <w:tc>
          <w:tcPr>
            <w:tcW w:w="45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9026" w:type="dxa"/>
            <w:tcBorders/>
            <w:shd w:fill="CCEEFF" w:val="clear"/>
            <w:vAlign w:val="center"/>
          </w:tcPr>
          <w:p>
            <w:pPr>
              <w:pStyle w:val="TableContents"/>
              <w:bidi w:val="0"/>
              <w:spacing w:before="0" w:after="283"/>
              <w:jc w:val="left"/>
              <w:rPr/>
            </w:pPr>
            <w:hyperlink w:anchor="sp_014">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2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026" w:type="dxa"/>
            <w:tcBorders/>
            <w:shd w:fill="FFFFFF" w:val="clear"/>
            <w:vAlign w:val="center"/>
          </w:tcPr>
          <w:p>
            <w:pPr>
              <w:pStyle w:val="TableContents"/>
              <w:bidi w:val="0"/>
              <w:spacing w:before="0" w:after="283"/>
              <w:jc w:val="left"/>
              <w:rPr/>
            </w:pPr>
            <w:hyperlink w:anchor="sp_015">
              <w:r>
                <w:rPr>
                  <w:rStyle w:val="InternetLink"/>
                  <w:rFonts w:ascii="Times New Roman;Times;Serif" w:hAnsi="Times New Roman;Times;Serif"/>
                  <w:b w:val="false"/>
                  <w:i w:val="false"/>
                  <w:caps w:val="false"/>
                  <w:smallCaps w:val="false"/>
                  <w:sz w:val="20"/>
                </w:rPr>
                <w:t>Reserved</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w:t>
            </w:r>
          </w:p>
        </w:tc>
        <w:tc>
          <w:tcPr>
            <w:tcW w:w="9026" w:type="dxa"/>
            <w:tcBorders/>
            <w:shd w:fill="CCEEFF" w:val="clear"/>
            <w:vAlign w:val="center"/>
          </w:tcPr>
          <w:p>
            <w:pPr>
              <w:pStyle w:val="TableContents"/>
              <w:bidi w:val="0"/>
              <w:spacing w:before="0" w:after="283"/>
              <w:jc w:val="left"/>
              <w:rPr/>
            </w:pPr>
            <w:hyperlink w:anchor="sp_016">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2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7A.</w:t>
            </w:r>
          </w:p>
        </w:tc>
        <w:tc>
          <w:tcPr>
            <w:tcW w:w="9026" w:type="dxa"/>
            <w:tcBorders/>
            <w:shd w:fill="FFFFFF" w:val="clear"/>
            <w:vAlign w:val="center"/>
          </w:tcPr>
          <w:p>
            <w:pPr>
              <w:pStyle w:val="TableContents"/>
              <w:bidi w:val="0"/>
              <w:spacing w:before="0" w:after="283"/>
              <w:jc w:val="left"/>
              <w:rPr/>
            </w:pPr>
            <w:hyperlink w:anchor="sp_017">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w:t>
            </w:r>
          </w:p>
        </w:tc>
        <w:tc>
          <w:tcPr>
            <w:tcW w:w="9026" w:type="dxa"/>
            <w:tcBorders/>
            <w:shd w:fill="CCEEFF" w:val="clear"/>
            <w:vAlign w:val="center"/>
          </w:tcPr>
          <w:p>
            <w:pPr>
              <w:pStyle w:val="TableContents"/>
              <w:bidi w:val="0"/>
              <w:spacing w:before="0" w:after="283"/>
              <w:jc w:val="left"/>
              <w:rPr/>
            </w:pPr>
            <w:hyperlink w:anchor="sp_018">
              <w:r>
                <w:rPr>
                  <w:rStyle w:val="InternetLink"/>
                  <w:rFonts w:ascii="Times New Roman;Times;Serif" w:hAnsi="Times New Roman;Times;Serif"/>
                  <w:b w:val="false"/>
                  <w:i w:val="false"/>
                  <w:caps w:val="false"/>
                  <w:smallCaps w:val="false"/>
                  <w:sz w:val="20"/>
                </w:rPr>
                <w:t>Financial Statements and Supplementary Data</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72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9026" w:type="dxa"/>
            <w:tcBorders/>
            <w:shd w:fill="FFFFFF" w:val="clear"/>
            <w:vAlign w:val="center"/>
          </w:tcPr>
          <w:p>
            <w:pPr>
              <w:pStyle w:val="TableContents"/>
              <w:bidi w:val="0"/>
              <w:spacing w:before="0" w:after="283"/>
              <w:jc w:val="left"/>
              <w:rPr/>
            </w:pPr>
            <w:hyperlink w:anchor="sp_019">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9A.</w:t>
            </w:r>
          </w:p>
        </w:tc>
        <w:tc>
          <w:tcPr>
            <w:tcW w:w="9026" w:type="dxa"/>
            <w:tcBorders/>
            <w:shd w:fill="CCEEFF" w:val="clear"/>
            <w:vAlign w:val="center"/>
          </w:tcPr>
          <w:p>
            <w:pPr>
              <w:pStyle w:val="TableContents"/>
              <w:bidi w:val="0"/>
              <w:spacing w:before="0" w:after="283"/>
              <w:jc w:val="left"/>
              <w:rPr/>
            </w:pPr>
            <w:hyperlink w:anchor="sp_020">
              <w:r>
                <w:rPr>
                  <w:rStyle w:val="InternetLink"/>
                  <w:rFonts w:ascii="Times New Roman;Times;Serif" w:hAnsi="Times New Roman;Times;Serif"/>
                  <w:b w:val="false"/>
                  <w:i w:val="false"/>
                  <w:caps w:val="false"/>
                  <w:smallCaps w:val="false"/>
                  <w:sz w:val="20"/>
                </w:rPr>
                <w:t>Controls and Procedures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r>
      <w:tr>
        <w:trPr/>
        <w:tc>
          <w:tcPr>
            <w:tcW w:w="72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9B.</w:t>
            </w:r>
          </w:p>
        </w:tc>
        <w:tc>
          <w:tcPr>
            <w:tcW w:w="9026" w:type="dxa"/>
            <w:tcBorders/>
            <w:shd w:fill="FFFFFF" w:val="clear"/>
            <w:vAlign w:val="center"/>
          </w:tcPr>
          <w:p>
            <w:pPr>
              <w:pStyle w:val="TableContents"/>
              <w:bidi w:val="0"/>
              <w:spacing w:before="0" w:after="283"/>
              <w:jc w:val="left"/>
              <w:rPr/>
            </w:pPr>
            <w:hyperlink w:anchor="sp_021">
              <w:r>
                <w:rPr>
                  <w:rStyle w:val="InternetLink"/>
                  <w:rFonts w:ascii="Times New Roman;Times;Serif" w:hAnsi="Times New Roman;Times;Serif"/>
                  <w:b w:val="false"/>
                  <w:i w:val="false"/>
                  <w:caps w:val="false"/>
                  <w:smallCaps w:val="false"/>
                  <w:sz w:val="20"/>
                </w:rPr>
                <w:t>Other Information</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9C.</w:t>
            </w:r>
          </w:p>
        </w:tc>
        <w:tc>
          <w:tcPr>
            <w:tcW w:w="9026" w:type="dxa"/>
            <w:tcBorders/>
            <w:shd w:fill="CCEEFF" w:val="clear"/>
            <w:vAlign w:val="center"/>
          </w:tcPr>
          <w:p>
            <w:pPr>
              <w:pStyle w:val="TableContents"/>
              <w:bidi w:val="0"/>
              <w:spacing w:before="0" w:after="283"/>
              <w:jc w:val="left"/>
              <w:rPr/>
            </w:pPr>
            <w:hyperlink w:anchor="sp_022">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72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3"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026" w:type="dxa"/>
            <w:tcBorders/>
            <w:shd w:fill="CCEEFF" w:val="clear"/>
            <w:vAlign w:val="center"/>
          </w:tcPr>
          <w:p>
            <w:pPr>
              <w:pStyle w:val="TableContents"/>
              <w:bidi w:val="0"/>
              <w:spacing w:before="0" w:after="283"/>
              <w:jc w:val="left"/>
              <w:rPr/>
            </w:pPr>
            <w:hyperlink w:anchor="sp_023">
              <w:r>
                <w:rPr>
                  <w:rStyle w:val="InternetLink"/>
                  <w:rFonts w:ascii="Times New Roman;Times;Serif" w:hAnsi="Times New Roman;Times;Serif"/>
                  <w:b/>
                  <w:i w:val="false"/>
                  <w:caps w:val="false"/>
                  <w:smallCaps w:val="false"/>
                  <w:sz w:val="20"/>
                </w:rPr>
                <w:t>PART III</w:t>
              </w:r>
            </w:hyperlink>
          </w:p>
        </w:tc>
        <w:tc>
          <w:tcPr>
            <w:tcW w:w="45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9026" w:type="dxa"/>
            <w:tcBorders/>
            <w:shd w:fill="CCEEFF" w:val="clear"/>
            <w:vAlign w:val="center"/>
          </w:tcPr>
          <w:p>
            <w:pPr>
              <w:pStyle w:val="TableContents"/>
              <w:bidi w:val="0"/>
              <w:spacing w:before="0" w:after="283"/>
              <w:jc w:val="left"/>
              <w:rPr/>
            </w:pPr>
            <w:hyperlink w:anchor="sp_024">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72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9026" w:type="dxa"/>
            <w:tcBorders/>
            <w:shd w:fill="FFFFFF" w:val="clear"/>
            <w:vAlign w:val="center"/>
          </w:tcPr>
          <w:p>
            <w:pPr>
              <w:pStyle w:val="TableContents"/>
              <w:bidi w:val="0"/>
              <w:spacing w:before="0" w:after="283"/>
              <w:jc w:val="left"/>
              <w:rPr/>
            </w:pPr>
            <w:hyperlink w:anchor="sp_025">
              <w:r>
                <w:rPr>
                  <w:rStyle w:val="InternetLink"/>
                  <w:rFonts w:ascii="Times New Roman;Times;Serif" w:hAnsi="Times New Roman;Times;Serif"/>
                  <w:b w:val="false"/>
                  <w:i w:val="false"/>
                  <w:caps w:val="false"/>
                  <w:smallCaps w:val="false"/>
                  <w:sz w:val="20"/>
                </w:rPr>
                <w:t>Executive Compensation</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9026" w:type="dxa"/>
            <w:tcBorders/>
            <w:shd w:fill="CCEEFF" w:val="clear"/>
            <w:vAlign w:val="center"/>
          </w:tcPr>
          <w:p>
            <w:pPr>
              <w:pStyle w:val="TableContents"/>
              <w:bidi w:val="0"/>
              <w:spacing w:before="0" w:after="283"/>
              <w:jc w:val="left"/>
              <w:rPr/>
            </w:pPr>
            <w:hyperlink w:anchor="sp_026">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72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9026" w:type="dxa"/>
            <w:tcBorders/>
            <w:shd w:fill="FFFFFF" w:val="clear"/>
            <w:vAlign w:val="center"/>
          </w:tcPr>
          <w:p>
            <w:pPr>
              <w:pStyle w:val="TableContents"/>
              <w:bidi w:val="0"/>
              <w:spacing w:before="0" w:after="283"/>
              <w:jc w:val="left"/>
              <w:rPr/>
            </w:pPr>
            <w:hyperlink w:anchor="sp_027">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9026" w:type="dxa"/>
            <w:tcBorders/>
            <w:shd w:fill="CCEEFF" w:val="clear"/>
            <w:vAlign w:val="center"/>
          </w:tcPr>
          <w:p>
            <w:pPr>
              <w:pStyle w:val="TableContents"/>
              <w:bidi w:val="0"/>
              <w:spacing w:before="0" w:after="283"/>
              <w:jc w:val="left"/>
              <w:rPr/>
            </w:pPr>
            <w:hyperlink w:anchor="sp_028">
              <w:r>
                <w:rPr>
                  <w:rStyle w:val="InternetLink"/>
                  <w:rFonts w:ascii="Times New Roman;Times;Serif" w:hAnsi="Times New Roman;Times;Serif"/>
                  <w:b w:val="false"/>
                  <w:i w:val="false"/>
                  <w:caps w:val="false"/>
                  <w:smallCaps w:val="false"/>
                  <w:sz w:val="20"/>
                </w:rPr>
                <w:t>Principal Accountant Fees and Services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r>
        <w:trPr/>
        <w:tc>
          <w:tcPr>
            <w:tcW w:w="72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3"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026" w:type="dxa"/>
            <w:tcBorders/>
            <w:shd w:fill="CCEEFF" w:val="clear"/>
            <w:vAlign w:val="center"/>
          </w:tcPr>
          <w:p>
            <w:pPr>
              <w:pStyle w:val="TableContents"/>
              <w:bidi w:val="0"/>
              <w:spacing w:before="0" w:after="283"/>
              <w:jc w:val="left"/>
              <w:rPr/>
            </w:pPr>
            <w:hyperlink w:anchor="sp_029">
              <w:r>
                <w:rPr>
                  <w:rStyle w:val="InternetLink"/>
                  <w:rFonts w:ascii="Times New Roman;Times;Serif" w:hAnsi="Times New Roman;Times;Serif"/>
                  <w:b/>
                  <w:i w:val="false"/>
                  <w:caps w:val="false"/>
                  <w:smallCaps w:val="false"/>
                  <w:sz w:val="20"/>
                </w:rPr>
                <w:t>PART IV</w:t>
              </w:r>
            </w:hyperlink>
          </w:p>
        </w:tc>
        <w:tc>
          <w:tcPr>
            <w:tcW w:w="45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2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0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2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9026" w:type="dxa"/>
            <w:tcBorders/>
            <w:shd w:fill="CCEEFF" w:val="clear"/>
            <w:vAlign w:val="center"/>
          </w:tcPr>
          <w:p>
            <w:pPr>
              <w:pStyle w:val="TableContents"/>
              <w:bidi w:val="0"/>
              <w:spacing w:before="0" w:after="283"/>
              <w:jc w:val="left"/>
              <w:rPr/>
            </w:pPr>
            <w:hyperlink w:anchor="sp_030">
              <w:r>
                <w:rPr>
                  <w:rStyle w:val="InternetLink"/>
                  <w:rFonts w:ascii="Times New Roman;Times;Serif" w:hAnsi="Times New Roman;Times;Serif"/>
                  <w:b w:val="false"/>
                  <w:i w:val="false"/>
                  <w:caps w:val="false"/>
                  <w:smallCaps w:val="false"/>
                  <w:sz w:val="20"/>
                </w:rPr>
                <w:t>Exhibits and Financial Statement Schedules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Principal 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varying degrees of risk and uncertainty. Below is a summary of the principal risk factors that may affect our business, financial condition and results of operations. This summary does not address all of the risks that we face. Investors should carefully consider the risks and uncertainties summarized below along with additional discussion of such summarized risks under the heading “Risk Factors” herein, together with other information in this Annual Report and our other filings with the SEC.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our products is impacted by a number of factors outside of our control;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performance is tied to customer demand for fire suppression equipment and materials;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customers fail to pay us, our profit and cash flow may be affected as a result;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dependence upon our senior management and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pay dividends;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business interruption insurance so we could incur unrecoverable losses if our business is interrupted;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need to raise additional capital to grow our business and satisfy our anticipated future liquidity needs;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raising capital in the future could cause dilution to our existing shareholders and may restrict our operations or require us to relinquish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from changes to trade policies, tariffs and import/export regulations by the U.S. and/or other foreign governments;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international sales and operations could adversely affect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and inventory risk related to our business, including commodity price exposure;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industry is very competitive and some of our products are commodities;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that our existing projects will not be delayed or terminated or that our order book will be continually maintained at such level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to maintain our relationship with, or serve, our customers at current levels;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from the improper use of our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purchasing products from our suppliers on a long-term basis;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labor issues and higher labor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unfavorable economic and market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global economic conditions that could negatively affect our prospects for growth;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highly competitive markets and competitors with greater financial and other resources;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ability to compete successfully in our marketplace.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Regulatory and Legal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ability to market and sell our products and solutions is subject to existing government laws, regulations and standards;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failure to comply with stringent and evolving fire safety regulations in Malaysia;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government regulations pertaining to exportation;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product liability or warranty claims that could require us to make significant payments;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litigation by customers, suppliers and other third parties in the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claims of injuries or potential safety issues or quality concerns;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environmental, social and governance activities and disclosures;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U.S. and foreign tax laws and any changes in these laws related to the taxation of business.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Financial Condition</w:t>
      </w:r>
    </w:p>
    <w:p>
      <w:pPr>
        <w:pStyle w:val="TextBody"/>
        <w:bidi w:val="0"/>
        <w:spacing w:before="0" w:after="0"/>
        <w:ind w:left="360" w:right="0" w:hanging="0"/>
        <w:jc w:val="both"/>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75"/>
        <w:gridCol w:w="170"/>
        <w:gridCol w:w="827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history of operating losses, and we expect to incur losses for the foreseeable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substantial doubt regarding our ability to continue as a going concern;</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geopolitical and macroeconomic events and conditions;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inflation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ability to use net operating loss and certain built-in losses to reduce future tax payments is limited by provisions of the Internal Revenue Code;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compliance with the continued listing requirements of the Nasdaq Capital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compliance with the United States securities laws and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insurance policies and uninsured liabilities;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significant movements in foreign currency exchange rates;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security incidents, loss of data and other disruptions.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Securities Regulations and Investment in Our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maintaining internal controls in accordance with Sections 302 and 404 of the Sarbanes-Oxley Act of 2002;</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increased costs and management resources as a result of being a public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an inactive trading market for our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lack of securities or industry analysts publishing research or reports about 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ability to facilitate our growth strategy by identifying or completing transactions with attractive acquisition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businesses we acquire that may have undisclosed liabilities;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anti-takeover provisions in our charter documents and provisions of Delaware law;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acquisition of our common stock and our ability negotiate terms that would provide for a price equivalent to, or more favorable than, the current trading price at which our shares of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market price of the Company’s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costs and demands upon management as a result of complying with the laws and regulations affecting public companies;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any adverse consequences because of required indemnification of officers and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certificate of incorporation and bylaws and certain provisions of Delaware law may delay or prevent a change in our management and make it more difficult for a third-party to acquire 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ability to pay cash dividends on our preferred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common and preferred stock experiencing extreme price and volume fluctuations;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future sale of our common and convertible preferred stock and future issuances of our common stock upon conversion of our preferred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exchange the convertible preferred stock for debentures;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conversion of our convertible preferred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ability to pay cash dividends on our common stock in the foreseeable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number of shares of common stock which are registered, including the shares to be issued upon exercise of our outstanding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short sales of our common stock and sales of shares upon exercise of our outstanding warrant;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the marketable securities we may purchase;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claims for indemnification by our directors and officers;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ability to compete successfully in our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changes in our effective tax rates;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our failure to comply with the U.S. Foreign Corrupt Practices Act or other applicable anti-corruption legislation could result in fines, criminal penalties and an adverse effect on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sh_001"/>
      <w:bookmarkEnd w:id="40"/>
      <w:r>
        <w:rPr>
          <w:rFonts w:ascii="Times New Roman;Times;Serif" w:hAnsi="Times New Roman;Times;Serif"/>
          <w:b/>
          <w:i w:val="false"/>
          <w:caps w:val="false"/>
          <w:smallCaps w:val="false"/>
          <w:sz w:val="20"/>
        </w:rPr>
        <w:t>PART 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 w:name="sh_002"/>
      <w:bookmarkEnd w:id="41"/>
      <w:r>
        <w:rPr>
          <w:rFonts w:ascii="Times New Roman;Times;Serif" w:hAnsi="Times New Roman;Times;Serif"/>
          <w:b/>
          <w:i w:val="false"/>
          <w:caps w:val="false"/>
          <w:smallCaps w:val="false"/>
          <w:sz w:val="20"/>
        </w:rPr>
        <w:t>Item 1.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Business Section contains forward-looking statements. Our actual results could differ materially from those anticipated in these forward-looking statements as a result of certain risks, uncertainties and other factors including the risk factors set forth in Part I, Item 1A of this Annual Report on Form 10-K. In this report, “Bio Green Med Solution,” “BGMS,” the “Company,” “we,” “us,” and “our” refer to Bio Green Med Solution, Inc. (</w:t>
      </w:r>
      <w:r>
        <w:rPr>
          <w:rFonts w:ascii="Times New Roman;Times;Serif" w:hAnsi="Times New Roman;Times;Serif"/>
          <w:b w:val="false"/>
          <w:i/>
          <w:caps w:val="false"/>
          <w:smallCaps w:val="false"/>
          <w:sz w:val="20"/>
        </w:rPr>
        <w:t>fka</w:t>
      </w:r>
      <w:r>
        <w:rPr>
          <w:rFonts w:ascii="Times New Roman;Times;Serif" w:hAnsi="Times New Roman;Times;Serif"/>
          <w:b w:val="false"/>
          <w:i w:val="false"/>
          <w:caps w:val="false"/>
          <w:smallCaps w:val="false"/>
          <w:sz w:val="20"/>
        </w:rPr>
        <w:t xml:space="preserve"> Cyclacel Pharmaceuticals,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Bio Green Med Solution, Inc. (“BGMS” or the “Company”), a Delaware corporation formerly known as Cyclacel Pharmaceuticals, Inc., announced that it was in the process of exploring and reviewing strategic alternatives on an expedited basis in order to preserve the Company’s cash, including a potential transaction with investor, David E. Lazar of Activist Investing, LLC (“Lazar”). On January 2, 2025, the Company entered into a securities purchase agreement with Lazar, pursuant to which he agreed to purchase from the Company, 1,000,000 shares of Series C Convertible Preferred Stock and 2,100,000 shares of Series D Convertible Preferred Stock of Cyclacel at a purchase price of $1.00 per share for aggregate gross proceeds of $3.1 million, subject to the terms and conditions of the securities purchase agreement (together, the Series C Convertible Preferred Stock and Series D Convertible Preferred Stock are the “Securities”). The proceeds of the transaction were used to settle outstanding liabilities of the Company and other general corporate and operating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11, 2025, investor Lazar, who was serving as the Company’s interim Chief Executive Officer and Secretary, entered into a securities purchase agreement (the “Purchase Agreement”) with an investor, Datuk Dr. Doris Wong Sing Ee (the “Investor”) pursuant to which the Investor agreed to purchase all 1,000,000 shares of Series C Convertible Preferred Stock, and 1,745,262 of the 2,100,000 shares of Series D Convertible Preferred Stock, currently held by Lazar, so that Purchaser would hold seventy percent (70%) of the fully diluted issued and outstanding shares of the Company. The Purchase Agreement closed on February 26, 2025 (the “Closing Date”). Additionally, the Investor succeeded to all of Lazar’s rights and interests under that certain securities purchase agreement between the Lazar and the Company dated January 2,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were convertible into shares of the common stock, par value $0.001 per share (the “Common Stock”) of the Company at the election of the Investor as follows: (i) the 1,000,000 shares of the Series C were convertible into 11,042 shares of Common Stock, and (ii) 1,745,262 of the Series D were convertible into 799,911 shares of Common Stock. On the Closing Date, the Investor exercised the conversion rights related to the Series C and Series D shares into Common Stock in full resulting in the Investor owning 810,952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2025, the Company effected a one-for-sixteen reverse stock split of its Common Stock and subsequently on July 7, 2025, effected a further one-for-fifteen reverse stock split of its Common Stock. All share and per share data for all periods presented in the consolidated financial statements have been retrospectively adjusted to give effect to these reverse stock splits, consistent with the treatment followed by other public companies in similar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Disposal of Cyclacel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Company’s clinical research programs were conducted through Cyclacel Limited, a wholly owned subsidiary of the Company, and all intellectual property and rights to those programs were owned by that subsidiary. On January 31, 2025, the creditors’ voluntary liquidation of Cyclacel Limited was announced in the London Gazette, one of the official public records of the government of the United Kingdom. Upon the commencement of the liquidation of the Cyclacel Limited, the Company lost operational and strategic control over the Cyclacel Limited and its financial results have been deconsolidated from Company as of January 31, 2025. On the date of deconsolidation, stockholders’ equity increased by approximately $4.9 million.</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creditors’ voluntary liquidation of Cyclacel Limited, the Company intended to focus on the development of the plogosertib (“Plogo”) clinical program only. Accordingly, on March 10, 2025, the Company repurchased certain assets related to Plogo from Cyclacel Limited with the approval of the joint liquidator in exchange for approximately $0.3 million in cash. On October 6, 2025, the Company entered into an Asset Purchase Agreement (the “Purchase Agreement”) with Tethra Biosciences Inc., a Delaware corporation (the “Buyer”). Under the terms of the Purchase Agreement, the Company agreed to sell, and the Buyer agreed to purchase, certain assets, including all patent rights of the Company related to Plogo for a purchase price of $300,000, plus a further potential Milestone payment (as defined in the Purchase Agreement) of $170,000.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Cyclacel Limited’s other drug development program, fadraciclib, continues to be marketed for sale by the joint liquidator. The Company has no plans at this time to repurchase any rights to or assets of the fadraciclib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FITTERS Diversified Berhad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2025, and as amended on July 7, 2025, the Company entered into an Exchange Agreement (collectively, the “Exchange Agreement”) with FITTERS Diversified Berhad (9318.KL; “FITTERS”), an investment holding company engaged, through its subsidiaries, in the business of the sale of fire safety materials, equipment and fire prevention systems, “Waste-To-Resource” services and real estate development and construction. Pursuant to the Exchange Agreement, all of the ordinary shares owned by FITTERS of its wholly-owned subsidiary, Fitters Sdn. Bhd., a Malaysia-based private limited company (“Fitters Sub”) were to be exchanged for common stock, par value $0.001, of the Company (the “Purchaser Stock”), and Fitters Sub would continue as a wholly-owned subsidiary of the Company (the “Transaction”). As part of the Transaction, BGMS would issue an amount of Purchaser Stock equal to 19.99% percent, or 699,158 of its common shares and BGMS stockholders would own approximately 80.01% of the combined company. Following the closing of the Transaction on September 12, 2025, the Company’s common shares continued to be listed on the Nasdaq Capital Market under a new ticker symbol (BGMS) and Cyclacel Pharmaceuticals Inc. was renamed Bio Green Med Solution,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sale of Plogo and the closing of the Transaction on September 12, 2025, we now specialize in the supply and trading of protective and fire safety equipment providing a wide range of fire safety products, including fire extinguishers, foam system, fire-resistant doors, personal protective equipment, and fire safety apparel. Our mission is to deliver high-quality, certified safety solutions that enhance protection across commercial, industrial, healthcare, and residential sectors with a focus on trading and distribution to position us as a key player in Malaysia’s fire safety market, with a reputation for reliability and compliance with stringent regulatory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a wide range of fire safety products, including fire extinguishers, foam system, fire-resistant doors, personal protective equipment (“PPE”). Over the past four decades, we have expanded our product portfolio to include advanced fire-fighting equipment, foam system, PPE, and safety apparel, establishing a strong presence in the industry. Our history of consistent growth reflects our commitment to quality and customer-centric innovation, positioning us as a trusted name in fire safety equipment distribution. We provide the following categories of product offerings and solutions to our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3055" cy="6261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3055" cy="62611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Fire Safety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distribute fire extinguishers, such as the FITTERS FIRE-X, designed for home and vehicle use, and other fire-fighting tools like foam systems. Our products are approved by BOMBA and certified by SIRIM to ensure full compliance with safety regulations. Taking the necessary fire safety precautions to protect any investment is a crucial factor in any business. Unexpected fires can end any livelihood in just a matter of seconds. We offer a complete range of fire safety systems. With more than 30-years of experience in fire safety, we pride ourselves as the “One-stop” fire protection specialist for businesses and individuals.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3055" cy="5486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53055" cy="54864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range of Fire Safety Systems include:</w:t>
      </w:r>
    </w:p>
    <w:p>
      <w:pPr>
        <w:pStyle w:val="TextBody"/>
        <w:bidi w:val="0"/>
        <w:spacing w:before="0" w:after="0"/>
        <w:ind w:left="0" w:right="0" w:hanging="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75"/>
        <w:gridCol w:w="170"/>
        <w:gridCol w:w="17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Sprinkler System</w:t>
            </w:r>
          </w:p>
        </w:tc>
      </w:tr>
    </w:tbl>
    <w:p>
      <w:pPr>
        <w:pStyle w:val="TextBody"/>
        <w:bidi w:val="0"/>
        <w:spacing w:before="0" w:after="0"/>
        <w:ind w:left="14" w:right="0" w:hanging="0"/>
        <w:jc w:val="both"/>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75"/>
        <w:gridCol w:w="170"/>
        <w:gridCol w:w="13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Sprinkler head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Flow Switch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Pressure Switch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Alarm Valve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Butterfly Valve</w:t>
            </w:r>
          </w:p>
        </w:tc>
      </w:tr>
    </w:tbl>
    <w:p>
      <w:pPr>
        <w:pStyle w:val="TextBody"/>
        <w:bidi w:val="0"/>
        <w:spacing w:before="0" w:after="0"/>
        <w:ind w:left="14" w:right="0" w:hanging="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75"/>
        <w:gridCol w:w="170"/>
        <w:gridCol w:w="15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Wet System Valve</w:t>
            </w:r>
          </w:p>
        </w:tc>
      </w:tr>
    </w:tbl>
    <w:p>
      <w:pPr>
        <w:pStyle w:val="TextBody"/>
        <w:bidi w:val="0"/>
        <w:spacing w:before="0" w:after="0"/>
        <w:ind w:left="14" w:right="0" w:hanging="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75"/>
        <w:gridCol w:w="170"/>
        <w:gridCol w:w="14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Pre-action valve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Deluge valve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Gate Valve</w:t>
            </w:r>
          </w:p>
        </w:tc>
      </w:tr>
    </w:tbl>
    <w:p>
      <w:pPr>
        <w:pStyle w:val="TextBody"/>
        <w:bidi w:val="0"/>
        <w:spacing w:before="0" w:after="0"/>
        <w:ind w:left="14" w:right="0" w:hanging="0"/>
        <w:jc w:val="both"/>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75"/>
        <w:gridCol w:w="170"/>
        <w:gridCol w:w="9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CO² System</w:t>
            </w:r>
          </w:p>
        </w:tc>
      </w:tr>
    </w:tbl>
    <w:p>
      <w:pPr>
        <w:pStyle w:val="TextBody"/>
        <w:bidi w:val="0"/>
        <w:spacing w:before="0" w:after="0"/>
        <w:ind w:left="14" w:right="0" w:hanging="0"/>
        <w:jc w:val="both"/>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75"/>
        <w:gridCol w:w="170"/>
        <w:gridCol w:w="32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CO² cylinder complete with accessories</w:t>
            </w:r>
          </w:p>
        </w:tc>
      </w:tr>
    </w:tbl>
    <w:p>
      <w:pPr>
        <w:pStyle w:val="TextBody"/>
        <w:bidi w:val="0"/>
        <w:spacing w:before="0" w:after="0"/>
        <w:ind w:left="14" w:right="0" w:hanging="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75"/>
        <w:gridCol w:w="170"/>
        <w:gridCol w:w="15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Alarm System</w:t>
            </w:r>
          </w:p>
        </w:tc>
      </w:tr>
    </w:tbl>
    <w:p>
      <w:pPr>
        <w:pStyle w:val="TextBody"/>
        <w:bidi w:val="0"/>
        <w:spacing w:before="0" w:after="0"/>
        <w:ind w:left="14" w:right="0" w:hanging="0"/>
        <w:jc w:val="both"/>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75"/>
        <w:gridCol w:w="170"/>
        <w:gridCol w:w="13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Smoke detector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1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Heat detector</w:t>
            </w:r>
          </w:p>
        </w:tc>
      </w:tr>
    </w:tbl>
    <w:p>
      <w:pPr>
        <w:pStyle w:val="TextBody"/>
        <w:bidi w:val="0"/>
        <w:spacing w:before="0" w:after="0"/>
        <w:ind w:left="14"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Wet Chemical System / Kitchen Hood includes:</w:t>
      </w:r>
    </w:p>
    <w:p>
      <w:pPr>
        <w:pStyle w:val="TextBody"/>
        <w:bidi w:val="0"/>
        <w:spacing w:before="0" w:after="0"/>
        <w:ind w:left="0" w:right="0" w:hanging="0"/>
        <w:jc w:val="both"/>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170"/>
        <w:gridCol w:w="40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Wet chemical cylinder complete with accessories</w:t>
            </w:r>
          </w:p>
        </w:tc>
      </w:tr>
    </w:tbl>
    <w:p>
      <w:pPr>
        <w:pStyle w:val="TextBody"/>
        <w:bidi w:val="0"/>
        <w:spacing w:before="0" w:after="0"/>
        <w:ind w:left="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PYRODOR Fire Door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supply fire-resistant doors under the “PYRODOR” brand, offering one-hour and two-hour fire resistance, along with components like PYROFRAME and PYROBOARD. These are critical for commercial and industrial buildings, meeting strict safety codes. In line with today’s stringent fire safety standards, PYRODOR offers high quality fire resistant door-sets – tested by SIRIM in accordance with the latest MS1073 Part 2 &amp; 3 and approved by Fire &amp; Rescue Department, Malaysia. PYRODOR door-sets are custom-made to accommodate stringent customer requirements. Our total commitment to the protection of life and property is hard to match. We maintain a well-planned program for continuous improvement to meet customers’ requirements. We have the one of the widest ranges of:</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and tested one-hour fire rated metal frame and wooden frame door-sets, single leaf and double leaf doors with various locksets.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75"/>
        <w:gridCol w:w="170"/>
        <w:gridCol w:w="95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and tested two-hour fire rated metal frame door-sets, single leaf and double leaf doors with various locksets.</w:t>
            </w:r>
          </w:p>
        </w:tc>
      </w:tr>
    </w:tbl>
    <w:p>
      <w:pPr>
        <w:pStyle w:val="TextBody"/>
        <w:bidi w:val="0"/>
        <w:spacing w:before="0" w:after="0"/>
        <w:ind w:left="728" w:right="0" w:hanging="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3055" cy="5575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853055" cy="55753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sampling of PYRODOR references include these commercial, governmental and residential developments: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3055" cy="73596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53055" cy="73596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3055" cy="8274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853055" cy="82740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853055" cy="79565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853055" cy="79565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Safety Apparel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PPE portfolio includes fire-retardant apparel and workwear uniform designed to serve clients in oil and gas industry as well as other industrial sectors. We ensure that all products meet occupational safety standards. We provide fire-retardant uniforms and reflective materials, such as Scotchlite, for workers in high-risk environments, enhancing visibility and protection.</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3055" cy="758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853055" cy="758825"/>
                    </a:xfrm>
                    <a:prstGeom prst="rect">
                      <a:avLst/>
                    </a:prstGeom>
                  </pic:spPr>
                </pic:pic>
              </a:graphicData>
            </a:graphic>
          </wp:inline>
        </w:drawing>
      </w:r>
    </w:p>
    <w:p>
      <w:pPr>
        <w:pStyle w:val="TextBody"/>
        <w:bidi w:val="0"/>
        <w:spacing w:before="0" w:after="0"/>
        <w:ind w:left="0" w:right="0" w:firstLine="360"/>
        <w:jc w:val="both"/>
        <w:rPr>
          <w:caps w:val="false"/>
          <w:smallCaps w:val="false"/>
        </w:rPr>
      </w:pPr>
      <w:r>
        <w:rPr>
          <w:caps w:val="false"/>
          <w:smallCaps w:val="false"/>
        </w:rPr>
        <w:t> </w:t>
      </w:r>
    </w:p>
    <w:tbl>
      <w:tblPr>
        <w:tblW w:w="6263" w:type="dxa"/>
        <w:jc w:val="left"/>
        <w:tblInd w:w="0" w:type="dxa"/>
        <w:tblLayout w:type="fixed"/>
        <w:tblCellMar>
          <w:top w:w="0" w:type="dxa"/>
          <w:left w:w="0" w:type="dxa"/>
          <w:bottom w:w="0" w:type="dxa"/>
          <w:right w:w="0" w:type="dxa"/>
        </w:tblCellMar>
      </w:tblPr>
      <w:tblGrid>
        <w:gridCol w:w="75"/>
        <w:gridCol w:w="1958"/>
        <w:gridCol w:w="60"/>
        <w:gridCol w:w="4095"/>
        <w:gridCol w:w="75"/>
      </w:tblGrid>
      <w:tr>
        <w:trPr/>
        <w:tc>
          <w:tcPr>
            <w:tcW w:w="75" w:type="dxa"/>
            <w:tcBorders/>
            <w:vAlign w:val="center"/>
          </w:tcPr>
          <w:p>
            <w:pPr>
              <w:pStyle w:val="TableContents"/>
              <w:bidi w:val="0"/>
              <w:spacing w:before="0" w:after="283"/>
              <w:jc w:val="center"/>
              <w:rPr/>
            </w:pPr>
            <w:r>
              <w:rPr/>
              <w:t> </w:t>
            </w:r>
          </w:p>
        </w:tc>
        <w:tc>
          <w:tcPr>
            <w:tcW w:w="1958" w:type="dxa"/>
            <w:tcBorders/>
            <w:vAlign w:val="center"/>
          </w:tcPr>
          <w:p>
            <w:pPr>
              <w:pStyle w:val="TableContents"/>
              <w:bidi w:val="0"/>
              <w:spacing w:before="0" w:after="283"/>
              <w:jc w:val="center"/>
              <w:rPr/>
            </w:pPr>
            <w:r>
              <w:rPr/>
              <w:drawing>
                <wp:inline distT="0" distB="0" distL="0" distR="0">
                  <wp:extent cx="1243330" cy="8413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43330" cy="841375"/>
                          </a:xfrm>
                          <a:prstGeom prst="rect">
                            <a:avLst/>
                          </a:prstGeom>
                        </pic:spPr>
                      </pic:pic>
                    </a:graphicData>
                  </a:graphic>
                </wp:inline>
              </w:drawing>
            </w:r>
          </w:p>
        </w:tc>
        <w:tc>
          <w:tcPr>
            <w:tcW w:w="60" w:type="dxa"/>
            <w:tcBorders/>
            <w:vAlign w:val="center"/>
          </w:tcPr>
          <w:p>
            <w:pPr>
              <w:pStyle w:val="TableContents"/>
              <w:bidi w:val="0"/>
              <w:spacing w:before="0" w:after="283"/>
              <w:jc w:val="center"/>
              <w:rPr/>
            </w:pPr>
            <w:r>
              <w:rPr/>
              <w:t> </w:t>
            </w:r>
          </w:p>
        </w:tc>
        <w:tc>
          <w:tcPr>
            <w:tcW w:w="4095" w:type="dxa"/>
            <w:tcBorders/>
            <w:vAlign w:val="center"/>
          </w:tcPr>
          <w:p>
            <w:pPr>
              <w:pStyle w:val="TableContents"/>
              <w:bidi w:val="0"/>
              <w:spacing w:before="0" w:after="283"/>
              <w:jc w:val="center"/>
              <w:rPr/>
            </w:pPr>
            <w:r>
              <w:rPr/>
              <w:drawing>
                <wp:inline distT="0" distB="0" distL="0" distR="0">
                  <wp:extent cx="2600325" cy="1590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600325" cy="1590675"/>
                          </a:xfrm>
                          <a:prstGeom prst="rect">
                            <a:avLst/>
                          </a:prstGeom>
                        </pic:spPr>
                      </pic:pic>
                    </a:graphicData>
                  </a:graphic>
                </wp:inline>
              </w:drawing>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protective and safety garments, we understand the importance and need for fitted safety apparels. That is why we proudly offer custom-tailoring services for our wide selection of apparels to meet the discerning demands of corporate or individual clients. Each garment is tailored with inherently Flame Retardant fabric (Nomex or Daletec brand), FR thread and accessories, the leading fabric for high risk heat and flame protection that can withstand hazardous working conditions such as extreme heat, fires and corrosive chemicals.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advantages of PYROSUIT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SAFEFITT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Brand tailoring includes:</w:t>
      </w:r>
    </w:p>
    <w:p>
      <w:pPr>
        <w:pStyle w:val="TextBody"/>
        <w:bidi w:val="0"/>
        <w:spacing w:before="0" w:after="0"/>
        <w:ind w:left="0" w:right="0" w:firstLine="360"/>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
        <w:gridCol w:w="170"/>
        <w:gridCol w:w="30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Permanent, dependable protection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Self-extinguishing and does not burn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Non-break-open protection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Outstanding chemical resistance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Long-wear life and lower cost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Reduces static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Comfort</w:t>
            </w:r>
          </w:p>
        </w:tc>
      </w:tr>
    </w:tbl>
    <w:p>
      <w:pPr>
        <w:pStyle w:val="TextBody"/>
        <w:bidi w:val="0"/>
        <w:spacing w:before="0" w:after="0"/>
        <w:ind w:left="14"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3055" cy="43878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853055" cy="43878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the distributors of the following personal protection equipment (PPE)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24955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2495550"/>
                    </a:xfrm>
                    <a:prstGeom prst="rect">
                      <a:avLst/>
                    </a:prstGeom>
                  </pic:spPr>
                </pic:pic>
              </a:graphicData>
            </a:graphic>
          </wp:inline>
        </w:drawing>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43815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43600" cy="4381500"/>
                    </a:xfrm>
                    <a:prstGeom prst="rect">
                      <a:avLst/>
                    </a:prstGeom>
                  </pic:spPr>
                </pic:pic>
              </a:graphicData>
            </a:graphic>
          </wp:inline>
        </w:drawing>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Foam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foam blending facility allows for the manufacture of multiple foam concentrate products. Marketing all types of foam ancillary equipment and valves, we are able to provide the designing, installation, testing and commissioning of all foam systems. We have a synergistic agreement between Fitters Sdn. Bhd. and CHEMGUARD (USA) to operate its sole foam blending facility for supply to the entire Southeast Asia region. CHEMGUARD’s leadership in the fire protection field is especially evident through the complete line of properly engineered foam system foam products. All of CHEMGUARD foam concentrate products are earth-friendly.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3055" cy="68135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853055" cy="681355"/>
                    </a:xfrm>
                    <a:prstGeom prst="rect">
                      <a:avLst/>
                    </a:prstGeom>
                  </pic:spPr>
                </pic:pic>
              </a:graphicData>
            </a:graphic>
          </wp:inline>
        </w:drawing>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Fire-X Fire Extinguishers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Big Extinguisher in a small can – more effective than a traditional fire extinguisher on most common fires. Our Fitters Fire-X fire extinguishers are simple to use can and spray nozzle design makes fighting fires fast and easy. Our extinguishers serve commercial, industrial, residential and government clients.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3055" cy="77724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853055" cy="77724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Big Extinguisher is recommended for all daily fire suppression needs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3055" cy="64897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853055" cy="64897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Market Drivers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fire safety and protection industry plays a crucial role in safeguarding lives and property. This sector encompasses a wide range of services, including fire detection, suppression, and prevention, as well as the manufacturing and maintenance of fire protection equipment. The fire safety and protection industry in Malaysia operates within a robust economic and regulatory framework, driven by global and regional market trends. Below, we outline key factors shaping the industry, as informed by analyses of the Malaysian economy, fire protection systems, passive fire protection, and emerging fire safety challenges related to electric vehicles (EVs).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fire safety segment in Malaysia is currently experiencing solid growth, with a projected compound annual growth rate (CAGR) of approximately 7% to 8% through 2030. Key drivers for this market are centered around regulatory evolution, rapid infrastructure expansion, increasing safety awareness, and a significant shift toward digital and eco-friendly technologies. There are several key market drivers for our business in the fire safety segment: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Stricter Regulatory Frameworks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framework for fire safety in Malaysia is anchored in the Fire Services Act 1988 and related by-laws, under which the Fire and Rescue Department of Malaysia (“BOMBA”) enforces requirements for fire alarms, detection, suppression systems, extinguishers, and means of escape in designated building types. In parallel, the Uniform Building By-Laws under the Street, Drainage and Building Act mandate the provision, installation, and periodic inspection of fire safety equipment in commercial, industrial, high-rise residential, and public buildings as a condition for building plan approval and occupancy certification, thereby structurally supporting demand for fire safety equipment across sectors.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Mandatory Compliance</w:t>
            </w:r>
            <w:r>
              <w:rPr>
                <w:rFonts w:ascii="Times New Roman;Times;Serif" w:hAnsi="Times New Roman;Times;Serif"/>
                <w:b w:val="false"/>
                <w:i w:val="false"/>
                <w:caps w:val="false"/>
                <w:smallCaps w:val="false"/>
                <w:sz w:val="20"/>
              </w:rPr>
              <w:t>: The Fire Services Act 1988 and Uniform Building By-Laws (UBBL) serve as the primary legal anchors, mandating fire alarms, detection, and suppression systems for building plan approvals.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BOMBA Enforcement</w:t>
            </w:r>
            <w:r>
              <w:rPr>
                <w:rFonts w:ascii="Times New Roman;Times;Serif" w:hAnsi="Times New Roman;Times;Serif"/>
                <w:b w:val="false"/>
                <w:i w:val="false"/>
                <w:caps w:val="false"/>
                <w:smallCaps w:val="false"/>
                <w:sz w:val="20"/>
              </w:rPr>
              <w:t xml:space="preserve">: Stricter enforcement by the BOMBA now requires specialized certifications, such as the </w:t>
            </w:r>
            <w:r>
              <w:rPr>
                <w:rFonts w:ascii="Times New Roman;Times;Serif" w:hAnsi="Times New Roman;Times;Serif"/>
                <w:b w:val="false"/>
                <w:i/>
                <w:caps w:val="false"/>
                <w:smallCaps w:val="false"/>
                <w:sz w:val="20"/>
              </w:rPr>
              <w:t>Sijil Perakuan Bahan BOMBA</w:t>
            </w:r>
            <w:r>
              <w:rPr>
                <w:rFonts w:ascii="Times New Roman;Times;Serif" w:hAnsi="Times New Roman;Times;Serif"/>
                <w:b w:val="false"/>
                <w:i w:val="false"/>
                <w:caps w:val="false"/>
                <w:smallCaps w:val="false"/>
                <w:sz w:val="20"/>
              </w:rPr>
              <w:t xml:space="preserve"> for fire doors, ensuring only compliant products are used.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Insurance Requirements</w:t>
            </w:r>
            <w:r>
              <w:rPr>
                <w:rFonts w:ascii="Times New Roman;Times;Serif" w:hAnsi="Times New Roman;Times;Serif"/>
                <w:b w:val="false"/>
                <w:i w:val="false"/>
                <w:caps w:val="false"/>
                <w:smallCaps w:val="false"/>
                <w:sz w:val="20"/>
              </w:rPr>
              <w:t>: Many insurance providers in Malaysia now offer lower premiums or mandate high-standard fire suppression systems as a prerequisite for coverage, particularly in commercial and industrial sectors.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Infrastructure &amp; Urban Development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Growth: Malaysia’s construction sector is projected to reach RM 220 billion. Rapid urbanization in the Klang Valley, Johor, and Penang is driving demand for high-rise residential and mixed-use commercial protection.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 Specialization: The rise of data centers, electronics manufacturing, and logistics hubs (e-commerce) is creating a surge in demand for specialized fire stopping and clean-agent suppression systems to protect high-value assets.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Retrofit Market: Aging urban infrastructure presents a major opportunity for wireless fire alarm systems and retrofit fire stopping, as they are easier to install in existing buildings without major disruption.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Increased Safety Awareness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Public/Private Awareness: High-profile fire incidents have led to increased budgetary allocations for fire prevention from both the government and private entities.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Safety: Growing corporate emphasis on workplace safety and adherence to international standards like NFPA or ISO is driving the installation of high-performance systems in the manufacturing sector.</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Technological Innovations (Fire Safety 4.0)</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Internet of Things (“IoT”) &amp; Smart Systems: There is a 35% increase in the adoption of IoT-enabled fire safety solutions. Real-time monitoring and integration with Building Management Systems (“BMS”) are becoming standard for modern office complexes.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Advanced Detection: Shift toward addressable/intelligent panels and AI-powered fire detection that minimizes false alarms while providing faster response times.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Eco-Friendly Solutions: Growing demand for sustainable fire safety, including fluorine-free suppression agents and low-VOC firestop products, aligned with Malaysia’s Green Building Index (“GBI”).</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fire safety and protection industry plays a crucial role in safeguarding lives and property. This sector encompasses a wide range of services, including fire detection, suppression, and prevention, as well as the manufacturing and maintenance of fire protection equipment. The fire safety and protection industry in Malaysia operates within a robust economic and regulatory framework, driven by global and regional market trends. Below, we outline key factors shaping the industry, as informed by analyses of the Malaysian economy, fire protection systems, passive fire protection, and emerging fire safety challenges related to electric vehicles (EVs).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Malaysian Economy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economy performed strongly in 2025, exceeding most initial projections despite a challenging global trade environment.</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Growth: The economy expanded by 4.9% for the full year 2025. This surpassed the official government and central bank (Bank Negara Malaysia) forecast range of 4.0% to 4.8%.</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Momentum: Growth peaked in the fourth quarter (Q4 2025) with a 5.7% year-on-year expansion, driven by robust performance in services, manufacturing, and a surge in construction.</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Key Sectors: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75"/>
        <w:gridCol w:w="170"/>
        <w:gridCol w:w="86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Advanced by 5.4%, remaining the largest contributor.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6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Grew by 11.9%, fueled by major infrastructure and private projects.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6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Expanded by 6.0%, supported by a rebound in the electrical and electronics (E&amp;E) sector.</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Trade and Investment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Trade: Total trade hit a historic high of RM3.1 trillion in 2025, the first time it has crossed the RM3 trillion mark.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Exports: Rose 6.5% for the year, with a significant 49% surge in shipments to the U.S. in December, primarily in E&amp;E and scientific equipment.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Direct Investment (FDI): Malaysia remained a key destination for supply chain realignments, particularly in semiconductor manufacturing and data centers.</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and Monetary Policy</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Headline inflation remained moderate, averaging 1.4% for the year, the lowest since 2020.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Rates: Bank Negara Malaysia maintained the Overnight Policy Rate (OPR) at 2.75% for much of the year, though a preemptive cut occurred in July to head off external uncertainties.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The Ringgit held steady against the US dollar (ending near RM4.2070) and was among Asia’s top-performing currencies in 2025.</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Fiscal and Structural Reforms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Subsidy Rationalization: A major milestone was the rationalization of RON95 fuel subsidies (the BUDI95 program) starting September 30, 2025, which is expected to save the government RM2.5 billion to RM4 billion annually.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Fiscal Deficit: The government met its target of reducing the fiscal deficit to 3.8% of GDP.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Market: Unemployment fell to 2.9% by late 2025, the lowest level in 11 years.</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2026, the government projects a slightly moderated growth range of 4.0% to 4.5% as global trade normalization and potential tariff impacts take effect.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Fire Protection System Market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fire protection system market is experiencing steady expansion, valued at approximately USD 85.06 billion to USD 86.46 billion in 2025. It is projected to reach between USD 93.83 billion and USD 134.37 billion by 2030, growing at a compound annual growth rate (CAGR) of 6.6% to 9.4%. The key market drivers for the global fire protection system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Rigor: Stringent government mandates and building codes (e.g., NFPA and ISO standards) are the primary force driving system installations in new and existing structures.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Infrastructure Growth: Massive global urbanization and the rise of high-density residential and commercial projects, especially in emerging economies, are creating high demand.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Technological Integration: The shift toward “Fire Safety 4.0” involves integrating IoT-enabled sensors, AI-driven monitoring, and wireless detection systems into Smart Building Management Systems.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 Fire Safety Equipment Market is valued at USD 1.1 billion, based on a five-year historical analysis, in line with the size of the Malaysia fire protection system market which is driven by similar product categories and demand drivers. This growth is primarily driven by increasing urbanization, stringent safety regulations, and rising awareness of fire safety among businesses and consumers, as highlighted by strong uptake of fire protection systems across commercial, industrial, and high-rise residential sectors. The market has seen a surge in demand for advanced fire safety solutions, including smart technologies and integrated systems, as organizations prioritize safety, insurance requirements, and compliance with building by-laws through adoption of IoT-enabled and integrated building management-linked fire systems.</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cities such as Kuala Lumpur, Penang, and Johor Bahru dominate the market due to their rapid industrialization and urban development, consistent with broader trends where major urban and industrial corridors lead demand for fire protection solutions. These urban centers are experiencing significant growth in commercial and residential construction, leading to heightened demand for fire safety equipment, including detection, suppression, and passive protection products for high-rise, mixed-use, and industrial developments. Additionally, the presence of major corporations and government institutions in these areas further drives the market’s expansion, supported by compliance with national building by-laws and insurance-driven fire protection requirements in offices, logistics hubs, healthcare, education, and public infrastructure.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Segmentation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Product: Fire suppression systems (sprinklers, gas, and foam) are the largest segment due to their critical role in protecting high-value industrial and data center assets.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Vertical: The commercial sector (healthcare, retail, and offices) holds the largest revenue share, while the industrial sector (oil &amp; gas, manufacturing) is expected to grow the fastest due to high operational risks.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Service: Maintenance and inspection services are growing rapidly as building owners must validate system performance to remain compliant with insurance and safety regulations.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Regional Outlook for the Fire Protection System Market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 Currently the largest market by revenue, driven by mature fire safety codes and a high volume of smart building retrofits.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Asia-Pacific: Set to be the fastest-growing region, particularly in China, India, and Japan, due to rapid industrialization and ambitious infrastructure development.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See https://www.kenresearch.com/malaysia-fire-safety-equipment-market.</w:t>
      </w:r>
    </w:p>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 Passive Fire Protection Market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 passive fire protection (PFP) market is entering a pivotal year in 2026, characterized by a major shift toward self-regulation and full enforcement of fire safety standards. The market is projected to grow at a CAGR of 3.3% through 2033, driven by infrastructure projects and stricter building mandates. The market performance and projections for Malaysia include:</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Growth: The market generated approximately USD 48.76 million in 2025 and is expected to reach USD 62.8 million by 2033.</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Dominant Segment: Cementitious materials (fireproofing sprays and plasters) remain the largest product segment, accounting for over 45% of market revenue.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Fastest Growing Segment: Intumescent coatings are the fastest-growing category, driven by demand for aesthetic and lightweight fire protection in modern high-rise and commercial architecture.</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drawing>
          <wp:inline distT="0" distB="0" distL="0" distR="0">
            <wp:extent cx="2620010" cy="131191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620010" cy="1311910"/>
                    </a:xfrm>
                    <a:prstGeom prst="rect">
                      <a:avLst/>
                    </a:prstGeom>
                  </pic:spPr>
                </pic:pic>
              </a:graphicData>
            </a:graphic>
          </wp:inline>
        </w:drawing>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Malaysian Key 2026 Market Drivers &amp; Regulatory Shifts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landscape is being redefined by two major regulatory milestones taking effect in 2026:</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Fire Certificate (FC) Enforcement: Starting in the first quarter of 2026, the Malaysian Fire and Rescue Department (JBPM/BOMBA) will begin full enforcement of Fire Certificate requirements for designated premises, including hospitals, hotels, and factories. Non-compliant owners face fines up to RM 50,000 or imprisonment.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Mandatory Fire Drills: Beginning January 1, 2026, buildings in nine designated categories must conduct mandatory fire drills to renew their fire certification.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caps w:val="false"/>
                <w:smallCaps w:val="false"/>
              </w:rPr>
            </w:pPr>
            <w:r>
              <w:rPr>
                <w:caps w:val="false"/>
                <w:smallCaps w:val="false"/>
              </w:rPr>
              <w:t> </w:t>
            </w:r>
          </w:p>
        </w:tc>
        <w:tc>
          <w:tcPr>
            <w:tcW w:w="9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Self-Regulation Framework: In a significant policy shift effective January 1, 2026, certified Fire Safety Managers and Officers will be granted authority to perform internal inspections and issue technical reports, moving away from mandatory annual physical inspections by BOMBA to a periodic audit system every 2–3 years.</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Malaysian Emerging Trends and Industry Focus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Expansion: The continuation of major transport and logistics projects under the 12th Malaysia Plan is a primary driver for industrial fireproofing demand.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Technological Integration: Leading players like Hilti Malaysia have launched 2026 initiatives focused on “Safety First” and productivity through innovative fire-stopping systems and digital tools.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Sustainability: There is a growing preference for eco-friendly, low-toxicity fire-stopping products to align with Malaysia’s green building policies.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Center Growth: Rapid development of data centers in the Klang Valley and Johor is creating niche demand for high-performance fire-stopping and cable protection systems.</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Fire Safety Implications of Electric Vehicles (EVs) in Malaysia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rise of EVs in Malaysia presents new fire safety challenges, as outlined by the Malaysian Fire Protection Association on February 17, 2025. In 2025, </w:t>
      </w:r>
      <w:r>
        <w:rPr>
          <w:rFonts w:ascii="Times New Roman;Times;Serif" w:hAnsi="Times New Roman;Times;Serif"/>
          <w:b w:val="false"/>
          <w:i w:val="false"/>
          <w:caps w:val="false"/>
          <w:smallCaps w:val="false"/>
          <w:sz w:val="20"/>
          <w:u w:val="single"/>
        </w:rPr>
        <w:t>Malaysia</w:t>
      </w:r>
      <w:r>
        <w:rPr>
          <w:rFonts w:ascii="Times New Roman;Times;Serif" w:hAnsi="Times New Roman;Times;Serif"/>
          <w:b w:val="false"/>
          <w:i w:val="false"/>
          <w:caps w:val="false"/>
          <w:smallCaps w:val="false"/>
          <w:sz w:val="20"/>
        </w:rPr>
        <w:t>’s EV market experienced a historic surge, with registrations more than doubling to reach 44,813 units, a 105.7% increase from 21,789 units in 2024. Lithium-ion battery systems in EVs pose unique fire hazards, burning at higher temperatures than conventional vehicle fires and risking structural damage to steel and concrete.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growing EV infrastructure in Malaysia adds complexity to the fire risk landscape. As of year-end 2025, the country has installed approximately 5,624 EV charging units, spanning all states and federal territories except Labuan. These include 1,791 direct current (DC) fast chargers and 3,569 alternating current (AC) chargers. Selangor leads with approximately 1,912 chargers, followed by Kuala Lumpur (1,462), Penang (600+), and Johor (550+). With the number of EV charging points steadily increasing, fire safety at these stations becomes a critical issue. The Ministry of Investment, Trade and Industry (MITI) has projected that Malaysia will reach 10,000 public EV charging points by the end of 2026 comprised of 8,500 AC chargers and 1,500 DC chargers, a key part of the Low Carbon Mobility Blueprint 2021-2030. Industry associations like the </w:t>
      </w:r>
      <w:r>
        <w:rPr>
          <w:rFonts w:ascii="Times New Roman;Times;Serif" w:hAnsi="Times New Roman;Times;Serif"/>
          <w:b w:val="false"/>
          <w:i w:val="false"/>
          <w:caps w:val="false"/>
          <w:smallCaps w:val="false"/>
          <w:sz w:val="20"/>
          <w:u w:val="single"/>
        </w:rPr>
        <w:t>Malaysia Zero Emission Vehicle Association (MyZEVA)</w:t>
      </w:r>
      <w:r>
        <w:rPr>
          <w:rFonts w:ascii="Times New Roman;Times;Serif" w:hAnsi="Times New Roman;Times;Serif"/>
          <w:b w:val="false"/>
          <w:i w:val="false"/>
          <w:caps w:val="false"/>
          <w:smallCaps w:val="false"/>
          <w:sz w:val="20"/>
        </w:rPr>
        <w:t xml:space="preserve"> estimate the remaining 8,500 AC chargers will be in place by Q3 2026. However, as the EV fleet grows, ensuring these charging points are equipped to handle potential fire hazards is essential.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2023 to July 2025, the </w:t>
      </w:r>
      <w:r>
        <w:rPr>
          <w:rFonts w:ascii="Times New Roman;Times;Serif" w:hAnsi="Times New Roman;Times;Serif"/>
          <w:b w:val="false"/>
          <w:i w:val="false"/>
          <w:caps w:val="false"/>
          <w:smallCaps w:val="false"/>
          <w:sz w:val="20"/>
          <w:u w:val="single"/>
        </w:rPr>
        <w:t>Malaysian Fire and Rescue Department (JBPM)</w:t>
      </w:r>
      <w:r>
        <w:rPr>
          <w:rFonts w:ascii="Times New Roman;Times;Serif" w:hAnsi="Times New Roman;Times;Serif"/>
          <w:b w:val="false"/>
          <w:i w:val="false"/>
          <w:caps w:val="false"/>
          <w:smallCaps w:val="false"/>
          <w:sz w:val="20"/>
        </w:rPr>
        <w:t xml:space="preserve"> recorded 27 fire incidents involving EVs and hybrids, averaging roughly 10 cases annually. Notable incidents, such as the December 2025 fire caused by two EVs at a home in </w:t>
      </w:r>
      <w:r>
        <w:rPr>
          <w:rFonts w:ascii="Times New Roman;Times;Serif" w:hAnsi="Times New Roman;Times;Serif"/>
          <w:b w:val="false"/>
          <w:i w:val="false"/>
          <w:caps w:val="false"/>
          <w:smallCaps w:val="false"/>
          <w:sz w:val="20"/>
          <w:u w:val="single"/>
        </w:rPr>
        <w:t>Section 19, Petaling Jaya</w:t>
      </w:r>
      <w:r>
        <w:rPr>
          <w:rFonts w:ascii="Times New Roman;Times;Serif" w:hAnsi="Times New Roman;Times;Serif"/>
          <w:b w:val="false"/>
          <w:i w:val="false"/>
          <w:caps w:val="false"/>
          <w:smallCaps w:val="false"/>
          <w:sz w:val="20"/>
        </w:rPr>
        <w:t>, causing damage to the vehicles and part of the house structure, an October 2025 EV fire in front of the Temoh Police Station in Perak, and a December 31, 2023, EV fire in Johor, Malaysia that destroyed 90% of a vehicle and damaged a showroom, underscore these risks, particularly in enclosed spaces like urban parking lots. These developments necessitate advanced fire suppression systems and specialized training for first responders to mitigate EV-related fire risks, creating opportunities for our fire safety products.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rise of EVs in Malaysia is an important step toward sustainability, but it also presents new fire safety challenges. As more EVs hit the roads and charging infrastructure expands, fire safety professionals must stay ahead of these developments. Adopting advanced suppression systems, improving building designs, and promoting safe charging practices are essential steps to ensure that the benefits of EV adoption do not come at the cost of safety. Malaysia’s evolving infrastructure must be equipped to handle the growing presence of EVs. With proactive measures in place, the fire safety community can help mitigate the risks and ensure a safer future as we transition to cleaner, greener transportation solutions. To better prepare for these challenges, fire safety professionals must also receive specialized training. Fire safety training services are designed to help first responders, building managers, and safety personnel understand the nuances of lithium-ion battery fires and EV-specific risks. (</w:t>
      </w:r>
      <w:r>
        <w:rPr>
          <w:rFonts w:ascii="Times New Roman;Times;Serif" w:hAnsi="Times New Roman;Times;Serif"/>
          <w:b w:val="false"/>
          <w:i/>
          <w:caps w:val="false"/>
          <w:smallCaps w:val="false"/>
          <w:sz w:val="20"/>
        </w:rPr>
        <w:t>Source: Malaysian Fire Protection Association: The Rise of EVs and Its Fire Safety Implications for Malaysia, posted on 17 February 2025</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the immediate threat to life, EV fires pose serious risks to infrastructure. Lithium-ion battery fires burn at higher temperatures than conventional vehicle fires, potentially compromising the structural integrity of surrounding materials, including steel and concrete. Other structural risks include:</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Heat Intensity: The extreme heat from these fires can weaken load-bearing elements in buildings, particularly in enclosed spaces like underground parking lots.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Toxic Smoke: Fires involving lithium-ion batteries release hazardous gases, such as hydrogen fluoride, which can quickly fill confined areas and pose health risks to both building occupants and first responders.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Re-Ignition Potential: One of the most dangerous aspects of lithium-ion battery fires is their tendency to reignite even after they appear to have been extinguished. This makes them particularly hazardous in enclosed or difficult-to-access spaces, where containment is challenging.</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dense urban areas or facilities with limited ventilation, such as underground garages, these risks are amplified. Poor ventilation and inadequate fire suppression systems can lead to catastrophic outcomes. For fire safety professionals, adapting current protocols to address the specific hazards of EV fires is critical. Existing systems designed for traditional vehicle fires may not be sufficient to combat the unique risks of lithium-ion batteries. Key mitigation strategies include fire detection and suppression systems in high- risk areas, such as underground parking lots, must be upgraded. Specialized equipment, such as water mist systems are required to effectively penetrate battery casings and cool the cells, preventing thermal runaway from escalating.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Relevance to Fitters Sdn. Bhd.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economic growth and infrastructure expansion drive demand for our fire safety equipment, particularly in construction and commercial sectors. The global and Malaysian fire protection markets’ growth supports our distribution of certified products like fire extinguishers and PPE, while the EV trend highlights the need for innovative solutions, aligning with our strategic focus. However, price competition and regulatory compliance remain challenges, which we address through quality certifications and supplier relationships.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drawing>
          <wp:inline distT="0" distB="0" distL="0" distR="0">
            <wp:extent cx="2853055" cy="98298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853055" cy="982980"/>
                    </a:xfrm>
                    <a:prstGeom prst="rect">
                      <a:avLst/>
                    </a:prstGeom>
                  </pic:spPr>
                </pic:pic>
              </a:graphicData>
            </a:graphic>
          </wp:inline>
        </w:drawing>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rapid growth of the construction industry is one of the major drivers of the fire protection systems market. The increasing demand for new and innovative buildings is resulting in an increase in the number of fire incidents. Additionally, the increasing trend of green building and the growing awareness of the importance of fire safety are also contributing to the growth of this market. Investment in research and development (R&amp;D) is also a key factor driving the growth of this market. Various new technologies are being developed to improve the performance of fire protection systems. This is resulting in increased innovation and adoption of new fire protection systems. The increasing popularity of retrofitting fire protection systems is also contributing to the growth of this market. The retrofitting option allows existing buildings to be upgraded without having to replace all of the existing infrastructure. This is resulting in significant cost savings for businesses and governments.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fire protection systems is growing rapidly, as businesses and homeowners become increasingly aware of the importance of protecting themselves and their property from fire. This is due to the increasing prevalence of fires in commercial and residential buildings, as well as the increasing awareness of the dangers of fire. The market for fire protection systems is expected to grow rapidly over the next few years, as businesses and homeowners become increasingly aware of the importance of protecting themselves and their property from fire. This is due to the increasing prevalence of fires in commercial and residential buildings, as well as the increasing awareness of the dangers of fire.</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following strengths differentiate Fitters Sdn. Bhd. in the fire safety market include top quality products and excellent customer service as well as: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Industry Presence: Since 1982, we have built a strong reputation as a reliable supplier of fire safety equipment, supported by our parent company’s market leadership.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Product Offerings: Our product range—including top quality products such as PYRODOR doors and FITTERS FIRE-X—is approved by BOMBA and certified by SIRIM, while our safety apparel hold certifications from both SIRIM and DOSH. These certifications ensure compliance with regulatory standards and foster customer trust.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 Distribution Network: Our use of e-commerce platforms, combined with partnerships with wholesalers and authorized distributors, expands market access, distinguishing us from traditional distributors.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Supplier Relationships: Long-term agreements with reputable manufacturers ensure consistent product availability and quality, mitigating supply chain risks.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Customer-Centric Approach: Our focus on meeting diverse customer needs, including fire safety apparel and industrial fire systems, supports loyalty and repeat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Strong Reputation: We have built up a strong brand reputation.</w:t>
            </w:r>
          </w:p>
        </w:tc>
      </w:tr>
    </w:tbl>
    <w:p>
      <w:pPr>
        <w:pStyle w:val="TextBody"/>
        <w:shd w:fill="FFFFFF" w:val="clear"/>
        <w:bidi w:val="0"/>
        <w:spacing w:before="0" w:after="0"/>
        <w:ind w:left="728"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focuses on expanding market share and enhancing profitability. In order to expand company revenue and market share, we will focus on the following growth strategies: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penetration - improving sales within existing markets by expanding reach and improving customer retention.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4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development - developing new products and services to cater for existing and new customers’ needs.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4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Development - pursuing new geographic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4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Diversification- expanding our product categories.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4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partnerships - collaboration with other companies to leverage their strengths and resources.</w:t>
            </w:r>
          </w:p>
        </w:tc>
      </w:tr>
    </w:tbl>
    <w:p>
      <w:pPr>
        <w:pStyle w:val="TextBody"/>
        <w:shd w:fill="FFFFFF" w:val="clear"/>
        <w:bidi w:val="0"/>
        <w:spacing w:before="0" w:after="0"/>
        <w:ind w:left="728"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Drivers and Opportunities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influenced by several market drivers: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Compliance: BOMBA’s and SIRIM’s stringent standards drive demand for certified fire equipment, ensuring steady orders for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Urban Development: Malaysia’s construction boom, particularly in Kuala Lumpur, increases the need for fire-resistant doors and extinguishers in new buildings.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Industry Growth: The expansion of industrial sectors, such as oil and gas, construction, manufacturing, mining, and utilities, is driving significant growth in demand for fire safety apparel, particularly flame-retardant and fire-resistant clothing.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E-Commerce Trends: Growing online shopping in Malaysia supports our digital distribution strategy, enabling broader customer reach.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Safety Awareness: Increased focus on workplace and residential safety fuels demand for our fire safety apparel and equipment.</w:t>
            </w:r>
          </w:p>
        </w:tc>
      </w:tr>
    </w:tbl>
    <w:p>
      <w:pPr>
        <w:pStyle w:val="TextBody"/>
        <w:shd w:fill="FFFFFF" w:val="clear"/>
        <w:bidi w:val="0"/>
        <w:spacing w:before="0" w:after="0"/>
        <w:ind w:left="728"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Facilities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from leased facilities in Malaysia to support our supply and trading activities: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 Office: Wisma FITTERS, No. 1, Jalan Tembaga SD 5/2, Bandar Sri Damansara, 52200 Kuala Lumpur, Malaysia, serving as our operational and administrative hub.</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Office: Third Floor, No. 77, 79 &amp; 81, Jalan SS21/60, Damansara Utama, 47400 Petaling Jaya, Selangor, Malaysia.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Network: We utilize regional warehouses and logistics partners across Malaysia, coordinated from our Kuala Lumpur head office, to ensure efficient product delivery. Specific warehouse locations are managed by FITTERS Diversified Berhad’s broader infrastructure.</w:t>
            </w:r>
          </w:p>
        </w:tc>
      </w:tr>
    </w:tbl>
    <w:p>
      <w:pPr>
        <w:pStyle w:val="TextBody"/>
        <w:shd w:fill="FFFFFF" w:val="clear"/>
        <w:bidi w:val="0"/>
        <w:spacing w:before="0" w:after="0"/>
        <w:ind w:left="728" w:right="0" w:hanging="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facilities support our ability to source, store, and distribute products effectively.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patents or have pending applications, relying on certifications and supplier agreements for competitive positioning.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a total of 19 full-time employees worldwide, distributed across departments as follows: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4755" w:type="dxa"/>
        <w:jc w:val="left"/>
        <w:tblInd w:w="0" w:type="dxa"/>
        <w:shd w:fill="FFFFFF" w:val="clear"/>
        <w:tblLayout w:type="fixed"/>
        <w:tblCellMar>
          <w:top w:w="0" w:type="dxa"/>
          <w:left w:w="0" w:type="dxa"/>
          <w:bottom w:w="28" w:type="dxa"/>
          <w:right w:w="0" w:type="dxa"/>
        </w:tblCellMar>
      </w:tblPr>
      <w:tblGrid>
        <w:gridCol w:w="320"/>
        <w:gridCol w:w="60"/>
        <w:gridCol w:w="1400"/>
        <w:gridCol w:w="60"/>
        <w:gridCol w:w="2915"/>
      </w:tblGrid>
      <w:tr>
        <w:trPr/>
        <w:tc>
          <w:tcPr>
            <w:tcW w:w="32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DEPARTMENT</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1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STAFF MEMBERS</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APPAREL</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WAREHOUSE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PENANG</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780" w:type="dxa"/>
            <w:gridSpan w:val="3"/>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a diverse customer base including the following types: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and Industrial: Developers and facility managers procure our fire extinguishers and PYRODOR doors for projects like offices and factories. Industrial clients in sectors like oil &amp; gas, construction, and manufacturing rely on our fire safety apparel to protect workers and meet regulatory requirements.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Agencies: Public sector clients source certified fire equipment for compliance with BOMBA and SIRIM/SOH standards.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Retail Consumers: Individual buyers access our safety apparel via e-commerce platforms like Shopee for home and vehicle use.</w:t>
            </w:r>
          </w:p>
        </w:tc>
      </w:tr>
    </w:tbl>
    <w:p>
      <w:pPr>
        <w:pStyle w:val="TextBody"/>
        <w:shd w:fill="FFFFFF" w:val="clear"/>
        <w:bidi w:val="0"/>
        <w:spacing w:before="0" w:after="0"/>
        <w:ind w:left="728" w:right="0" w:hanging="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broad customer mix ensures revenue stability, with strong demand from healthcare and construction sectors.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in a crowded market:</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Distributors: Malaysian suppliers of BOMBA-certified fire equipment and SIRIM/DOSH-certified PPE compete on price and availability, challenging our margins.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Brands: Global manufacturers with established names in fire safety and PPE, such as 3M, Dupont and Daletec, compete in Malaysia, requiring us to emphasize local expertise.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E-Commerce Rivals: Online distributors on platforms like Shopee offer low-cost alternatives, increasing price pressure due to low entry barriers.</w:t>
            </w:r>
          </w:p>
        </w:tc>
      </w:tr>
    </w:tbl>
    <w:p>
      <w:pPr>
        <w:pStyle w:val="TextBody"/>
        <w:shd w:fill="FFFFFF" w:val="clear"/>
        <w:bidi w:val="0"/>
        <w:spacing w:before="0" w:after="0"/>
        <w:ind w:left="728" w:right="0" w:hanging="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counter competition through certified products, reliable supply chains, and e-commerce accessibility, though pricing remains a challenge.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Malaysian regulations: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Standards: Fire equipment and PPE must comply with BOMBA and SIRIM standards, requiring regular certification. Non-compliance risks product bans or fines.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Occupational Safety: PPE distribution adheres to regulations enforced by Malaysia’s Department of Occupational Safety and Health, ensuring end-user safety.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Policies: Foreign worker hiring for logistics is governed by immigration rules, which may raise costs or limit availability.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Regulations: Import duties and supplier compliance affect the sourcing of international products, impacting pricing.</w:t>
            </w:r>
          </w:p>
        </w:tc>
      </w:tr>
    </w:tbl>
    <w:p>
      <w:pPr>
        <w:pStyle w:val="TextBody"/>
        <w:shd w:fill="FFFFFF" w:val="clear"/>
        <w:bidi w:val="0"/>
        <w:spacing w:before="0" w:after="0"/>
        <w:ind w:left="728" w:right="0" w:hanging="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strict compliance to avoid operational or reputational risks.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we are not involved in any material legal proceedings that, individually or in the aggregate, are expected to significantly impact our business, financial condition, or results of operations. Routine disputes, such as supplier or customer contract issues, may arise but are managed promptly with no anticipated material liabilities.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of fire protection companies in Malaysia is primarily governed by the Fire and Rescue Department of Malaysia (BOMBA) under the Fire Services Act 1988 (Act 341). In 2026, the regulatory landscape is shifting toward a self-regulation framework aimed at increasing industry accountability. To operate legally as a fire protection service provider, a company must hold multiple specific registrations: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BOMBA Competent Organization: Only authorized “Competent Organizations” that have completed specified inspection courses can service fire extinguishers and issue the mandatory Electronic Fire Extinguisher Inspection System (eFEIS) barcode certificates.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CIDB Registration: Companies undertaking fire system installation or maintenance must register with the Construction Industry Development Board (CIDB).</w:t>
            </w:r>
          </w:p>
        </w:tc>
      </w:tr>
    </w:tbl>
    <w:p>
      <w:pPr>
        <w:pStyle w:val="TextBody"/>
        <w:bidi w:val="0"/>
        <w:spacing w:before="0" w:after="0"/>
        <w:ind w:left="720" w:right="0" w:hanging="360"/>
        <w:jc w:val="both"/>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75"/>
        <w:gridCol w:w="125"/>
        <w:gridCol w:w="425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4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Mandatory Category: ME02 (Fire Fighting System).</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Grades: Ranging from G1 (projects up to RM200,000) to G7 (unlimited value) based on financial strength and technical expertise.</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Sijil Perakuan Bahan (SPB): Any products or materials used (e.g., fire doors, detectors) must have BOMBA certification via recognized laboratories like SIRIM Berhad.</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Malaysian government is modernizing fire safety enforcement through several new mandates for 2026–2027:</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Fire Safety Managers (FSM): Starting in 2026, certified FSMs and Fire Safety Officers (FSO) will have authority to conduct internal fire safety inspections.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Self-Regulation Transition: These certified managers will submit technical reports directly to BOMBA for Fire Certificate (FC) renewals, reducing the need for annual physical inspections by BOMBA officials to once every 2–3 years.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Mandatory Fire Drills: Beginning in 2026, all buildings classified as “designated premises” must hold mandatory fire drills to qualify for certification renewal.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Enforcement Deadline: Full enforcement for designated premises to hold a Fire Certificate (FC) is expected in the first quarter of 2026; however, some mandatory role requirements (FSM/FSO) have been revised toward 2027 to allow for industry training.</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Malaysia’s regulatory compliance standards require that companies must design and install systems according to recognized Malaysian Standards (“MS”):</w:t>
      </w:r>
    </w:p>
    <w:p>
      <w:pPr>
        <w:pStyle w:val="TextBody"/>
        <w:bidi w:val="0"/>
        <w:spacing w:before="0" w:after="0"/>
        <w:ind w:left="0" w:right="0" w:firstLine="36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170"/>
        <w:gridCol w:w="53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MS 1910:</w:t>
            </w:r>
            <w:r>
              <w:rPr>
                <w:rFonts w:ascii="Times New Roman;Times;Serif" w:hAnsi="Times New Roman;Times;Serif"/>
                <w:b w:val="false"/>
                <w:i w:val="false"/>
                <w:caps w:val="false"/>
                <w:smallCaps w:val="false"/>
                <w:sz w:val="20"/>
              </w:rPr>
              <w:t xml:space="preserve"> Design and installation of automatic sprinkler systems.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3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MS 1539:</w:t>
            </w:r>
            <w:r>
              <w:rPr>
                <w:rFonts w:ascii="Times New Roman;Times;Serif" w:hAnsi="Times New Roman;Times;Serif"/>
                <w:b w:val="false"/>
                <w:i w:val="false"/>
                <w:caps w:val="false"/>
                <w:smallCaps w:val="false"/>
                <w:sz w:val="20"/>
              </w:rPr>
              <w:t xml:space="preserve"> Portable fire extinguisher installation and maintenance.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53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MS 2616:</w:t>
            </w:r>
            <w:r>
              <w:rPr>
                <w:rFonts w:ascii="Times New Roman;Times;Serif" w:hAnsi="Times New Roman;Times;Serif"/>
                <w:b w:val="false"/>
                <w:i w:val="false"/>
                <w:caps w:val="false"/>
                <w:smallCaps w:val="false"/>
                <w:sz w:val="20"/>
              </w:rPr>
              <w:t xml:space="preserve"> Fire pumps for fixed firefighting systems.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Social and Government (“ESG”)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importance of ESG matters, with a specific focus on Human Capital Management, as integral to creating a sustainable foundation for our long-term business strategy. We support professional development at all levels. We also take reports of suspected violations of our codes of conduct and take seriously appropriate 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do not operate manufacturing facilities or manufacture products, we believe that our environmental impact is relatively small. We are involved in office waste reduction practices. We strive to offer excellent benefits and long-term incentives to help retain our workforce.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human capital resources and objectives include identifying, recruiting, retaining and incentivizing our existing and additional employees. The principal purposes of our equity incentive plans are to attract, retain and reward personnel through the granting of equity-based compensation awards in order to increase shareholder value and our success by motivating such individuals to perform to the best of their abilities to achieve our objectives.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our employees to be our most valuable asset. The development, attraction and retention of employees is a critical success factor. To support the advancement of our employees, we offer training and development programs encouraging advancement from within and continue to fill our team with strong and experienced management talent. We recognize that our industry is specialized and dynamic and a significant aspect of our success is our continued ability to execute our human capital strategy of attracting, engaging, developing and retaining highly skilled talent. There is fierce competition both within our industry and in the geographic locations in which we have offices for highly skilled talent, and we offer a robust set of benefits, career-enhancing learning experiences and initiatives aligned with our mission, vision, and values in order to attract qualified prospective employees and to retain and motivate our employees. We offer competitive compensation for our employees and strongly embrace a pay for performance philosophy in setting and adjusting compensation.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codes of conduct clearly outline our commitment to diversity and inclusion, where all employees are welcomed in an environment designed to make them feel comfortable, respected, and accepted regardless of their age, race, national origin, gender, religion, disability or sexual orientation. We have a set of policies explicitly setting forth our expectations for nondiscrimination and a harassment-free work environment. We are also a proud equal opportunity employer and cultivate a highly collaborative and entrepreneurial culture.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Non-Discrimination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tolerate discrimination and are committed to high ethical standards and equal employment opportunities in all personnel actions without regard to race, color, religion, gender, national origin, citizenship status, age, marital status, gender identity or expression, sexual orientation, physical or mental disability, or veteran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or furnish annual, quarterly and current reports and other documents with the SEC. The annual report on Form 10-K, quarterly reports on Form 10-Q and current reports on Form 8-K, including any amendments, will be made available free of charge on our website, www.bgmsglobal.com, as soon as reasonably practicable, following the filing of the reports with the SEC. In addition, our website allows investors and other interested persons to sign up to automatically receive e-mail alerts when news releases and financial information is posted on the website. The SEC also maintains a website, www.sec.gov, that contains reports, proxy and information statements and other information regarding issuers that file electronically with the SEC. The information on or obtainable through our website is not incorporated into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2" w:name="sh_003"/>
      <w:bookmarkEnd w:id="42"/>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Common Stock involves significant risks, some of which are described below. In evaluating our business, investors should carefully consider the following risk factors. These risk factors contain, in addition to historical information, forward-looking statements that involve substantial risks and uncertainties. Our actual results could differ materially from the results discussed in the forward-looking statements. Factors that could cause or contribute to such differences include, but are not limited to, those discussed below. The order in which the following risks are presented is not intended to reflect the magnitude of the risks described. The occurrence of any of the following risks could have a material adverse effect on our business, financial condition, results of operations and prospects. In that case, the trading price of our Common Stock could decline, perhaps significantly, and you therefore may lose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demand for our products is impacted by a number of factors outside of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fire safety division now incorporates our wholly-owned subsidiary, Fitters Sdn. Bhd. a Malaysia headquartered company specializing in supplying, and trading various protective and fire safety equipment to both domestic and international markets. Established in 1982, the Company has built a strong presence in the industry, providing a wide range of fire safety products, including fire equipment, foam system, fire resistant doors, personal protective equipment (“PPE”) and fire safety apparel. Our end markets experience constantly changing demand depending on a number of factors that are out of our control. The demand for our fire protection equipment is driven by the market for our products, which is characterized by rapid technological change, frequent new product introductions and enhancements, uncertain product life cycles, changing customer demands and evolving industry standards, any of which can render existing products obsolete. We believe that our future success will depend in large part on our ability to offer new and effective products in a timely manner and on a cost-effective basis. As a result of the complexities inherent in our products, major new products and product enhancements can require long development and testing periods, which may result in significant delays in the general availability of new releases or significant problems in the implementation of new releases. In addition, if we or our competitors announce or introduce new products our current or future customers may defer or cancel purchases of our products, which could materially adversely affect our business, operating results and financial condition. Our failure to offer, successfully and on a timely and cost-effective basis, new products or new product enhancements that respond to technological change, evolving industry standards or customer requirements, would have a material adverse effect on our business,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performance is tied to customer demand for fire suppression equipment and materials, the decrease of which could adversely affect our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recognizes revenue from, among other things, trading and installation of fire safety materials and equipment. The demand for our fire protection equipment is driven by rapid industrialization, urbanization, and increasing safety awareness. In the December 31, 2025 financial year, our top four customers collectively accounted for 55% of the Company’s total sales, with individual contributions of approximately 36%, 7%, 6%, and 6%, respectively. Accordingly, Fitters relies on a limited number of customers from whom it generates most of its revenue. Dependence on a few customers could make it difficult to negotiate attractive prices for our products and could expose us to the risk of substantial losses if a single dominant customer stops purchasing our products. We have not entered into long-term supply contracts with either of these major customers. Therefore, there can be no assurance that we will maintain or improve our relationships with our major customers, or that we will be able to continue to supply these customers at current levels or at all. If we cannot maintain long-term relationships with these major customers, the loss of sales could have an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any of our customers fail to pay us, our profit and cash flow may be affected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customers are slow in their payment process, their delayed payments may adversely affect our cash flow and our ability to fund our operations out of our operating cash flow. In addition, although we attempt to establish appropriate reserves for our receivables, those reserves may not prove to be adequate in view of actual levels of bad debts. The failure of our customers to pay us in a timely manner could negatively affect our working capital, which could in turn adversely affect our cash flow. Although no customer has failed to pay us even though their payments were delayed, there is no assurance that they will be able to pay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substantially dependent upon our senior management and key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our senior management to manage our business and operations. We also depend on our key personnel for the sales and marketing of our products. We do not maintain key man life insurance on any of our senior management or key personnel. The loss of any one of them would have a material adverse effect on our business and operations. Competition for senior management and our other key personnel is intense and the pool of suitable candidates is limited. We may be unable to locate a suitable replacement for any senior management or key personnel that we lose. In addition, if any member of our senior management or key personnel joins a competitor or forms a competing company, they may compete with us for customers, business partners and other key professionals and staff members of our company. Although each of our senior management and key personnel has signed a confidentiality and non-competition agreement in connection with his employment with us, we cannot assure you that we will be able to successfully enforce these provisions in the event of a dispute between us and any member of our senior management or key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for qualified personnel with other fire products businesses. Intense competition for these personnel could cause our compensation costs to increase, which could have a material adverse effect on our results of operations. Our future success and ability to grow our business will depend in part on the continued service of these individuals and our ability to identify, hire and retain additional qualified personnel. If we are unable to attract and retain qualified employees, we may be unable to meet our business and financial goals.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pay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our operations will result in sufficient revenues to enable us to operate at profitable levels or to generate positive cash flows. Furthermore, there is no assurance our Board of Directors will declare dividends even if we remain profitable. Dividend policy is subject to the discretion of our Board of Directors and will depend on, among other things, our earnings, financial condition, capital requirements and other factors.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carry business interruption insurance so we could incur unrecoverable losses if our business is interrupted.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inherent to our business, including equipment failure, theft, natural disasters, labor disturbances, business interruptions, property damage, and product liability. We do not carry any business interruption insurance or third-party liability insurance or other insurance to cover risks associated with our business. As a result, if we suffer losses, damages or liabilities, including those caused by natural disasters or other events beyond our control and we are unable to make a claim against a third party, we will be required to bear all such losses from our own funds, which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raise additional capital to grow our business and satisfy our anticipated future liquidity needs, and we may not be able to raise it on terms acceptable to us,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and operating our business will require significant cash outlays, liquidity reserves and capital expenditures and commitments to respond to business challenges, including developing or enhancing new or existing products. As of December 31, 2025, we had cash on hand of $3.5 million. If cash on hand and cash generated from operations are not sufficient to meet our cash and liquidity needs, we may need to seek additional capital, potentially through debt or equity financing. To the extent that we raise additional capital through the sale of additional equity or convertible securities, your ownership interest may be diluted, and the terms of these securities may include liquidation or other preferences that adversely affect your rights as a stockholder. Debt financing, if available, would result in increased fixed payment obligations and a portion of our operating cash flows, if any, being dedicated to the payment of principal and interest on such indebtedness. In addition, debt financing may involve agreements that include restrictive covenants that impose operating restrictions, such as restrictions on the incurrence of additional debt, the making of certain capital expenditures or the declaration of dividends. Any additional fundraising efforts may divert our management from their day-to-day activities, which may adversely affect our ability to develop and commercialize our products. Even if we believe we have sufficient funds for our current or future operating plans, we may seek additional capital if market conditions are favorable or considering specific strategic considerations. If we are unable to obtain funding on a timely basis, we may be required to significantly curtail, delay or discontinue one or more of our operations or otherwise capitalize on our business opportunities, as desired, which could materially affect our business, operating results and prospects and cause the price of the common stock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capital in the future could cause dilution to our existing shareholders and may restrict our operations or require us to relinquish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seek additional capital through a combination of private and public equity offerings, debt financing and collaborations and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 Debt financing, if available, would result in increased fixed payment obligations and may involve agreements that include covenants limiting or restricting our ability to take specific actions such as incurring debt, making capital expenditures or declaring dividends. If we raise additional funds through collaboration or strategic alliance arrangements with third parties, we may have to relinquish valuable rights to our future revenue streams or product candidates on terms that are not favorable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from changes to trade policies, tariffs and import/export regulations by the U.S. and/or other foreign governments.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import and export policies, including trade restrictions, new or increased tariffs or quotas, embargoes, sanctions and counter sanctions, safeguards or customs restrictions by the U.S. and/or other foreign governments, could require us to change the way we conduct business and adversely affect our financial condition, results of operations, reputation and our relationships with customers and suppliers. Changes in laws and policies governing foreign trade, manufacturing, development and investment in the countries where we currently conduct business could adversely affect our business.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international operations and export sales to constitute a significant portion of our revenue. Both our sales from international operations and export sales are subject in varying degrees to risks inherent to doing business outside of Malaysia and the United States. These risks include the following:</w:t>
      </w:r>
    </w:p>
    <w:p>
      <w:pPr>
        <w:pStyle w:val="TextBody"/>
        <w:bidi w:val="0"/>
        <w:spacing w:before="0" w:after="0"/>
        <w:ind w:left="0" w:right="0" w:firstLine="360"/>
        <w:jc w:val="both"/>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170"/>
        <w:gridCol w:w="704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possibility of unfavorable circumstances arising from host country laws or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exchange rate fluctuations and restrictions on currency repatriation;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negative consequences from changes to taxation policies;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of operations from labor and political disturbances;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tariff and trade barriers and import and export licensing requirements;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70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insurrection or war.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payment of distributions, loans or advances to us by our foreign subsidiaries could be subject to restrictions on, or taxation of, dividends on repatriation of earnings under applicable local law, monetary transfer restrictions and foreign currency exchange regulations in the jurisdictions in which our subsidiaries operate. In addition to the general risks that we face outside Malaysia and the United States, we now conduct more of our operations in emerging markets than we have in the past, which could involve additional uncertainties for us, including risks that governments may impose limitations on our ability to repatriate funds; governments may impose withholding or other taxes on remittances and other payments to us, or the amount of any such taxes may increase; an outbreak or escalation of any insurrection or armed conflict may occur; governments may seek to nationalize our assets; or governments may impose or increase investment barriers or other restrictions affecting our business. In addition, emerging markets pose other uncertainties, including the protection of our intellectual property, pressure on the pricing of our products, and risks of political instability. We cannot predict the impact such future, largely unforeseeable events might have on our business, financial condition, results of operations and cash flow.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profitability could be negatively impacted by price and inventory risk related to our business, including commodity price exposure.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realized margins depend on the differential of sales prices over our total supply costs. Our profitability is therefore sensitive to changes in product prices caused by changes in supply, transportation and storage capacity or other market conditions. Market, weather or other conditions beyond our control may disrupt our expected supply of product, and we may be required to obtain supply at increased prices that cannot be passed through to our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industry is very competitive and some of our products are commodities.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from both new entrants and existing competitors in the fire services industries. The businesses are competitive due to the presence of other local and international producers and suppliers of fire protection systems. The competitors may affect the Company’s revenue and market share, which may in turn affect the financial performance of the Company. In this respect, the competitors from the fire protection systems are constantly developing more advanced technology and product formulations in order to gain a larger market share and a competitive edge.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barriers to entry for new distributors of fire protection equipment are low as they can source products or systems that already have the relevant product certifications obtained by the respective manufacturer or supplier. As such, the competition that the Company faces face may result in, among others, reduction in the prices of the Company’s products thus affecting the Company’s profit margins, increase in the Company’s marketing activities and thus expenses, and/ or loss of business due to competitors’ offerings, which may adversely affect the Company’s business operations and financial performance. There can be no assurance that the Company will continue to compete effectively in the industries and failure to do so may adversely affect its growth prospects and financial performance.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assurance that our existing projects will not be delayed or terminated and there can also be no certainty that our order book will be continually maintained at such level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for the fire services division is largely dependent on the sustainability of the Company’s order book, which is in turn affected by the business and economic condition in Malaysia, as well as the Company’s ability to tender for the new projects by competing against other competitors in terms of pricing, timely delivery and quality. There is no assurance that the Company’s existing projects will not be delayed or terminated and there can also be no certainty that the Company’s order book will be continually maintained at such level in the future. The sustainability of our order book refers to the long-term viability and success of our business, which relies on fulfilling orders. A sustainable order book is characterized by consistent demand, effective operations, and adaptability to changing market conditions and relates to ensuring the business continues to receive and process orders in a way that is profitable and environmentally responsible.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maintain our relationship with, or serve, our customers at current levels. In addition, there is no assurance that any new agreement we enter into to supply or share services or facilities will have terms as favorable as those contained in current arrangements. Less favorable contract terms and conditions under any customer contract or contract for supply, purchase or shared services or facilities,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from the improper conduct of, or use of our products by, employees, agents, government contractors, or collaborators could adversely affect our reputation as well as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Unapproved or improper use of our products, or inadequate disclosure of risks or other information relating to the use of our products can lead to injury or other serious adverse events. These events could lead to recalls or safety alerts relating to our products (either voluntary or as required by governmental authorities), and could result, in certain cases, in the removal of a product from the market. A recall could result in significant costs and lost sales and customers, enforcement actions and/or investigations by state and federal governments or other enforcement bodies, as well as negative publicity and damage to our reputation that could reduce future demand for our products. Personal injuries relating to the use of our products can also result in significant product liability claims being brought against us. See “—Some of the products we produce may cause adverse health consequences or environmental impacts, which exposes us to product liability and other claims, and we may, from time to time, be the subject of indemnity claims. Indemnity and insurance coverage could be inadequate or unavailable to cover such product liability and other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ensure that our compliance controls, policies, and procedures will in every instance protect us from acts committed by our employees, agents, contractors, service providers or collaborators that would violate the laws or regulations of the jurisdictions in which we operate, including, without limitation, employment, foreign corrupt practices, trade restrictions and sanctions, environmental, competition, and privacy laws and regulations. Such improper actions could subject us to civil or criminal investigations, and monetary and injunctive penalties, and could adversely impact our reputation as well as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guarantee that we will be able to continue purchasing products from our suppliers on a long-term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we will be able to continue purchasing products from our current suppliers on a long-term basis. Some supply contracts are renewable or renew automatically unless notice of termination is given, however there can be no assurance that they will be renewed or that notice of termination will not be given. We also have long-term relationships with certain suppliers, but there are no assurances that such relationships, and related supply, will continue. Finding a new supplier may take a significant amount of time and resources, and once we have identified such new supplier, we would have to ensure that they meet our standards for quality control and have the necessary technical capabilities, responsiveness, high-quality service and financial stability. If we are unable to efficiently manage our supply chain and/or ensure that our products are available to meet consumer demand, our operating costs could increase and our profit margins could decrease.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of our specialty products and fire retardant products is concentrated at certain facilities of our suppliers. In the event of a significant manufacturing difficulty, disruption or delay, we may not be able to purchase products without incurring material additional costs and substantial delays. Furthermore, these risks could materially and adversely affect our business if our suppliers’ facilities are impacted by a natural disaster or other interruption at a particular location. As a result, protracted regional crises, or issues with manufacturing facilities could lead to eventual shortages of products and it could be difficult or impossible, costly and time consuming to obtain alternative sources for products. In addition, difficulties in transitioning from an existing supplier to a new supplier could create delays in component availability that would have a significant impact on our ability to fulfill orders for our products.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negatively affected by labor issues and higher labor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workforce depends on our ability to attract and retain new and existing employees. As of the date of this filing, none of our employees are covered by collective bargaining agreements and we consider our labor relations to be acceptable. However, we could experience workforce dissatisfaction which could trigger bargaining issues, employment discrimination liability issues as well as wage and benefit consequences, especially during critical operation periods. We could also experience a work stoppage or other disputes which could disrupt our operations and could harm our operating results. In addition, legislation or changes in regulations could result in labor shortages and higher labor costs. There can be no assurance that we may not experience labor issues that negatively impact our operations or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interest rate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market risks due to fluctuations in interest rates on our debt. Increases in interest rates will increase the cost of new borrowings and our interest expense. Accordingly, fluctuations in interest rates can lead to significant fluctuations in the fair value of our debt instruments. We do not use any derivative instruments to manage our interest rate risk exposure. We have not been subject to nor do we anticipate being exposed to material risks due to changes in interest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Unfavorable economic and market conditions could materially and adversely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arising from adverse changes in global economic conditions. We have significant operations outside the U.S., including some in emerging markets. Long-term economic uncertainty in some of the regions of the world in which we operate could result in declines in revenue, profitability and cash flow due to reduced orders, payment delays, supply chain disruptions or other factors caused by the economic challenges faced by our customers, suppliers, and other business partners, which could negatively impact our business and could result in declines in our consolidated results of operations and cash flow.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in various geographic and product markets including Malaysia, Singapore and British Virgin Island. We expect revenue from these markets to be significant for the foreseeable future. Important factors impacting our businesses include the overall strength of these economies and our customers’ confidence in both local and global macro-economic conditions; industrial and federal, state, local and municipal governmental spending; the strength of the residential and commercial real estate markets; interest rates; availability of commercial financing for our customers and end-users; and unemployment rates. A slowdown or downturn in these financial or macro-economic conditions could have a significant adverse effect on our business, financial condition, results of operations and cash flow.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and expect to continue to experience fluctuations in revenues and operating results due to economic and business cycles, particularly within the portion of our business that provides products and services used in residential and commercial buildings. We believe our level of business activity is influenced by residential and commercial building starts and renovations, which are heavily influenced by interest rates, consumer debt levels, changes in disposable income, employment growth and consumer confidence. Credit market conditions greatly affect the ability of residential and commercial builders to obtain the necessary capital to complete and begin new projects. We closely monitor the credit worthiness of our customers, and evaluate their financial ability to pay for those products and services we provide to them. As it relates to our customers’ ability to pay for products and services, we have not experienced any significant negative impact as a result of the recent economic downturn. If market conditions worsen, it may result in a delay or cancellation of orders from our customers or potential customers and adversely affect our revenues and our ability to manage inventory levels, collect customer receivables and maintain current levels of profitability.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economic conditions could negatively affect our prospects for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prospects for growth may be directly affected by the general global economic conditions of the industries in which our suppliers, partners and customer groups operate. Our business will be highly dependent on the economic and market conditions in each of the geographic areas in which we operate. These conditions affect our business by reducing the demand for fire prevention products in times of economic downturn and increasing the price of our products in times of increasing demand. There can be no assurance that global economic conditions will not negatively impact our liquidity, growth prospects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political, economic and regulatory conditions in Malaysia and the United States could materially affect our financials and prospects. Political, economic and regulatory uncertainties include, amongst others, risks of war, changes in political state, changes in economic conditions, changes in governmental policies such as changes to labour laws, introduction of new rules or regulations, interest rates, tariff rates, fiscal and monetary policies and method of taxation.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rely on information technology and communications networks, and operations that are vulnerable to damage or disturbance from a variety of sources. Regardless of protection measures, essentially all systems are susceptible to disruption due to failure, vandalism, computer viruses, security breaches, natural disasters, power outages and other events. In addition, cybersecurity threats are evolving and include, among others, malicious software, attempts to gain unauthorized access to data, and other electronic security breaches that could lead to disruptions in our systems, unauthorized release of confidential or otherwise protected information and corruption of data. We also have a concentration of operations in certain sites, e.g., production, and shared services centers, where business interruptions could cause material damage and costs. Transport of goods from suppliers, and to customers, could also be hampered for the reasons stated above. Although we have assessed these risks, implemented controls, and performed business continuity planning, we cannot be sure that interruptions with material adverse effects will not occur.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markets in which we operate are highly competitive, and some of our competitors have greater financial and other resources than we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competitive pressures faced by us could materially and adversely affect our business, results of operations and financial condition. The safety products and solutions market is highly competitive, with participants ranging in size from small companies focusing on single types of safety products, to large multinational corporations that manufacture and supply many types of safety products and solutions. Our main competitors vary by region and product. We believe that participants in this industry compete primarily on the basis of product characteristics (such as functional performance, technology, cost of ownership, comfort, design and style), price, service and delivery, integrated solutions, customer support, the ability to meet the special requirements of customers, brand name trust and recognition, purchasing options, and e-business capabilities. Some of our competitors have greater financial and other resources than we do, and our business could be adversely affected by competitors’ new product innovations, technological advances made to competing products and solutions and pricing changes made by us in response to competition from existing or new competitors. We may not be able to compete successfully against current and future competitors, and the competitive pressures faced by us could have a material adverse effect our business, consolidated results of operations and financial condition. In addition, e-commerce is a rapidly developing area, and the execution of a successful e-business strategy involves significant time, investment and resources. If we are unable to successfully expand e-business capabilities in support of our customer needs, our brands may lose market share, which could negatively impact revenue and profitability.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compete successfully in our marketplace, it will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existing products in the fire prevention products marketplace that compete with our products. Companies may develop new products that compete with our products. Certain competitors and potential competitors have longer operating histories, substantially greater product development capabilities and financial, scientific, marketing and sales resources. Competitors and potential competitors may also develop fire prevention products that are more effective or have other potential advantages compared to our fire prevention products. Certain competitors and potential competitors have broader fire prevention product offerings and extensive customer bases, allowing them to adopt aggressive pricing policies that would enable them to gain market share. Competitive pressure could result in price reductions, reduced margins and loss of market share. We could encounter potential customers that, due to existing relationships with our competitors, are committed to fire prevention products offered by those competitors. As a result, those potential customers may not consider purchasing our fire prevention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Regulatory and 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market and sell our products and solutions is subject to existing government laws, regulations and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such laws, regulations and standards or our failure to comply with them could materially and adversely affect our results of operations. Most of the fire safety products we offer and sell are required to meet performance and test standards designed to protect the safety of people and infrastructures around the world and are required to comply with other various laws and regulations in the applicable markets where sold. Our inability to comply with these standards and regulations could result in declines in revenue, profitability and cash flow. Changes in laws, regulations, or the standards themselves, including changes resulting from the outcome of federal, national, state or provincial elections, could reduce the demand for our products thereby creating opportunities for our competitors. Regulatory approvals for our fire safety products may be delayed or denied for a variety of reasons that are outside of our control. Additionally, market anticipation of significant new standards can cause customers to accelerate or delay buying decisions.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stringent and evolving fire safety regulations in Malaysia could negatively affect our prospects for growth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stringent and evolving fire safety regulations in Malaysia. Failure to obtain, maintain, or renew required certifications from the Fire and Rescue Department of Malaysia (“BOMBA”) or other regulatory bodies could materially and adversely affect our business, results of operations, and financial condition. Our fire safety products and installations are strictly governed by the Fire Services Act 1988 (Act 341) and various subsidiary legislations. As of 2026, the regulatory environment in Malaysia has become increasingly rigorous, with the commencement of full enforcement regarding Fire Certificates (FC) for designated premises in the first quarter of 2026. Many of our fire safety installations require a Sijil Perakuan Bahan (Material Certification Certificate) issued by BOMBA. This involves meeting standards set by the Standard and Industrial Research Institute of Malaysia (SIRIM) before an approval certificate is granted. Any delay in testing, failure to meet these standards, or changes in the list of laboratories authorized by the Director General for testing could prevent us from marketing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Starting in 2026, buildings in designated categories must hold mandatory fire drills to renew their fire certifications. If our clients fail to comply due to deficiencies in our equipment or advisory services, we may face contract terminations or reputational damage. The Occupational Safety and Health Act in Malaysia (“OSHA”), which aims to ensure the safety, health and welfare of people at work and to protect others from safety and health hazards in all workplaces throughout Malaysia. Recent amendments to OSHA have significantly increased maximum fines for breaches—ranging from RM 100,000 to RM 500,000—and introduced potential imprisonment of up to two years for company directors and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January 1, 2026, a new self-regulation framework grants Fire Safety Managers authority to issue technical reports, subject to periodic BOMBA audits every 2–3 years. Any failure by our personnel to maintain “competent person” status or if our reports are found non-compliant during audits could lead to the revocation of our operating licenses. The 2025 amendment to the Fire Safety Act 1988 introduced formal requirements for Fire Risk Analysis Reports, which must now be prepared by Registered Fire Safety Consultants. If we are unable to retain such qualified professionals, our service offerings would be legally restricted. New or stricter laws and regulations may be introduced that could result in additional compliance costs and prevent or inhibit the distribution and sale of our products, which could have a significant negative impact on our ability to generate revenue and adversely impact our business, financial condition and results of operation.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our products may be subject to government regulations pertaining to exportation, which may limit the markets in which we can sell some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sales of certain of our products may be subject to U.S. laws, regulations and policies and other export laws and regulations and may be subject to first obtaining licenses, clearances or authorizations from various regulatory entities. If we are not allowed to export our products or the clearance process is burdensome, our ability to generate revenue would be adversely affected. The failure to comply with any of these regulations could adversely affect our ability to conduct our business and generate revenues, as well as increase our operating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product liability or warranty claims that could require us to make significant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be exposed to product liability claims in the event that the use of our products results, or is alleged to result, in bodily injury and/or property damage. There is a risk that we will experience product liability or warranty losses in the future or that we will incur significant costs to defend such claims. Such losses and costs may be material. While we currently have product liability insurance, our product liability insurance coverage may not be adequate for any liabilities that may ultimately be incurred or the coverage may not continue to be available on terms acceptable to us. A successful claim brought against us in excess of our available insurance coverage could require us to make significant payments or a requirement to participate in a product recall which may harm our reputation or profitability.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the subject of litigation by customers, suppliers and other third parties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our Company nor any of our subsidiaries currently is a party to any legal proceeding that, individually or in the aggregate, is material to our company as a whole. However, from time to time, we may become involved in various lawsuits and legal proceedings that arise in the ordinary course of business. The costs incurred in litigation can be substantial, regardless of the outcome. Proceedings that we believe are insignificant may develop into material proceedings and subject us to unforeseen outcomes or expenses. Additionally, the actions of certain participants in our industry may encourage legal proceedings against us or cause us to reconsider our litigation strategies. As a result, we could from time to time incur judgments, enter into settlements or revise our expectations regarding the outcome of certain matters, and such developments could harm our reputation and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Claims of injuries or potential safety issues or quality concerns could be made against our various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fire safety products and solutions are often used in high-risk and unpredictable environments and our mission, reputation and business success rely on our ability to provide safe, high quality and reliable products that earn and maintain customer trust. In the event that those using our fire safety products and solutions are injured, or if any of our fire safety products or solutions are alleged to have contributed, we could be subject to claims or suffer reputational harm even though those fire safety products or solutions are manufactured by third parties. We continue to review, update, and execute the Company’s quality management processes appropriately to meet changing market demands, technology, and fire safety product standards. Any significant claims, recalls or field actions that result in significant expense or negative publicity against us could have a material adverse effect on our business, operating results, financial condition and liquidity, including any successful claim brought against us in excess or outside of available insurance coverage.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related to our environmental, social and governance activities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social and governance, often referred to as ESG, has continued to be an area of focus from investors, customers, employees, and lawmakers, who at times may have competing, inconsistent, or varying interests. ESG-related regulations at both state and national levels are requiring heightened attention, including climate-related disclosures. As reporting and disclosure requirements continue to evolve, the Company anticipates increasing investor expectations and additional regulatory requirements, among other demands related to our ESG activities. Failure to accurately and timely meet these expectations and requirements may result in reputational damage, regulatory penalties and litigation among other consequences.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general governmental regulation and other legal obligations, including those related to privacy, data protection and information security, and our actual or perceived failure to comply with such obligations could harm our business. Compliance with such laws could also impair our efforts to maintain and expand our customer base, and thereby decrease our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store and process personal information and other data from and about customers in addition to our employees and services providers. Our handling of data is subject to a variety of laws and regulations, including regulation by various government agencies, such as the U.S. Federal Trade Commission (the “FTC”) and various state, local and foreign agencies. Our data handling also is subject to contractual obligations and industry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and various state governments have adopted or proposed limitations on the collection, distribution, use, storage and security of data relating to individuals, including the use of contact information and other data for marketing, advertising and other communications with individuals and businesses. Additionally, the FTC and many state attorneys general are interpreting federal and state consumer protection laws as imposing standards for the online collection, use, dissemination and security of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foreign countries and governmental bodies, including the European Union, have laws and regulations dealing with the handling and processing of personal information obtained from their residents, which in certain cases are more restrictive than those in the United States, and we expect additional jurisdictions may enact similar regulations. Laws and regulations in these jurisdictions apply broadly to the collection, use, storage, disclosure and security of various types of data, including data that identifies or may be used to identify an individual, such as names, email addresses and in some jurisdictions, Internet Protocol addresses. Within the European Union, legislators have adopted the General Data Protection Regulation (the “GDPR”) which became effective in May 2018. The GDPR includes more stringent operational requirements for processors and controllers of personal data than previous EU data protection laws and imposes significant penalties for non-compliance.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domestic and foreign laws and regulations relating to privacy and data security are evolving, can be subject to significant change and may result in ever-increasing regulatory and public scrutiny and escalating levels of enforcement and sanctions. Interpretation of certain requirements remains unclear and may evolve, in particular for regulations that have recently been enacted. Application of laws may be inconsistent or may conflict among jurisdictions resulting in additional complexity and increased legal risk. In addition, these regulations have increased our compliance costs and may impair our ability to grow our business or offer our service in some locations, may subject us to liability for non-compliance, may require us to modify our data processing and transferring practices and policies and may strain our technical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handle credit card and other personal information. Due to the sensitive nature of such information, we have implemented procedures in an effort to preserve and protect our data and our customers’ data against loss, misuse, corruption, misappropriation caused by systems failures, unauthorized access or misuse. Notwithstanding these procedures, we could be subject to liability claims by individuals and customers whose data resides in our databases for the misuse of that information. If we fail to meet appropriate compliance levels, this could negatively impact our ability to utilize credit cards as a method of payment, and/or collect and store credit card information, which could disrupt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rules of the FTC, the Federal Communications Commission (the “FCC”) and potentially other federal agencies and state laws related to commercial electronic mail and other messages. Compliance with these provisions may limit our ability to send certain types of messages. If we were found to have violated such rules and regulations, we may face enforcement actions by the FTC or FCC or face civil penalties, either of which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customers and partners to lose trust in us, which could have an adverse effect on our reputation and business. We expect that there will continue to be new proposed laws, regulations and industry standards relating to privacy, data protection, marketing, consumer communications, information security and local data residency in the United States, the European Union and other jurisdictions, and we cannot determine the impact such future laws, regulations and standards may have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various U.S. and foreign tax laws and any changes in these laws related to the taxation of businesses and resolutions of tax disputes could adversely affect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Congress, the Organization for Economic Co-operation and Development (“OECD”) and other government agencies in jurisdictions in which we and our affiliates invest or do business have maintained a focus on issues related to the taxation of multinational companies. The OECD has changed numerous long-standing tax principles through its base erosion and profit shifting project which could adversely impact our effective tax rate. We are subject to regular review and audit by both foreign and domestic tax authorities. While we believe our tax positions will be sustained, the final outcome of tax audits and related litigation may differ materially from the tax amounts recorded in our consolidated financial statements, which could have a material adverse effect on our consolidated results of operations, financial condition and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operating losses, and we expect to incur losses for the foreseeable future. We may never become profitable. Our stock is a highly speculative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operating losses in each year since beginning operations in 1996 due to costs incurred in connection with our research and development activities and selling, general and administrative costs associated with our operations, we expect to incur significant losses for the next several years and we may never achieve profitability. As of December 31, 2025 and December 31, 2024, our accumulated deficit was $454.4 million and $439.5 million, respectively. Our net loss was $3.0 million and $11.2 million for the years ended December 31, 2025 and 2024, respectively. If we fail to become and remain profitable, or if we are unable to fund our continuing losses, particularly in light of the current economic conditions, you could lose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regarding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cash and cash equivalents were $3.5 million compared to $3.1 million at December 31, 2024. Based on our current operating plan, there is substantial doubt regarding our ability to continue as a going concern for a period of one year after the date that our financial statements for the year ended December 31, 2025 are issued. To meet our long-term financing requirements, we may raise funds through public or private equity offerings, debt financings or strategic alliances.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Raising additional funds by issuing equity or convertible debt securities may cause our stockholders to experience substantial dilution in their ownership interests and new investors may have rights superior to the rights of our other stockholders. To the extent equity valuations, including the trading price of our common stock, are depressed as a result of economic disruptions or other uncertainties, for example due to rising inflationary pressures, ongoing military conflicts or other factors, the potential magnitude of this dilution will increase. Raising additional funds through debt financing, if available, may involve covenants that restrict our business activities and 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Geopolitical and macroeconomic events and conditions could adversely affect our business, operating results, financial condition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sensitive to geopolitical and security issues, including foreign policy actions taken by governments such as tariffs, sanctions, embargoes, export and import controls and other trade restrictions, which can affect the demand for our products and services, the ability to sell our products and services, and disrupt our supply chain, all of which could adversely affect our business. Global conflicts, including Russia’s invasion of Ukraine, have significantly elevated global geopolitical tensions and security concerns. In addition, the U.S. Government and other nations have implemented broad economic sanctions and export controls targeting Russia, which, combined with the Ukraine conflict, has indirectly disrupted the global supply chain and increased pressures on certain resources. The Ukraine conflict also has increased the threat of malicious cyber activity from nation states and other actors.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Heightened levels of inflation and the potential worsening of macro-economic conditions, including slower growth or recession, changes to fiscal and monetary policy, tighter credit, higher interest rates and currency fluctuations, present a risk for us, our suppliers and the stability of the broader defense industrial base. If we are unable to successfully mitigate the impact of inflation, our profits, margins and cash flows, particularly for existing fixed-price contracts, may be adversely affected. Although we believe defense spending is more resilient to adverse macro-economic conditions than many other industrial sectors, our suppliers and other partners, many of which are more exposed to commercial markets or have fewer resources, may be adversely impacted to a more significant degree than we are by an economic downturn, which could affect their performance and have an adverse impact on our operations. In addition, macroeconomic conditions could cause budgetary pressures for our government customers resulting in reductions or delays in spending, which could adversely impact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Inflation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2026, Malaysia’s inflation is projected to remain manageable, with headline inflation estimated to average between 1.3% and 2.0%. While this is slightly higher than the 1.4% average seen in 2025, it remains below the long-term historical average of 2.3%. Despite this stable outlook, several upside and downside risks persist. The primary domestic risk stems from the continued rationalization of subsidies, particularly for fuel (RON95) and electricity. While targeted aid is intended to cushion the impact, these reforms could push headline rates toward the upper end of projections (approximately 2.0%) as direct costs pass through to consumers. Malaysia remains highly exposed to trade uncertainties and geopolitical tensions. Upside risks include potential new tariffs (specifically from the U.S.) and supply chain disruptions that could increase the cost of imported goods. The introduction of a multi-tier levy for migrant workers and the second phase of civil servant wage increases in January 2026 are expected to add cost pressures in labor-intensive sectors. A weaker Ringgit could lead to “imported inflation” by making imports more expensive. Conversely, a stronger Ringgit (forecasted to reach RM4.00 per USD by late 2026) is currently serving as a buffer against these pressures. Additionally, because a substantial portion of our assets consists of cash and cash equivalents and short-term investments, high inflation could significantly reduce the value and purchasing power of these assets. We are not able to hedge our exposures to higher inflation in Malaysia.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use net operating loss and certain built-in losses to reduce future tax payments is limited by provisions of the Internal Revenue Code and may be subject to further limitation as a result of the transactions completed in connection with our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382 of the Internal Revenue Code of 1986, as amended, if a corporation undergoes an “ownership change” (generally defined as a greater than 50% change (by value) in its equity ownership over a three-year period), the corporation’s ability to use its pre-change net operating loss carryforwards and other pre-change tax attributes to offset its post-change income may be limited. As a result of our most recent acquisition of Fitters plus private placement and other transactions that have occurred over the past three years, we may have experienced an “ownership change.” We may also experience ownership changes in the future as a result of subsequent shifts in our stock ownership. As of December 31, 2025, we had federal and state net operating loss carryforwards of approximately $8.0 million and $21.4 million compared to December 31, 2024, we had federal and state net operating loss carryforwards of approximately $3.5 million and $16.9 million, respectively. There were no federal or state research and development credits.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under U.S. tax legislation enacted in December 2017, although the treatment of tax losses generated before December 31, 2017 has generally not changed, tax losses generated in calendar year 2018 and beyond do not expire but may only offset 80% of our taxable income, which change may require us to pay federal income taxes in future years despite generating a loss for federal income tax purposes in prior years. The CARES Act temporarily allowed 100% offsets and 5-year carrybacks for losses arising in 2018, 2019, and 2020. These temporary provisions have since expired, and the standard 80% limit was reinstated for tax years beginning after December 31, 2020. Further, net operating loss have been permanently extended or maintained by subsequent legislation, including the One Big Beautiful Bill (OBBB) Act of 2025.</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continued listing requirements of the Nasdaq Capital Market, our common stock may be delisted and the price of our common stock and our ability to access the capital markets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for trading on the Nasdaq Capital Market (“Nasdaq”). We must satisfy Nasdaq’s continued listing requirements, including, among other things, a minimum stockholders’ equity of $2.5 million and a minimum bid price for our common stock of $1.00 per share, or risk delisting, which would have a material adverse effect on our business. In order to maintain our listing, we must also maintain continued business operations so that we are not characterized as a “public shell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delisting of our common stock from the Nasdaq Capital Market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25, 2025, Nasdaq notified the Company that it has regained compliance with the equity requirement in Listing Rule 5550(b)(1) (the “Equity Rule”), as required by the Nasdaq Hearing Panel’s decision dated October 22, 2024. As previously reported by the Company on Form 8-K, filed with the SEC on October 24, 2024, on October 15, 2024, the Company met with the Nasdaq Hearings Panel regarding its potential delisting from Nasdaq as a result of its non-compliance with the Equity Rule. On October 22, 2024, the Company received the Nasdaq Hearings Panel decision which granted the Company until December 24, 2024 to regain compliance with the Equity Rule. Following the Company’s regaining compliance with the Equity Rule pursuant to the February 25, 2025, the Company will be subject to a Mandatory Panel Monitor for a period of one year from February 25, 2025 pursuant to Listing Rule 5815(d)(4)(B).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4" w:right="0" w:firstLine="3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the “Company filed an amendment to its Certificate of Incorporation (the “May Certificate of Amendment”) to implement a one-for-sixteen reverse stock split. The effective date of the Certificate of Amendment is May 12, 2025 (the “May 12 Effective Date”). The Company’s common stock began trading on a split-adjusted basis when the market opens on the May 12 Effective Date. The Board of Directors of the Company approved the amendment to the Company’s Certificate of Incorporation primarily to meet the share bid price requirements of The Nasdaq Capital Market. The Company’s stockholders approved the Certificate of Amendment at a special meeting of its stockholders held on February 6, 2025. As a result of the reverse stock split, on the Effective Date, every sixteen shares of common stock then issued and outstanding automatically were combined into one share of common stock, with no change in par value per share. No fractional shares were outstanding following the reverse stock split, and any fractional shares that would have resulted from the reverse stock split were (a) rounded up to the nearest whole number for any shareholder who would otherwise be entitled to receive one-half or more of a fractional split-adjusted share, and (b) rounded down to the nearest whole number for any shareholder who would otherwise be entitled to receive less than one-half of a fractional split-adjusted share.</w:t>
      </w:r>
    </w:p>
    <w:p>
      <w:pPr>
        <w:pStyle w:val="TextBody"/>
        <w:bidi w:val="0"/>
        <w:spacing w:before="0" w:after="0"/>
        <w:ind w:left="14" w:right="0" w:firstLine="3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the Company) filed an amendment to its Certificate of Incorporation (“July Certificate of Amendment”) to implement a one-for-fifteen reverse stock split. The effective date of the Certificate of Amendment is July 7, 2025 (the “July 7 Effective Date”). The Company’s common stock will begin trading on a split-adjusted basis when the market opens on the July 7 Effective Date. The Board of Directors of the Company approved the amendment to the Company’s July Certificate of Incorporation primarily to meet the share bid price requirements of The Nasdaq Capital Market. The Company’s stockholders approved the Certificate of Amendment by majority written consent on May 12, 2025. As a result of the reverse stock split, on the Effective Date, every fifteen shares of common stock then issued and outstanding automatically were combined into one share of common stock, with no change in par value per share. No fractional shares were outstanding following the reverse stock split, and any fractional shares that would have resulted from the reverse stock split were (a) rounded up to the nearest whole number for any shareholder who would otherwise be entitled to receive one-half or more of a fractional split-adjusted share, and (b) rounded down to the nearest whole number for any shareholder who would otherwise be entitled to receive less than one-half of a fractional split-adjusted share.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our compliance with the Equity Rule, we cannot be sure that our share price will continue to comply with the requirements for continued listing of our common stock on the Nasdaq Capital Market in the future, or that we will continue to comply with the other continued listing requirements. If our shares of common stock lose their status on the Nasdaq Capital Market, we believe that our shares of common stock would likely be eligible to be quoted on the inter-dealer electronic quotation and trading system operated by Pink OTC Markets Inc., commonly referred to as the Pink Sheets and now known as the OTCQB market. Our shares of common stock may also be quoted on the Over-the-Counter Bulletin Board, an electronic quotation service maintained by the Financial Industry Regulatory Authority. These markets are generally not considered to be as efficient as, and not as broad as, the Nasdaq Capital Market. Selling our shares of common stock on these markets could be more difficult because smaller quantities of shares would likely be bought and sold, and transactions could be delayed. In addition, in the event our shares of common stock are delisted, broker-dealers have certain regulatory burdens imposed upon them, which may discourage broker-dealers from effecting transactions in our common stock, further limiting the liquidity of our common stock. These factors could result in lower prices and larger spreads in the bid and ask prices for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Compliance with the United States securities laws and regulations is likely to make it more difficult and expensive for us to obtain directors’ and officers’ liability insurance and to attract and retain qualified members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Sarbanes-Oxley Act and the rules and regulations subsequently implemented by the SEC and the Public Company Accounting Oversight Board to continue to impose significant compliance burdens and costs on the operations of the business. Those rules and regulations may make it more difficult and expensive for us to maintain director and officer liability insurance, and we may be required to accept reduced coverage or incur substantially higher costs to maintain coverage. These rules and regulations could also make it more difficult for us to attract and retain qualified members of our board of directors, particularly to serve on our audit committee, and executive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policies are expensive and only protect us from some business risks, which will leave us exposed to significant uninsured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carry insurance for all categories of risk that our business may encounter. We do not know, however, if we will be able to maintain insurance with adequate levels of coverage. Any significant uninsured liability may require us to pay substantial amounts, which would adversely affect our financial position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affected by significant movements in foreign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fluctuations in foreign currency exchange rates, which causes foreign currency risk related to the fluctuation in fair value or future cash flows of a financial instrument as a result of changes in foreign exchange rates. Fitters has transactional currency exposures arising from sales or purchases that are denominated in a currency other than the respective functional currencies of Group entities. Approximately 0% in 2025 and 0.01% in 2024 of Fitters’ sales are denominated in foreign currencies whilst almost 83% (2024: 80%) of costs are denominated in the respective functional currencies of Fitters entities. Fitters’ trade receivable and trade payable balances at the reporting date have similar exposures. Fitters did not hold any cash and/or cash equivalents denominated in foreign currencies for working capital purpose. Any significant change in the value of currencies of the countries in which we do business relative to the value of the Malaysian Ringgit (MYR), could affect our ability to sell products competitively and control our cost structure, which could have a material adverse effect on our business, financial condition, results of operations and cash flow.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incidents, loss of data and other disruptions could compromise sensitive information related to our business or prevent us from accessing critical information and expose us to liability, which could adversely affect our business and our reputation. Our business and operations would suffer in the event of system failures.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collect and store sensitive data, intellectual property and proprietary business information owned or controlled by ourselves or our customers. This data encompasses a wide variety of business-critical information including research and development information, commercial information, and business and financial information. We face four primary risks related to protecting this critical information: loss of access; unauthorized disclosure; unauthorized modification; and inadequate monitoring of our controls over the first three risks.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utilize information technology, or IT, systems and networks to process, transmit and store electronic information in connection with our business activities. The secure processing, storage, maintenance, and transmission of this critical information is vital to our operations and business strategy, and we devote significant resources to protecting such information. As use of digital technologies has increased, cyber incidents, including deliberate attacks and attempts to gain unauthorized access to computer systems and networks, have increased in frequency and sophistication. These threats pose a risk to the security of our systems and networks and the confidentiality, availability and integrity of our data. There can be no assurance that we will be successful in preventing cybersecurity incidents or successfully mitigating their effects.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implementation of security measures, our internal and cloud-based computer systems and those of our contractors and consultants are vulnerable to damage from such cybersecurity incidents, including computer viruses, social engineering, unauthorized access, natural disasters, terrorism, war and telecommunication and electrical failures. Such an event could adversely impact our business and operations, and could result in financial, legal, operational or reputational harm to us, loss of competitive advantage or loss of consumer confidence.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Securities Regulations and Investment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achieve and maintain internal controls in accordance with Sections 302 and 404 of the Sarbanes-Oxley Act of 2002 could have a material adverse effect on our business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of the Sarbanes-Oxley Act of 2002 requires that we maintain internal control over financial reporting that meets applicable standards. As with many smaller companies with small staff, material weaknesses in our financial controls and procedures may be discovered. If we fail to maintain our internal controls or fail to implement required new or improved controls, as such control standards are modified, supplemented or amended from time to time, we may not be able to conclude on an ongoing basis that we have effective internal controls over financial reporting. Effective internal controls are necessary for us to produce reliable financial reports and are important in the prevention of financial fraud. If we cannot produce reliable financial reports or prevent fraud, our business and operating results could be harmed.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increased costs and management resources as a result of being a public company, and we may fail to comply with public company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face and will continue to face increased legal, accounting, administrative and other costs and expenses that we would not incur as a private company. Compliance with the Sarbanes Oxley Act of 2002, as well as other rules of the SEC, the Public Company Accounting Oversight Board and Nasdaq resulted in a significant initial cost to us as well as an ongoing compliance cost. As a public company, we are subject to Section 404 of the Sarbanes Oxley Act relating to internal control over financial reporting. We have completed a formal process to evaluate our internal controls for purposes of Section 404, and we concluded that as of December 31, 2025, our internal control over financial reporting was effective. As our business grows and changes, there can be no assurances that we can maintain the effectiveness of our internal controls over financial reporting. In addition, our independent certified public accounting firm has not provided an opinion on the effectiveness of our internal controls over financial reporting for the year ended December 31, 2025 because we are a smaller reporting company. In the event our independent auditor is required to provide an opinion on such controls in the future, there is a risk that the auditor would conclude that such controls are ineffective.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internal controls over financial reporting are necessary for us to provide reliable financial reports and, together with adequate disclosure controls and procedures, are designed to prevent fraud. If we cannot provide reliable financial reports or prevent fraud, our operating results could be harmed. We have completed a formal process to evaluate our internal control over financial reporting. However, guidance from regulatory authorities in the area of internal controls continues to evolve and substantial uncertainty exists regarding our on-going ability to comply by applicable deadlines. Any failure to implement required new or improved controls, or difficulties encountered in their implementation, could harm our operating results or cause us to fail to meet our reporting obligations. Ineffective internal controls could also cause investors to lose confidence in our reported financial information, which could have a negative effect on the trading price of our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common stock has not developed and it may have a volatile public trading price, thus, purchasers of our common stock could incur substantial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public market for our common stock has not developed. Our stock can trade in small volumes, which may make the price of our stock highly volatile. The last reported price of our stock may not represent the price at which you would be able to buy or sell the stock. The market prices for securities of companies comparable to us have been highly volatile. Often, these stocks have experienced significant price and volume fluctuations for reasons that are both related and unrelated to the operating performance of the individual companies. In addition, the stock market as a whole have experienced significant recent volatility. Like our common stock, these stocks have experienced significant price and volume fluctuations for reasons unrelated to the operating performance of the individual companies. If an active market for the Company’s common stock does not develop or is not sustained, it may be difficult for stockholders to sell their shares at an attractive price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us, if they change their recommendations regarding our stock adversely or if our operating results do not meet their expectations,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is influenced by the research and reports that industry or securities analysts publish about us. If analysts do not publish research reports or one or more of these analysts who were publishing research cease coverage of us or fail to regularly publish reports on us, we could lose visibility in the financial markets, which in turn could cause our stock price or trading volume to decline. Moreover, if one or more of the analysts who cover us downgrade our stock or if our operating results do not meet their expectations, our stock price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facilitate our growth strategy by identifying or completing transactions with attractive acquisition candidates, which could limit our revenues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element of our growth strategy is to selectively pursue, on an opportunistic basis, acquisitions of businesses or assets of businesses that complement our existing business and footprint. We may also consider other potential strategic transactions, including dispositions, which are also subject to claims by third parties and by the buyers under the terms of our disposition agreements. Future acquisitions may result in significant transaction expenses and may involve significant costs. We may experience integration and consolidation risks associated with future acquisitions. We have no current agreement for any acquisition of a business or assets. The success of this element of our growth strategy depends, in part, on selecting strategic acquisition candidates at attractive prices and effectively integrating their businesses into our own, including with respect to financial reporting and regulatory matters. We cannot assure you that we will be able to identify attractive acquisition candidates or complete the acquisition of any identified candidates at favorable prices and upon advantageous terms and conditions, including financing alternatives.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face competition for acquisition candidates, which may limit the number of acquisition opportunities and lead to higher acquisition costs. We may not have the financial resources necessary to consummate any acquisitions or the ability to obtain the necessary funds on satisfactory terms. Any acquisitions in the future may result in significant transaction expenses and risks associated with entering new markets and dilution for our existing stockholders. We may also be subject to claims by third parties related to the operations of these businesses prior to our acquisition and by sellers under the terms of our acquisition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Businesses we acquire may have undisclosed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pursuing any future acquisition strategy, our due diligence investigations of the acquisition candidates may fail to discover certain undisclosed liabilities of the acquisition candidates. If we acquire a company having undisclosed liabilities such as environmental, remediation or contractual, as a successor owner we may be responsible for such undisclosed liabilities. We expect to try to minimize our exposure to such liabilities by conducting due diligence, by obtaining indemnification from each of the sellers of the acquired companies, by deferring payment of a portion of the purchase price as security for the indemnification and by acquiring only specified assets. However, we cannot assure you that we will be able to obtain indemnification or that any indemnification obtained will be enforceable, collectible or sufficient in amount, scope or duration to fully offset any undisclosed liabilities arising from our acquisitions.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charter documents and provisions of Delaware law may make an acquisition more difficult and could result in the entrenchment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Delaware. Anti-takeover provisions of Delaware law and our amended and restated certificate of incorporation and amended and restated bylaws may make a change in control or efforts to remove management more difficult. Also, under Delaware law, our Board of Directors may adopt additional anti-takeover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authority to issue up to 5 million shares of preferred stock and to determine the terms of those shares of stock without any further action by our stockholders. If the Board of Directors exercises this power to issue preferred stock, it could be more difficult for a third party to acquire a majority of our outstanding voting stock and vote the stock they acquire to remove management or directors. Our amended and restated certificate of incorporation and amended and restated bylaws also provides staggered terms for the members of our Board of Directors. Under Section 141 of the Delaware General Corporation Law, our directors may be removed by stockholders only for cause and only by vote of the holders of a majority of voting shares then outstanding. These provisions may prevent stockholders from replacing the entire board in a single proxy contest, making it more difficult for a third party to acquire control of us without the consent of our Board of Directors. These provisions could also delay the removal of management by the Board of Directors with or without cause. In addition, our directors may only be removed for cause and amended and restated bylaws limit the ability of our stockholders to call special meetings of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December 31, 2025, we had 135,273 shares of 6% Convertible Exchangeable Preferred Stock and 264 shares of Series A Preferred Stock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203 of the Delaware General Corporation Law, a corporation may not engage in a business combination with any holder of 15% or more of its capital stock until the holder has held the stock for three years unless, among other possibilities, the Board of Directors approves a transaction. Our Board of Directors could use this provision to prevent changes in management. The existence of the foregoing provisions could limit the price that investors might be willing to pay in the future for shares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event of an acquisition of our common stock, we cannot assure our common stockholders that we will be able to negotiate terms that would provide for a price equivalent to, or more favorable than, the price at which our shares of common stock may be trading at such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effect a consolidation or merger with another entity without the vote or consent of the holders of at least a majority of the shares of our preferred stock (in addition to the approval of our common stockholders), unless the preferred stock that remains outstanding and its rights, privileges and preferences are unaffected or are converted into or exchanged for preferred stock of the surviving entity having rights, preferences and limitations substantially similar, but no less favorable, to our convertible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the event a third party seeks to acquire our company or acquire control of our company by way of a merger, but the terms of such offer do not provide for our preferred stock to remain outstanding or be converted into or exchanged for preferred stock of the surviving entity having rights, preferences and limitations substantially similar, but no less favorable, to our preferred stock, the terms of the Certificate of Designations of our preferred stock provide for an adjustment to the conversion ratio of our preferred stock such that, depending on the terms of any such transaction, preferred stockholders may be entitled, by their terms, to receive up to $10.00 per share in common stock, causing our common stockholders not to receive as favorable a price as the price at which such shares may be trading at the time of any such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135,273 shares of our 6% Convertible Exchangeable Preferred Stock issued and outstanding. If the transaction were one in which proceeds were received by us for distribution to stockholders, and the terms of the Certificate of Designations governing the preferred stock were strictly complied with, approximately $1.7 million would be paid to the preferred holders before any distribution to the common stockholders, although the form of transaction could affect how the holders of preferred stock are treated. In such an event, although such a transaction would be subject to the approval of our holders of common stock, we cannot assure our common stockholders that we will be able to negotiate terms that would provide for a price equivalent to, or more favorable than, the price at which our shares of common stock may be trading at such time. Thus, the terms of our preferred stock might hamper a third party’s acquisition of our company.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the Company’s common stock is expected to be volatile, and the market price of its common stock may drop.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could be subject to significant fluctuations. Market prices for securities of early-stage pharmaceutical, biotechnology and other life sciences companies have historically been particularly volatile. Some of the factors that may cause the market price of the Company’s common stock to fluctuate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on the progress of the Company’s sales of the fire safety products and services and their growth or the lack thereof;</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maintain its existing customers;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the Company to prosecute, maintain, or enforce its intellectual property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or regulations applicable to its products and services;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inability to obtain adequate supply of its products and services or the inability to do so at acceptable prices;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regulatory authority decisions;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introduction of new products, services, or technologies by its competitors;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meet or exceed financial and development projections that the Company may provide to the public;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meet or exceed the financial and development projections of the investment community;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perception of the Company’s products and services among the fire safety industry and green energy industry by the public, legislatures, regulators and the investment community;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significant acquisitions, strategic collaborations, joint ventures, or capital commitments by the Company or its competitors;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or other developments relating to proprietary rights, including intellectual property, litigation matters, and its ability to obtain protection for its technologies;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lawsuits, including patent or stockholder litigation;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or industry analysts do not publish research or reports about its business, or if they issue adverse or misleading opinions regarding its business and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market valuations of similar companies;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or macroeconomic conditions;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common stock by the Company or its stockholders in the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volume of our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technological innovations or new therapies that compete with potential products of the Company;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period-to-period fluctuations in the Company’s financial results.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stock markets in general have experienced substantial volatility that has often been unrelated to the operating performance of individual companies. These broad market fluctuations may also adversely affect the trading price of the Company’s common stock. 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the Company’s profitability and reputation.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decrease in the stock price of the Company may cause the Company’s common stock to no longer satisfy the continued listing standards of The Nasdaq Capital Market. If the Company is not able to maintain the requirements for listing on The Nasdaq Capital Market, it could be delisted, which could have a materially adverse effect on its ability to raise additional funds as well as the price and liquidity of its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 will incur costs and demands upon management as a result of complying with the laws and regulations affecting public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incur significant legal, accounting and other expenses including costs associated with being a Nasdaq-listed public company and the corresponding reporting and compliance requirements by Nasdaq, the Securities and Exchange Commission and other federal regulators in the United States. In addition, the Company will also incur costs associated with corporate governance requirements, including requirements under the Sarbanes-Oxley Act, as well as new rules implemented by the SEC and Nasdaq. These rules and regulations may also make it difficult and expensive for the Company to obtain directors’ and officers’ liability insurance. As a result, it may be more difficult for the Company to attract and retain qualified individuals to serve on its board of directors or as executive officers of the Company, which may adversely affect investor confidence in the Company and could cause the Company’s business or stock price to suffer.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Company may experience adverse consequences because of required indemnification of officers and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our amended and restated certificate of incorporation and bylaws provide that it will indemnify any director and officer as to liabilities incurred in their capacity as a director or officer and on those terms and conditions set forth therein to the fullest extent of Delaware law. Further, the Company may purchase and maintain insurance on behalf of any such persons whether or not the Company would have the power to indemnify such person against the liability insured against. The foregoing could result in substantial expenditures by the Company and prevent any recovery from its officers, directors, agents and employees for losses incurred by the Company as a result of their actions.</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certificate of incorporation and bylaws and certain provisions of Delaware law may delay or prevent a change in our management and make it more difficult for a third-party to acquire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bylaws contain provisions that could delay or prevent a change in our Board of Directors and management teams. Some of these provisions: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the issuance of preferred stock that can be created and issued by the Board of Directors without prior stockholder approval, commonly referred to as “blank check” preferred stock, with rights senior to those of our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the Board of Directors to be divided into three classes;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stockholder actions must be effected at a duly called stockholder meeting and prohibit stockholder action by written consent.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we are incorporated in Delaware, we are governed by the provisions of Section 203 of the Delaware General Corporation Law, which limits the ability of large stockholders to complete a business combination with, or acquisition of, us. These provisions may prevent a business combination or acquisition that would be attractive to stockholders and could limit the price that investors would be willing to pay in the future for our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also make it more difficult for our stockholders to replace members of our Board of Directors. Because our Board of Directors is responsible for appointing the members of our management team, these provisions could in turn affect any attempt to replace our current management team. Additionally, these provisions may prevent an acquisition that would be attractive to stockholders and could limit the price that investors would be willing to pay in the future for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have limited ability to pay cash dividends on our preferred stock, and there is no assurance that future quarterly dividends will be declared.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may limit our ability to pay cash dividends on our preferred stock. Under Delaware law, cash dividends on our preferred stock may only be paid from surplus or, if there is no surplus, from the corporation’s net profits for the current or preceding fiscal year. Delaware law defines “surplus” as the amount by which the total assets of a corporation, after subtracting its total liabilities, exceed the corporation’s capital, as determined by its board of directors.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we are not profitable, our ability to pay cash dividends will require the availability of an adequate surplus. Even if adequate surplus is available to pay cash dividends on our preferred stock, we may not have sufficient cash to pay dividends on the preferred stock or we may choose not to declare the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and preferred stock may experience extreme price and volume fluctuations, which could lead to costly securities-related litigation, including securities class action litigation or securities-related investigations, which could make an investment in us less appealing.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4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consider an investment in our common stock and preferred stock to be risky, and you should invest in our common stock and preferred stock only if you can withstand a significant loss and wide fluctuations in the market value of your investment. Some factors that may cause the market price of our common stock to fluctuate, in addition to the other risks mentioned in this “Risk Factors” section and elsewhere in this Annual Report on Form 10-K, are: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regulatory pronouncements and changes in regulatory guidelines;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industry-specific economic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departures of our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our common stock or preferred stock by our stockholders, executives and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and limitations in trading volumes of our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analyst research reports, recommendation and changes in recommendations, price targets, and withdrawals of coverage;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and events surrounding financing efforts, including debt and equity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acquisitions, partnerships, collaborations, joint ventures, new products, capital commitments, or other events by us or our competitors;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and litigations related to intellectual properties, proprietary rights, and contractual obligations;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or recommendations by securities analysts;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quarterly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about our collaborators or licensors;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 or in applicable laws, rules, regulations;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events or factors, many of which may be out of our control.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markets have from time-to-time experienced significant price and volume fluctuations that have affected the market prices for publicly traded securities. This volatility has often been unrelated to the performance of particular companies. In the past, companies that experience volatility in the market price of their securities have often faced securities class action and derivative litigation, and as a public company, we could be subject to sanctions or investigations by Nasdaq, the SEC or other regulatory authorities.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future sale of our common and convertible preferred stock and future issuances of our common stock upon conversion of our preferred stock could negatively affect our stock price and cause dilution to existing holders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common or preferred stockholders sell substantial amounts of our stock in the public market, or the market perceives that such sales may occur, the market price of our common and preferred stock could fall. If additional holders of convertible preferred stock elect to convert their shares to shares of common stock at renegotiated prices, such conversion as well as the sale of substantial amounts of our common stock, could cause dilution to existing holders of our common stock, thereby also negatively affecting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exchange the convertible preferred stock for debentures, the exchange will be taxable, but we will not provide any cash to pay any tax liability that any convertible preferred stockholder may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of convertible preferred stock for debentures, as well as any dividend make-whole or interest make-whole payments paid in our common stock, will be taxable events for United States federal income tax purposes, which may result in tax liability for the holder of convertible preferred stock without any corresponding receipt of cash by the holder. In addition, the debentures may be treated as having original issue discount, a portion of which would generally be required to be included in the holder’s gross income even though the cash to which such income is attributable would not be received until maturity or redemption of the debenture. We will not distribute any cash to the holders of the securities to pay these potential tax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automatically convert the convertible preferred stock, there is a substantial risk of fluctuation in the price of our common stock from the date we elect to automatically convert to the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automatically convert the convertible preferred stock into common stock if the closing price of our common stock exceeds $213,192,000 per share. There is a risk of fluctuation in the price of our common stock between the time when we may first elect to automatically convert the preferred and the automatic conversion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cash dividends on our common stock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paying cash dividends on our common stock in the foreseeable future. Any payment of cash dividends will depend on our financial condition, results of operations, capital requirements, the outcome of the review of our strategic alternatives and other factors and will be at the discretion of our Board of Directors. Accordingly, investors will have to rely on capital appreciation, if any, to earn a return on their investment in our common stock. Furthermore, we may in the future become subject to contractual restrictions on, or prohibitions against, the payment of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number of shares of common stock which are registered, including the shares to be issued upon exercise of our outstanding warrants, is significant in relation to our currently outstanding common stock and could cause downward pressure on the market price for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registered for resale, including those shares which are to be issued upon exercise of our outstanding warrants, is significant in relation to the number of shares of common stock currently outstanding. If the security holder determines to sell a substantial number of shares into the market at any given time, there may not be sufficient demand in the market to purchase the shares without a decline in the market price for our common stock. Moreover, continuous sales into the market of a number of shares in excess of the typical trading volume for our common stock, or even the availability of such a large number of shares, could depress the trading market for our common stock over an extended period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persons engage in short sales of our common stock, including sales of shares to be issued upon exercise of our outstanding warrants, the price of our common stock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short is a technique used by a stockholder to take advantage of an anticipated decline in the price of a security. In addition, holders of options and warrants will sometimes sell short knowing they can, in effect, cover through the exercise of an option or warrant, thus locking in a profit. A significant number of short sales or a large volume of other sales within a relatively short period of time can create downward pressure on the market price of a security. Further sales of common stock issued upon exercise of our outstanding warrants could cause even greater declines in the price of our common stock due to the number of additional shares available in the market upon such exercise, which could encourage short sales that could further undermine the value of our common stock. You could, therefore, experience a decline in the value of your investment as a result of short sales of our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risks related to the marketable securities we may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invest cash that is not required to meet short-term obligations in short term marketable securities. We may purchase securities in United States government, government-sponsored agencies and highly rated corporate and asset-backed securities subject to an approved investment policy. Historically, investment in these securities has been highly liquid and has experienced only very limited defaults. However, recent volatility in the financial markets has created additional uncertainty regarding the liquidity and safety of these investments. Although we believe our marketable securities investments are safe and highly liquid, we cannot guarantee that our investment portfolio will not be negatively impacted by recent or future market volatility or credit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Claims for indemnification by our directors and officers may reduce our available funds to satisfy successful stockholder claims against us and may reduce the amount of money available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102(b)(7) of the Delaware General Corporation Law, our restated certificate of incorporation limits the liability of our directors to the fullest extent permitted by law. In addition, as permitted by Section 145 of the Delaware General Corporation Law, our restated certificate of incorporation and restated bylaws provide that we shall indemnify, to the fullest extent authorized by the Delaware General Corporation Law, each person who is involved in any litigation or other proceeding because such person is or was a director or officer of our company or is or was serving as an officer or director of another entity at our request, against all expense, loss or liability reasonably incurred or suffered in connection therewith. Our restated certificate of incorporation provides that the right to indemnification includes the right to be paid expenses incurred in defending any proceeding in advance of its final disposition, provided, however, that such advance payment will only be made upon delivery to us of an undertaking, by or on behalf of the director or officer, to repay all amounts so advanced if it is ultimately determined that such director is not entitled to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pay a proper claim for indemnification in full within 60 days after we receive a written claim for such indemnification, except in the case of a claim for an advancement of expenses, in which case such period is 20 days, our restated certificate of incorporation and our restated bylaws authorize the claimant to bring an action against us and prescribe what constitutes a defense to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reasonably believed to be in, or not opposed to, the best interests of the corporation, and, with respect to any criminal action or proceeding, if he or she had no reason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court in which the action or suit was brought shall determine that the defendant is fairly and reasonably entitled to indemnity for such expenses despite such adjudication of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conferred in the restated certificate of incorporation and the restated bylaws are not exclusive, and we are authorized to enter into indemnification agreements with our directors, officers, employees and agents and to obtain insurance to indemnify such persons. We have entered into indemnification agreements with each of our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limitations on liability and our indemnification obligations limit the personal liability of our directors and officers for monetary damages for breach of their fiduciary duty as directors by shifting the burden of such losses and expenses to us. Although we obtained coverage under our directors’ and officers’ liability insurance, certain liabilities or expenses covered by our indemnification obligations may not be covered by such insurance or the coverage limitation amounts may be exceeded. As a result, we may need to use a significant amount of our funds to satisfy our indemnification obligations, which could severely harm our business and financial condition and limit the funds available to stockholders who may choose to bring a claim against our company.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compete successfully in our markets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products and services into competitive markets. We believe the principal points of competition in our markets are product performance, reliability and innovation, application expertise, brand reputation, product life cycle cost, timeliness of delivery, proximity of service centers, effectiveness of our distribution channels and price. Maintaining and improving our competitive position will require continued investment by us in manufacturing, research and development, engineering, marketing, customer service and support, and our distribution networks. We may not be successful in maintaining our competitive position. Our competitors may develop products that are superior to our products, or may develop more efficient or effective methods of providing products and services or may adapt more quickly than we do to new technologies or evolving customer requirements. Pricing pressures also could cause us to adjust the prices of certain products to stay competitive. We may not be able to compete successfully with our existing or new competitors. Failure to continue competing successfully could adversely affect our business, financial condition, results of operations and cash flow.</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our effective tax rates may adversely affect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products in three countries presently and plan to continue to grow globally in the future. Domestic income tax is calculated at the Malaysian statutory income tax rate of 24% of the estimated assessable profit for the financial year. Taxation for other jurisdictions is calculated at the rates prevailing in the respective jurisdictions. Given the intended global nature of our business, a number of factors may increase our future effective tax rates, including:</w:t>
      </w:r>
    </w:p>
    <w:p>
      <w:pPr>
        <w:pStyle w:val="TextBody"/>
        <w:bidi w:val="0"/>
        <w:spacing w:before="0" w:after="0"/>
        <w:ind w:left="0" w:right="0" w:firstLine="36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75"/>
        <w:gridCol w:w="170"/>
        <w:gridCol w:w="936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jurisdictions in which profits are determined to be earned and taxed;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sustainability of historical income tax rates in the jurisdictions in which we conduct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 of issues arising from tax audits with various tax authorities;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3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valuation of our deferred tax assets and liabilities, and changes in deferred tax valuation allowances.</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significant increase in our future effective tax rates could reduce net income for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the U.S. Foreign Corrupt Practices Act or other applicable anti-corruption legislation could result in fines, criminal penalties and an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number of countries throughout the world, including countries known to have a reputation for corruption. We are committed to doing business in accordance with applicable anti-corruption laws. We are subject, however, to the risk that we, our affiliated entities or our or their respective officers, directors, employees and agents may take action determined to be in violation of such anti-corruption laws, including the U.S. Foreign Corrupt Practices Act of 1977, the U.K. Bribery Act of 2010 and others. Any such violation could result in substantial fines, sanctions, civil and/or criminal penalties, and curtailment of operations in certain jurisdictions, and might adversely affect our business, results of operations or financial condition. In addition, actual or alleged violations could damage our reputation and ability to do business. Furthermore, detecting, investigating, and resolving actual or alleged violations is expensive and can consume significant time and attention of our senior management.</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 w:name="sp_008"/>
      <w:bookmarkEnd w:id="43"/>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 w:name="sp_009"/>
      <w:bookmarkEnd w:id="44"/>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5" w:name="xdx_987_ecyd--CybersecurityRiskManagemen"/>
      <w:bookmarkEnd w:id="45"/>
      <w:r>
        <w:rPr>
          <w:rFonts w:ascii="Times New Roman;Times;Serif" w:hAnsi="Times New Roman;Times;Serif"/>
          <w:b w:val="false"/>
          <w:i w:val="false"/>
          <w:caps w:val="false"/>
          <w:smallCaps w:val="false"/>
          <w:sz w:val="20"/>
        </w:rPr>
        <w:t>We recognize the critical importance of maintaining the trust and confidence of business partners and employees, toward our business and are committed to protecting the confidentiality, integrity and availability of our business operations and systems. The Company proactively manages its cybersecurity and data privacy risks with organizational and technical controls including a comprehensive set of policies and procedures for assessing, identifying, and managing material risks from cybersecurity threats which have been integrated into the Company’s overall risk management strategy and processes. The Company seeks to address cybersecurity risks through a comprehensive approach that is focused on implementing robust protective measures, promoting user awareness and education, continuously monitoring for potential threats, and swiftly responding to any security incidents to ensure the confidentiality, integrity, and availability of sensitive information.</w:t>
      </w:r>
    </w:p>
    <w:p>
      <w:pPr>
        <w:pStyle w:val="TextBody"/>
        <w:bidi w:val="0"/>
        <w:spacing w:before="0" w:after="0"/>
        <w:ind w:left="0" w:right="0" w:firstLine="360"/>
        <w:jc w:val="both"/>
        <w:rPr>
          <w:caps w:val="false"/>
          <w:smallCaps w:val="false"/>
        </w:rPr>
      </w:pPr>
      <w:bookmarkStart w:id="46" w:name="xdx_C0F_gBFCRMPFAIAMT-QNYC_zqq5c2vCNJn6"/>
      <w:bookmarkEnd w:id="46"/>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actively involved in oversight of our risk management activities, and cybersecurity represents an important element of our overall approach to risk management.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actively engage with key vendors and industry communities as part of our continuing efforts to evaluate and enhance the effectiveness of our information security policies and procedures and have processes in place to oversee and identify the risk of cybersecurity threats associated with our use of these third-party vendors. We generally require third parties to, among other things, maintain security controls to protect our confidential information and data, and notify us of material cybersecurity threats that may impact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did not identify any cybersecurity threats, including as a result of any previous cybersecurity incidents, that have materially affected or are reasonably likely to materially affect the Company, including its business strategy,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Risk Management and Strategy; Effect of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7" w:name="xdx_909_ecyd--CybersecurityRiskManagemen"/>
      <w:bookmarkEnd w:id="47"/>
      <w:r>
        <w:rPr>
          <w:rFonts w:ascii="Times New Roman;Times;Serif" w:hAnsi="Times New Roman;Times;Serif"/>
          <w:b w:val="false"/>
          <w:i w:val="false"/>
          <w:caps w:val="false"/>
          <w:smallCaps w:val="false"/>
          <w:sz w:val="20"/>
        </w:rPr>
        <w:t>We face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 comprehensive cybersecurity program to ensure our systems are effective and prepared for information security risks, including regular oversight of our programs for security monitoring for internal and external threats to ensure the confidentiality and integrity of our information assets. We consider risks from cybersecurity threats alongside other company risks as part of our overall risk assessment process. We employ a range of tools and services, including regular network and endpoint monitoring, audits, vulnerability assessments, and penetration testing to inform our risk identification and assessment. As discussed in more detail under “Cybersecurity Governance” below, our audit committee provides oversight of our cybersecurity risk management and strategy processes, which are led by our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for the availability of critical data and systems, maintain regulatory compliance, manage our material risks from cybersecurity threats, and protect against and respond to cybersecurity incidents, we undertake the following activities: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 emerging data protection laws and implement changes to our processes that are designed to comply with such laws;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our policies, practices and contracts (as applicable), require employees, as well as third parties that provide services on our behalf, to treat confidential information and data with care;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regular training for our employees regarding cybersecurity threats as a means to equip them with effective tools to address cybersecurity threats, and to communicate our evolving information security policies, standards, processes and practices;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 the National Cyber Security Centre incident handling framework to help us identify, protect, detect, respond and recover when there is an actual or potential cybersecurity incident;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carry information security risk insurance that provides protection against the potential losses arising from a cybersecurity incident.</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8" w:name="xdx_C0D_gBFCRMPFAIAMT-QNYC_zojZKTChoSO7"/>
      <w:bookmarkEnd w:id="4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response to an incident involves the coordination of activities to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above processes, we regularly engage with consultants, auditors and other third parties, including having a third-party independent qualified and accredited advisor review our cybersecurity program to help identify areas for continued focus, improvement and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processes also address cybersecurity threat risks associated with our use of </w:t>
      </w:r>
      <w:bookmarkStart w:id="49" w:name="xdx_903_ecyd--CybersecurityRiskThirdPart"/>
      <w:bookmarkEnd w:id="49"/>
      <w:r>
        <w:rPr>
          <w:rFonts w:ascii="Times New Roman;Times;Serif" w:hAnsi="Times New Roman;Times;Serif"/>
          <w:b w:val="false"/>
          <w:i w:val="false"/>
          <w:caps w:val="false"/>
          <w:smallCaps w:val="false"/>
          <w:sz w:val="20"/>
        </w:rPr>
        <w:t>third-party service providers, including our suppliers and manufacturers or who have access to patient and employee data or our systems. In addition, cybersecurity considerations affect the selection and oversight of our third-party service providers. We perform diligence on third parties that have access to our systems, data or facilities that house such systems or data, and continually monitor cybersecurity threat risks identified through such diligence. Additionally, we would require those third parties, although there are currently none, that could introduce significant cybersecurity risk to us to agree by contract to manage their cybersecurity risks in specified ways, and to agree to be subject to cybersecurity audits, which we conduct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risk factor heading “</w:t>
      </w:r>
      <w:r>
        <w:rPr>
          <w:rFonts w:ascii="Times New Roman;Times;Serif" w:hAnsi="Times New Roman;Times;Serif"/>
          <w:b w:val="false"/>
          <w:i/>
          <w:caps w:val="false"/>
          <w:smallCaps w:val="false"/>
          <w:sz w:val="20"/>
        </w:rPr>
        <w:t>Security incidents, loss of data and other disruptions could compromise sensitive information related to our business or prevent us from accessing critical information and expose us to liability, which could adversely affect our business and our reputation. Our business and operations would suffer in the event of system failures</w:t>
      </w:r>
      <w:r>
        <w:rPr>
          <w:rFonts w:ascii="Times New Roman;Times;Serif" w:hAnsi="Times New Roman;Times;Serif"/>
          <w:b w:val="false"/>
          <w:i w:val="false"/>
          <w:caps w:val="false"/>
          <w:smallCaps w:val="false"/>
          <w:sz w:val="20"/>
        </w:rPr>
        <w:t>” which disclosures are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experienced any material cybersecurity incidents and the expenses we have incurred from cybersecurity incidents were immaterial.</w:t>
      </w:r>
    </w:p>
    <w:p>
      <w:pPr>
        <w:pStyle w:val="TextBody"/>
        <w:bidi w:val="0"/>
        <w:spacing w:before="0" w:after="0"/>
        <w:ind w:left="0" w:right="0" w:hanging="0"/>
        <w:jc w:val="both"/>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i/>
          <w:caps w:val="false"/>
          <w:smallCaps w:val="false"/>
          <w:sz w:val="20"/>
        </w:rPr>
      </w:pPr>
      <w:bookmarkStart w:id="50" w:name="xdx_98A_ecyd--CybersecurityRiskBoardComm"/>
      <w:bookmarkEnd w:id="50"/>
      <w:r>
        <w:rPr>
          <w:rFonts w:ascii="Times New Roman;Times;Serif" w:hAnsi="Times New Roman;Times;Serif"/>
          <w:b/>
          <w:i/>
          <w:caps w:val="false"/>
          <w:smallCaps w:val="false"/>
          <w:sz w:val="20"/>
        </w:rPr>
        <w:t>Cybersecurity Governance; Management</w:t>
      </w:r>
    </w:p>
    <w:p>
      <w:pPr>
        <w:pStyle w:val="TextBody"/>
        <w:bidi w:val="0"/>
        <w:spacing w:before="0" w:after="0"/>
        <w:ind w:left="0" w:right="0" w:hanging="0"/>
        <w:jc w:val="both"/>
        <w:rPr>
          <w:caps w:val="false"/>
          <w:smallCaps w:val="false"/>
        </w:rPr>
      </w:pPr>
      <w:bookmarkStart w:id="51" w:name="xdx_C0D_gBFCRBCOSRFOT-OAWV_zzp2coO1304g"/>
      <w:bookmarkEnd w:id="5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Cybersecurity is an important part of our risk management processes and an area of </w:t>
      </w:r>
      <w:bookmarkStart w:id="52" w:name="xdx_90A_ecyd--CybersecurityRiskManagemen"/>
      <w:bookmarkEnd w:id="52"/>
      <w:r>
        <w:rPr>
          <w:rFonts w:ascii="Times New Roman;Times;Serif" w:hAnsi="Times New Roman;Times;Serif"/>
          <w:b w:val="false"/>
          <w:i w:val="false"/>
          <w:caps w:val="false"/>
          <w:smallCaps w:val="false"/>
          <w:sz w:val="20"/>
        </w:rPr>
        <w:t>focus for our board of directors and management. The audit committee of our board of directors is responsible for the oversight of risks from cybersecurity threats.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annually, our audit committee receives an update from management of our cybersecurity threat risk management and strategy processes. In such sessions, our audit committee generally receives materials that include a cybersecurity dashboard and other materials discussing current and emerging material cybersecurity threat risks, and describing our ability to mitigate those risks, as well as recent developments, evolving standards, technological developments and information security considerations arising with respect to our peers and third parties. Our audit committee also receives prompt and timely information regarding any cybersecurity incident that meets establishing reporting thresholds, as well as ongoing updates regarding any such incident until it has been addressed. To date, we have not experienced any cyber security incident.</w:t>
      </w:r>
    </w:p>
    <w:p>
      <w:pPr>
        <w:pStyle w:val="TextBody"/>
        <w:bidi w:val="0"/>
        <w:spacing w:before="0" w:after="0"/>
        <w:ind w:left="0" w:right="0" w:hanging="0"/>
        <w:jc w:val="both"/>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Members of </w:t>
      </w:r>
      <w:bookmarkStart w:id="53" w:name="xdx_90C_ecyd--CybersecurityRiskManagemen"/>
      <w:bookmarkEnd w:id="53"/>
      <w:r>
        <w:rPr>
          <w:rFonts w:ascii="Times New Roman;Times;Serif" w:hAnsi="Times New Roman;Times;Serif"/>
          <w:b w:val="false"/>
          <w:i w:val="false"/>
          <w:caps w:val="false"/>
          <w:smallCaps w:val="false"/>
          <w:sz w:val="20"/>
        </w:rPr>
        <w:t>our audit committee are also encouraged to regularly engage in conversations with management on cybersecurity-related news events and discuss any updates to our cybersecurity risk management and strategy programs. Material cybersecurity threat risks are also considered during separate board meeting discussions of important matters like enterprise risk management, operational budgeting, business continuity planning, mergers and acquisitions, brand management, and other relevant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cybersecurity risk management and strategy processes, which are discussed in greater detail above, are led by our Chief Executive Officer. </w:t>
      </w:r>
      <w:bookmarkStart w:id="54" w:name="xdx_90D_ecyd--CybersecurityRiskRoleOfMan"/>
      <w:bookmarkEnd w:id="54"/>
      <w:r>
        <w:rPr>
          <w:rFonts w:ascii="Times New Roman;Times;Serif" w:hAnsi="Times New Roman;Times;Serif"/>
          <w:b w:val="false"/>
          <w:i w:val="false"/>
          <w:caps w:val="false"/>
          <w:smallCaps w:val="false"/>
          <w:sz w:val="20"/>
        </w:rPr>
        <w:t>The management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As discussed above, the management team members report to the audit committee of our board of directors about cybersecurity threat risks, among other cybersecurity related matters, periodically.</w:t>
      </w:r>
    </w:p>
    <w:p>
      <w:pPr>
        <w:pStyle w:val="TextBody"/>
        <w:bidi w:val="0"/>
        <w:spacing w:before="0" w:after="0"/>
        <w:ind w:left="0" w:right="0" w:hanging="0"/>
        <w:jc w:val="both"/>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 w:name="sp_010"/>
      <w:bookmarkEnd w:id="55"/>
      <w:r>
        <w:rPr>
          <w:rFonts w:ascii="Times New Roman;Times;Serif" w:hAnsi="Times New Roman;Times;Serif"/>
          <w:b/>
          <w:i w:val="false"/>
          <w:caps w:val="false"/>
          <w:smallCaps w:val="false"/>
          <w:sz w:val="20"/>
        </w:rPr>
        <w:t>Item 2.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leased our corporate headquarters in Berkeley Heights, New Jersey. In December 2024, the Company terminated this lease, effective as of January 31, 2025. Effective March 1, 2025, the Company entered into a two year lease agreement for our corporate headquarters at Level 10, Tower 11, Avenue 5, No. 8, Jalan Kerinchi, 59200 Kuala Lumpur, Malaysia, which we believe will be adequate to accommodate our business needs. Following the acquisition of Fitters Sdn Bhd on September 12, 2025, the Company has three additional facilities in Malaysia, all on short term lease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 w:name="sp_011"/>
      <w:bookmarkEnd w:id="56"/>
      <w:r>
        <w:rPr>
          <w:rFonts w:ascii="Times New Roman;Times;Serif" w:hAnsi="Times New Roman;Times;Serif"/>
          <w:b/>
          <w:i w:val="false"/>
          <w:caps w:val="false"/>
          <w:smallCaps w:val="false"/>
          <w:sz w:val="20"/>
        </w:rPr>
        <w:t>Item 3.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involved in routine litigation incidental to the conduct of our business. As of December 31, 2025, we were not a party to any material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7" w:name="sp_012"/>
      <w:bookmarkEnd w:id="5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8" w:name="sp_013"/>
      <w:bookmarkEnd w:id="58"/>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 w:name="sp_014"/>
      <w:bookmarkEnd w:id="59"/>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Nasdaq Capital Market, or Nasdaq, under the symbol “BGMS”. Our 6% convertible exchangeable preferred stock currently trades on Nasdaq under the symbol “BGMSP”.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2025, the Company effected a one-for-sixteen reverse stock split of its common stock and subsequently on July 7, 2025, effected a further one-for-fifteen reverse stock split of its common stock. All share and per share data for all periods presented in the consolidated financial statements have been retrospectively adjusted to give effect to these reverse stock splits, consistent with the treatment followed by other public companies in similar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2026, we had approximately 3 registered holders of record of our 5,519,456 shares of common stock outstanding. On March 24, 2026, the closing sale price of our common stock as reported by Nasdaq was $1.01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nor paid any cash dividends on our common stock and do not currently anticipate declaring or paying any cash dividends on our outstanding shares of common stock in the foreseeable future. We are, however, required to make or accrue quarterly dividend payments on our Preferred Stock. Except for dividends that may be paid on the Preferred Stock, we currently intend to retain all of our future earnings, if any, to finance operations. Any future determination relating to our dividend policy will be made at the discretion of our Board of Directors and will depend on a number of factors, including future earnings, capital requirements, financial conditions, future prospects, contractual restrictions and other factors that our Board of Directors may deem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Unregistered Sales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 w:name="sp_015"/>
      <w:bookmarkEnd w:id="60"/>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 w:name="sp_016"/>
      <w:bookmarkEnd w:id="61"/>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This report contains certain statements that may be deemed ‘forward-looking statements’ within the meaning of United States securities laws. All statements, other than statements of historical fact, that address activities, events or developments that we intend, expect, project, believe or anticipate will or may occur in the future are forward-looking statements. Such statements are based upon certain assumptions and assessments made by our management in light of their experience and their perception of historical trends, current conditions, expected future developments and other factors they believe to be appropriate. Certain factors that could cause results to differ materially from those projected or implied in the forward-looking statements are set forth in this Annual Report on Form 10-K for the year ended December 31, 2025 under the caption </w:t>
      </w:r>
      <w:r>
        <w:rPr>
          <w:rFonts w:ascii="Times New Roman;Times;Serif" w:hAnsi="Times New Roman;Times;Serif"/>
          <w:b w:val="false"/>
          <w:i w:val="false"/>
          <w:caps w:val="false"/>
          <w:smallCaps w:val="false"/>
          <w:sz w:val="20"/>
        </w:rPr>
        <w:t>“Item 1A — Risk factors”.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9"/>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encourage you to read those descriptions carefully. We caution you not to place undue reliance on the forward-looking statements contained in this report. These statements, like all statements in this report, speak only as of the date of this report (unless an earlier date is indicated) and we undertake no obligation to update or revise the statements except as required by law. Such forward-looking statements are not guarantees of future performance and actual results will likely differ, perhaps materially, from those suggested by such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9"/>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May 12, 2025, the Company effected a one-for-sixteen reverse stock split of its common stock and subsequently on July 7, 2025, effected a further one-for-fifteen reverse stock split of its common stock. All share and per share data for all periods presented in the consolidated financial statements have been retrospectively adjusted to give effect to these reverse stock splits, for all periods presented, unless otherwise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Bio Green Med Solution, Inc. (“BGMS” or the “Company”), a Delaware corporation formerly known as Cyclacel Pharmaceuticals, Inc., announced that it was in the process of exploring and reviewing strategic alternatives on an expedited basis in order to preserve the Company’s cash, including a potential transaction with investor, David E. Lazar of Activist Investing, LLC (“Lazar”). On January 2, 2025, the Company entered into a securities purchase agreement with Lazar, pursuant to which he agreed to purchase from the Company, 1,000,000 shares of Series C Convertible Preferred Stock and 2,100,000 shares of Series D Convertible Preferred Stock of Cyclacel at a purchase price of $1.00 per share for aggregate gross proceeds of $3.1 million, subject to the terms and conditions of the securities purchase agreement (together, the Series C Convertible Preferred Stock and Series D Convertible Preferred Stock are the “Securities”). The proceeds of the transaction were used to settle outstanding liabilities of the Company and other general corporate and operating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11, 2025, Lazar, who was serving as the Company’s interim Chief Executive Officer and Secretary, entered into a securities purchase agreement (the “Purchase Agreement”) with an investor, Datuk Dr. Doris Wong Sing Ee (the “Investor”) pursuant to which the Investor agreed to purchase all 1,000,000 shares of Series C Convertible Preferred Stock, and 1,745,262 of the 2,100,000 shares of Series D Convertible Preferred Stock, currently held by Lazar, so that Purchaser would hold seventy percent (70%) of the fully diluted issued and outstanding shares of the Company. The Purchase Agreement closed on February 26, 2025 (the “Closing Date”). Additionally, the Investor succeeded to all of Lazar’s rights and interests under that certain securities purchase agreement between the Lazar and the Company dated January 2,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were convertible into shares of the common stock, par value $0.001 per share (the “Common Stock”) of the Company at the election of the Investor as follows: (i) the 1,000,000 shares of the Series C were convertible into 11,042 shares of Common Stock, and (ii) 1,745,262 of the Series D were convertible into 799,911 shares of Common Stock. On the Closing Date, the Investor exercised the conversion rights related to the Series C and Series D shares into Common Stock in full resulting in the Investor owning 810,952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2025, the Company effected a one-for-sixteen reverse stock split of its common stock and subsequently on July 7, 2025, effected a further one-for-fifteen reverse stock split of its common stock. All share and per share data for all periods presented in the consolidated financial statements have been retrospectively adjusted to give effect to these reverse stock splits, consistent with the treatment followed by other public companies in similar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Disposal of Cyclacel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Company’s clinical research programs were conducted through Cyclacel Limited, a wholly owned subsidiary of the Company, and all intellectual property and rights to those programs were owned by that entity. On January 31, 2025, the creditors voluntary liquidation of Cyclacel Limited was announced in the London Gazette, one of the official public records of the government of the United Kingdom. Upon the commencement of the liquidation of the Cyclacel Limited, the Company lost operational and strategic control over the Cyclacel Limited and its financial results have been deconsolidated from Company as of January 31, 2025. On the date of deconsolidation, stockholders’ equity increased by approximately $4.9 million.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creditors’ voluntary liquidation of Cyclacel Limited, the Company intended to focus on the development of the plogosertib (“Plogo”) clinical program only. Accordingly, on March 10, 2025, the Company repurchased certain assets related to Plogo from Cyclacel Limited with the approval of the joint liquidator in exchange for approximately $0.3 million in cash. On October 6, 2025, the Company entered into an Asset Purchase Agreement (the “Purchase Agreement”) with Tethra Biosciences Inc., a Delaware corporation (the “Buyer”). Under the terms of the Purchase Agreement, the Company agreed to sell, and the Buyer agreed to purchase, certain assets, including all patent rights of the Company related to Plogo for a purchase price of $300,000, plus a further potential Milestone payment (as defined in the Purchase Agreement) of $170,000.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Cyclacel Limited’s other drug development program, fadraciclib, continues to be marketed for sale by the joint liquidator. The Company has no plans at this time to repurchase any rights to or assets of the fadraciclib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FITTERS Diversified Berhad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2025, and as amended on July 7, 2025, the Company entered into an Exchange Agreement (collectively, the “Exchange Agreement”) with FITTERS Diversified Berhad (9318.KL; “FITTERS”), an investment holding company engaged, through its subsidiaries, in the business of the sale of fire safety materials, equipment and fire prevention systems, “Waste-To-Resource” services and real estate development and construction. Pursuant to the Exchange Agreement, all of the ordinary shares owned by FITTERS of its wholly-owned subsidiary, Fitters Sdn. Bhd., a Malaysia-based private limited company (“Fitters Sub”) were to be exchanged for common stock, par value $0.001, of the Company (the “Purchaser Stock”), and Fitters Sub would continue as a wholly-owned subsidiary of the Company (the “Transaction”). As part of the Transaction, BGMS would issue an amount of Purchaser Stock equal to 19.99 percent, or 699,158 of its common shares and BGMS stockholders would own approximately 80.01% of the combined company. Following the closing of the Transaction on September 12, 2025, the Company’s common shares continued to be listed on the Nasdaq Capital Market under a new ticker symbol (BGMS) and Cyclacel Pharmaceuticals Inc. was renamed Bio Green Med Solution,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sale of Plogo and the closing of the Transaction on September 12, 2025, we now specialize in the supply and trading of protective and fire safety equipment providing a wide range of fire safety products, including fire extinguishers, foam system, fire-resistant doors, personal protective equipment, and fire safety apparel. Our mission is to deliver high-quality, certified safety solutions that enhance protection across commercial, industrial, healthcare, and residential sectors with a focus on trading and distribution to position us as a key player in Malaysia’s fire safety market, with a reputation for reliability and compliance with stringent regulatory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Level 10, Tower 11, Avenue 5, No. 8, Jalan Kerinchi, Kuala Lumpur, Malaysia, and our telephone number is (908) 955-0526. Our website address is www.bgmsglobal.com. The information contained on, or that can be accessed through, our website is not part of, and is not incorporated by reference into,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acquisition of Fitters Sdn. Bhd. on September 12, 2025, we recognized $0.7 million of revenue for the year ended December 31, 2025 in relation to the provision of fire safety and protection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recognized revenue of $43,000 related to the recovery of clinical manufacturing costs associated with an investigator sponsored study managed by Cedars Sinai Medical Center. We are no longer in the pharmaceutical development business and will not generate any revenues from this activity in the future.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Funding Requirements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and cash equivalents of $3.5 million We have incurred losses since our inception and as of December 31, 2025, we had an accumulated deficit of $454.4 million. We expect to continue to incur operating losses for the foreseeable near term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funding requirements will depend on many factors,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75"/>
        <w:gridCol w:w="170"/>
        <w:gridCol w:w="97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acquiring or investing in new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7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continue generating sufficient revenues and margins from the sale of fire safety equipment;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timely cash receipts from revenue generation;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competing technological and market developments;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economic and other terms and timing of any collaboration, licensing or other arrangements into which we may enter.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we can generate a sufficient amount of product revenue to finance our cash requirements, which we may never do, we expect to finance future cash needs primarily through public or private equity offerings, debt financings or strategic collaborations. Although we are not reliant on institutional credit finance and therefore not subject to debt covenant compliance requirements or potential withdrawal of credit by banks, we are reliant on the availability of funds and activity in equity markets. We do not know whether additional funding will be available on acceptable terms, or at all. If we are not able to secure additional funding when needed, we may have to reduce the scope of or eliminate one or more of our products or make changes to our operating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relied primarily on the proceeds from sales of common and preferred equity securities to finance our operations and internal growth. Additional funding has come through research and development tax credits, government grants, the sale of product rights, interest on investments, licensing revenue, royalty income, and a limited amount of product revenue from operations discontinued in September 2012.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Note 1 of the Notes to the Consolidated Financial Statements accompanying this Annual Report on Form 10-K, under ASC Topic 205-40, </w:t>
      </w:r>
      <w:r>
        <w:rPr>
          <w:rFonts w:ascii="Times New Roman;Times;Serif" w:hAnsi="Times New Roman;Times;Serif"/>
          <w:b w:val="false"/>
          <w:i/>
          <w:caps w:val="false"/>
          <w:smallCaps w:val="false"/>
          <w:sz w:val="20"/>
        </w:rPr>
        <w:t>Presentation of Financial Statements - Going Concern</w:t>
      </w:r>
      <w:r>
        <w:rPr>
          <w:rFonts w:ascii="Times New Roman;Times;Serif" w:hAnsi="Times New Roman;Times;Serif"/>
          <w:b w:val="false"/>
          <w:i w:val="false"/>
          <w:caps w:val="false"/>
          <w:smallCaps w:val="false"/>
          <w:sz w:val="20"/>
        </w:rPr>
        <w:t>, management is required at each reporting period to evaluate whether there are conditions and events, considered in the aggregate, that raise substantial doubt about an entity’s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operating plan, we anticipate that our cash and cash equivalents of $3.5 million as of December 31, 2025, will allow us to meet our liquidity requirements into the third quarter of 2026. We continue to work to raise additional capital however as of the date of the Consolidated Financial Statements accompanying this Annual Report on Form 10-K, there is no guarantee that we will be able to raise additional funds to extend operations beyond the third quarter of 2026. Our history of losses, our negative cash flows from operations, our liquidity resources currently on hand, and our dependence on the ability to obtain additional financing to fund our operations after the current resources are exhausted, about which there can be no certainty, have resulted in our assessment that there is substantial doubt about our ability to continue as a going concern for a period of at least twelve months from the issuance date of this Annual Report on Form 10-K. While we have plans in place to mitigate this risk, which primarily consist of raising additional capital through a combination of public or private equity or debt financings or by entering into partnership agreements, there is no guarantee that we will be successful in these mitigation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Agreements to Sell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5, 2025, we entered into a Warrant Exchange Agreement (the “Exchange Agreement”) with certain accredited investors (the “Holders”) of certain existing warrants (the “Exchanged Warrants”) to purchase an aggregate of 1,402,605 shares of the Company’s common stock, par value $0.001 per share (the “Common Stock”). The Exchanged Warrants were originally issued pursuant to a securities purchase agreement, dated as of June 20, 2025 by and between us and each Holder. Pursuant to the Exchange Agreement, we agreed to exchange with the Holders, respectively, the Exchanged Warrants for an aggregate of 1,402,605 shares of Common Stock (the “New Shares”). We recorded a deemed dividend of approximately $9.5 million representing the difference between the fair value of the New Shares and the fair value of the Exchanged Warrants on the exchange date.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2025, we entered into a separate Warrant Exchange Agreement (the “September Exchange Agreement”) with certain accredited investors (the “Holders”) of existing Series C common stock purchase warrants (the “September Exchanged Warrants”) to purchase an aggregate of 559,395 shares of the Company’s common stock, par value $0.001 per share (the “Common Stock”). The September Exchanged Warrants were originally issued pursuant to a securities purchase agreement, dated as of June 20, 2025 by and between us and each Holder. Pursuant to the September Exchange Agreement, we agreed to exchange with the Holders, respectively, the September Exchanged Warrants for an aggregate of 559,395 shares of Common Stock (the “September New Shares”). We recorded a deemed dividend of approximately $1.5 million representing the difference between the fair value of the September New Shares and the fair value of the September Exchanged Warrants on the exchange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20, 2025, we entered into a Securities Purchase Agreement (the “Purchase Agreement”) with certain accredited investors (the “Investors”), pursuant to which the Investors agreed to purchase an aggregate of 3,000,000 shares of Series F Convertible Preferred Stock (the “Series F Preferred Stock”) at a purchase price of $1.00 per share for aggregate gross proceeds of $3,000,000, subject to the terms and conditions of the Purchase Agreement. In connection with the transaction, we issued a series A common stock purchase warrant, series B common stock purchase warrant and series C common stock purchase warrant to each Investor (collectively, the “Warrants”). The proceeds of the transaction were used for general corporate and operating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 the Investors agreed to invest a total of $3,000,000 at the closing of the transactions under the Purchase Agreement in exchange for an aggregate of 3,000,000 shares of Series F Preferred Stock and 1,962,000 Warrants, which occurred on or about June 20, 2025 (the “Closing”).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F Preferred Stock was convertible into 0.218 shares of the Company’s common stock, par value $0.001 per share (“Common Stock”). All 3,000,000 shares of Series F Preferred Stock were converted into 654,000 shares of Common Stock during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common stock purchase warrants entitle each Investor to purchase 218,000 shares of Common Stock at an exercise price of $7.65 per share with an expiration date five years from the date of issuance. The series B common stock purchase warrants entitle each Investor to purchase 218,000 shares of Common Stock at an exercise price of $9.00 per share with an expiration date five years from the date of issuance. The series C common stock purchase warrants entitle each Investor to purchase 218,000 shares of Common Stock of the Company at an exercise price of $10.20 per share with an expiration date five years from the date of issuance.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2025, we entered into a Securities Purchase Agreement (the “March Purchase Agreement”) with certain accredited investors (the “Investors”), pursuant to which the Investors agreed to purchase 1,000,000 shares of Series E Convertible Preferred Stock (the “Series E Preferred Stock”) at a purchase price of $1.00 per share for aggregate gross proceeds of $1 million, subject to the terms and conditions of the Purchase Agreement. The proceeds of the transaction were used for general corporate and operating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E Preferred Stock was convertible into 0.458333 shares of the Company’s common stock, par value $0.001 per share (“Common Stock”). All 1,000,000 shares of Series E Preferred Stock were converted into 458,333 shares of Common Stock during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5, 2025, we entered into a securities purchase agreement (the “February Purchase Agreement”) with Helena Special Opportunities 1 Ltd. (“Helena”). Under this agreement, we have the right, but not the obligation, to sell to Helena up to the lesser of (i) $25 million of newly issued shares (the “Purchase Shares”) of our Common Stock and (ii) the Exchange Cap (as defined below). As consideration for Helena’s execution and delivery of the February Purchase Agreement, we issued Helena shares of our Common Stock having a value of approximately $125,000 (the “Commitment Shares” and, together with the Purchase Shares, the “Securities”). Specifically, we issued to Helena (i) on the trading day immediately following execution of the Purchase Agreement, 758 shares of Common Stock with a value of about $62,500 and (ii) 90 days later, 885 shares of Common Stock also with a value of approximately $62,500. The shares issued were based on the volume weighted average price of our Common stock over the three trading days preceding each issuance. The average of those volume weighted average prices is known as the “Commitment Share Reference Price” in the February Purchase Agreement. The sum of the shares issued pursuant to clauses (i) and (ii) above is referred to as the “Original Commitment Fee Share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closing price of our Common Stock on the trading day immediately preceding the one-year anniversary of the execution date is less than the Commitment Share Reference Price, we must issue to Helena additional shares of Common Stock as Commitment Shares (the “Make-Whole Shares”) promptly following such one-year anniversary. The amount of Make-Whole Shares to be issued will be equal to the quotient obtained by dividing (a) $125,000, by (b) the closing price of the Common Stock on the trading day immediately preceding the one-year anniversary of the execution date, minus the Original Commitment Fee Share Amount. In lieu of delivering the Make-Whole Shares, the Company may elect to pay to the Investor the cash value of the Make-Whole Shares by paying to the Investor a cash payment equal to the closing price of the Common Stock on the trading day immediately preceding the one-year anniversary of the execution date multiplied by the Make-Whole Share Amount. In February 2026, we issued to Helena an additional 119,136 shares of Common Stock as Make-Whole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March 2028, we may direct Helena to purchase a specified number of shares of Common Stock (a “Fixed Purchase”) generally at a purchase price equal to 95% of the daily volume weighted average price (the “VWAP”) of the Common Stock for the two business days immediately preceding the applicable Purchase Date for such Fixed Purchase, so long as the previous business day’s closing sale price of the Common Stock was equal to or greater than $0.20 (each, a “Purchase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make certain issuances of our securities within a specified period of time after a Purchase Date and such securities are issued at prices (the “New Issuance Price”) less than the prices to be paid by Helena, the purchase price paid by Helena at each appliable Purchase Date would be reduced to the New Issuance Price, subject to the terms and conditions set forth in the February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standard beneficial ownership limitations on the number of shares that Helena can own.</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seek funding from alternative sources, we have no immediate or near term plans to issue shares under the February Purchase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2025, we amended, through addendum, our securities purchase agreement (the “Lazar Purchase Agreement”) with David Lazar (the “Purchaser”), its interim Chief Executive Officer, which was initially entered into on February 4, 2025 (the “Amendment”). Pursuant to the Lazar Purchase Agreement, we had the right, but not the obligation, to direct the Purchaser, until September 30, 2026, to purchase up to $8,000,000 (the “Aggregate Purchase Price”) of shares of common stock, par value $0.001 per share (the “Common Stock”) of the Company (the “Shares”) in one or more private placement offerings. The applicable purchase price was to be the greater of (i) the consolidated closing bid price immediately prior to the entry into the Lazar Purchase Agreement and (ii) the consolidated closing bid price on the Trading Day (as defined in the Lazar Purchase Agreement) immediately preceding the applicable Purchase Date (as defined in the Lazar Purchase Agreement). We did not issue any shares of our Common Stock under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we entered into a Securities Purchase Agreement (the “January Purchase Agreement”) with David E. Lazar, pursuant to which he agreed to purchase from the Company 1,000,000 shares of Series C Convertible Preferred Stock (the “Series C Preferred Stock”) and 2,100,000 shares of Series D Convertible Preferred Stock (the “Series D Preferred Stock” and, together with the Series C Preferred Stock, the “Preferred Stock”) of the Company at a purchase price of $1.00 per share for aggregate gross proceeds of $3.1 million, subject to the terms and conditions of the Purchase Agreement. The proceeds of the transaction were used to repay and settle outstanding liabilities of the Company and for other general corporate and operating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C Preferred Stock was convertible into 0.11 shares of the Company’s common stock, par value $0.001 per share (“Common Stock”), and each share of Series D Preferred Stock was convertible into 0.458333 shares of Common Stock. All 1,000,000 shares of Series C Preferred Stock were converted into 11,042 shares of Common Stock during 2025, and all 2,100,000 shares of Series D Preferred Stock were converted into 962,500 shares of Common Stock during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2024, we entered into a letter agreement (the “Warrant Exercise and Reload Agreement”) with the holder (the “Holder”) of its issued and outstanding Series B Warrants (the “Prior Warrants”) to purchase an aggregate of 20,703 shares of Common Stock, offering the Holder the opportunity to exercise all of its Prior Warrants for cash at a reduced exercise price equal to $99.60 per share provided the Prior Warrants were exercised in full for cash on or before 12:30 P.M. Eastern Time on the date of the Warrant Exercise and Reload Agreement. In consideration for the exercise of the Prior Warrants, the Holder received new unregistered Series C Warrants (the “Series C Warrants”) exercisable for up to an aggregate of 41,407 shares of common stock (the “Series C Warrant Shares”) and new unregistered Series D Warrants (the “Series D Warrants” and, together with the Series C Warrants, the “New Warrants”) exercisable for up to an aggregate of 41,407 shares of common stock (the “Series D Warrant Shares” and, together with the Series C Warrant Shares, the “New Warrant Shares”). The Series C Warrants are exercisable for a period of five and one-half (5.5) years following the Stockholder Approval Date and the Series D Warrants are exercisable beginning on the Stockholder Approval Date for a period of eighteen (18) months. The New Warrants each have an exercise price of $99.60 per share. The shares of common stock issued upon exercise of the Prior Warrants are registered pursuant to an effective registration statement on Form S-1 (No. 333-279157).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2024, we entered into a securities purchase agreement (the “Purchase Agreement”) with an institutional investor (the “Purchaser”) for the issuance and sale in a private placement (the “Private Placement”) of (i) 604 shares of the Company’s common stock, (ii) pre-funded warrants to purchase up to 20,099 shares of common stock (the “Pre-Funded Warrants”), (iii) series A warrants to purchase up to 20,703 shares of common stock (the “Series A Warrants”), and (iv) series B warrants to purchase up to 20,703 shares of common stock (the “Series B Warrants” and together with the Series A Warrants, the “Common Warrants”). The purchase price of each share of common stock and associated Common Warrants was $386.40 and the purchase price of each Pre-Funded Warrant and associated Common Warrants was $386.38.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were exercisable immediately upon issuance at an exercise price of $326.40 per share. The Series A Warrants will expire five and one-half years from the date of issuance and the Series B Warrants will expire eighteen months from the date of issuance. The Pre-Funded Warrants were exercisable immediately upon issuance at an exercise price of $0.024 per share and were entirely exercised by the end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on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the Board of Directors of Bio Green Med Solution, Inc. (the “Company”) declared a quarterly cash dividend of $0.15 per share on the Company’s 6% Convertible Exchangeable Preferred Stock (the “Preferred Stock”). The dividend was paid on February 1, 2026, to Preferred Stock stockholders of record as of the close of business on January 22, 2026.</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Results of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revenues for years ended December 31, 2025 and 2024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2600"/>
        <w:gridCol w:w="60"/>
        <w:gridCol w:w="358"/>
        <w:gridCol w:w="970"/>
        <w:gridCol w:w="151"/>
        <w:gridCol w:w="151"/>
        <w:gridCol w:w="358"/>
        <w:gridCol w:w="670"/>
        <w:gridCol w:w="60"/>
        <w:gridCol w:w="60"/>
        <w:gridCol w:w="140"/>
        <w:gridCol w:w="380"/>
        <w:gridCol w:w="95"/>
        <w:gridCol w:w="60"/>
        <w:gridCol w:w="60"/>
        <w:gridCol w:w="560"/>
        <w:gridCol w:w="110"/>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28"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pPr>
            <w:r>
              <w:rPr/>
              <w:t>Product Sales – Fire Safety</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747</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pPr>
            <w:r>
              <w:rPr/>
              <w:t>Clinical trial supply</w:t>
            </w:r>
          </w:p>
        </w:tc>
        <w:tc>
          <w:tcPr>
            <w:tcW w:w="60"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1"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70"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(100</w:t>
            </w:r>
          </w:p>
        </w:tc>
        <w:tc>
          <w:tcPr>
            <w:tcW w:w="110" w:type="dxa"/>
            <w:tcBorders/>
            <w:shd w:fill="FFFFFF" w:val="clear"/>
            <w:vAlign w:val="center"/>
          </w:tcPr>
          <w:p>
            <w:pPr>
              <w:pStyle w:val="TableContents"/>
              <w:bidi w:val="0"/>
              <w:spacing w:before="0" w:after="283"/>
              <w:jc w:val="left"/>
              <w:rPr/>
            </w:pPr>
            <w:r>
              <w:rPr/>
              <w:t>)</w:t>
            </w:r>
          </w:p>
        </w:tc>
      </w:tr>
      <w:tr>
        <w:trPr/>
        <w:tc>
          <w:tcPr>
            <w:tcW w:w="260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pPr>
            <w:r>
              <w:rPr/>
              <w:t>747</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70" w:type="dxa"/>
            <w:tcBorders>
              <w:bottom w:val="single" w:sz="8" w:space="0" w:color="000000"/>
            </w:tcBorders>
            <w:shd w:fill="CCEEFF" w:val="clear"/>
            <w:tcMar>
              <w:bottom w:w="28" w:type="dxa"/>
            </w:tcMar>
            <w:vAlign w:val="center"/>
          </w:tcPr>
          <w:p>
            <w:pPr>
              <w:pStyle w:val="TableContents"/>
              <w:bidi w:val="0"/>
              <w:spacing w:before="0" w:after="283"/>
              <w:jc w:val="right"/>
              <w:rPr/>
            </w:pPr>
            <w:r>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pPr>
            <w:r>
              <w:rPr/>
              <w:t>704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1,637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our acquisition of Fitters Sdn. Bhd. On September 12, 2025, we recognized $0.7 million of revenue for the year ended December 31, 2025 in relation to the provision of fire safety and protection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$0 of revenue relating to clinical trial supply for the year ended December 31, 2025 and $43,000 for the comparative period in 2024. This revenue relates to recovery of clinical manufacturing costs associated with an investigator sponsored study managed by Cedars-Sinai Medical Center.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revenues in fire safety in general to grow modestly in the near term, but expect more elevated growth in revenues for fire safety equipment, to service the rapid expansion of data centers in Southern Malaysia. We do not expect to report clinical trial supply or any other pharmaceutical development revenue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cost of sales for the years ended December 31, 2025 and 2024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3982" w:type="dxa"/>
        <w:jc w:val="left"/>
        <w:tblInd w:w="0" w:type="dxa"/>
        <w:tblLayout w:type="fixed"/>
        <w:tblCellMar>
          <w:top w:w="0" w:type="dxa"/>
          <w:left w:w="0" w:type="dxa"/>
          <w:bottom w:w="0" w:type="dxa"/>
          <w:right w:w="0" w:type="dxa"/>
        </w:tblCellMar>
      </w:tblPr>
      <w:tblGrid>
        <w:gridCol w:w="1235"/>
        <w:gridCol w:w="60"/>
        <w:gridCol w:w="190"/>
        <w:gridCol w:w="516"/>
        <w:gridCol w:w="80"/>
        <w:gridCol w:w="80"/>
        <w:gridCol w:w="190"/>
        <w:gridCol w:w="356"/>
        <w:gridCol w:w="60"/>
        <w:gridCol w:w="60"/>
        <w:gridCol w:w="140"/>
        <w:gridCol w:w="380"/>
        <w:gridCol w:w="60"/>
        <w:gridCol w:w="60"/>
        <w:gridCol w:w="60"/>
        <w:gridCol w:w="380"/>
        <w:gridCol w:w="75"/>
      </w:tblGrid>
      <w:tr>
        <w:trPr/>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2"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7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75"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16" w:type="dxa"/>
            <w:tcBorders>
              <w:bottom w:val="double" w:sz="6" w:space="0" w:color="000000"/>
            </w:tcBorders>
            <w:shd w:fill="CCEEFF" w:val="clear"/>
            <w:tcMar>
              <w:bottom w:w="28" w:type="dxa"/>
            </w:tcMar>
            <w:vAlign w:val="center"/>
          </w:tcPr>
          <w:p>
            <w:pPr>
              <w:pStyle w:val="TableContents"/>
              <w:bidi w:val="0"/>
              <w:spacing w:before="0" w:after="283"/>
              <w:jc w:val="right"/>
              <w:rPr/>
            </w:pPr>
            <w:r>
              <w:rPr/>
              <w:t>609</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5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right"/>
              <w:rPr/>
            </w:pPr>
            <w:r>
              <w:rPr/>
              <w:t>100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sales represented 7% and 0% of our operating expenses for the years ended December 31, 2025 and 2024, respectively. Our gross margins across all revenue streams approximate to 19% of gross revenues. Around 80% of our gross margins are generated from low margin product sales with the remaining 20% generated from higher margin maintenance and service revenues. We do not expect the product mix or margins to change significantly in the near term. We are, however, susceptible to potential increased costs brought about by geo-political events such as adverse movements in world oil prices.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all research and development costs as they are incurred. Research and development expenses primarily include:</w:t>
      </w:r>
    </w:p>
    <w:p>
      <w:pPr>
        <w:pStyle w:val="TextBody"/>
        <w:bidi w:val="0"/>
        <w:spacing w:before="0" w:after="0"/>
        <w:ind w:left="0" w:right="0" w:hanging="0"/>
        <w:jc w:val="both"/>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75"/>
        <w:gridCol w:w="170"/>
        <w:gridCol w:w="8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 and regulatory-related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1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 and personnel-related expenses, including consultants and contract research organizations;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1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Preclinical studies and materials;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1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license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1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1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and facility expenses for the portion of our office housing research and development personnel.</w:t>
            </w:r>
          </w:p>
        </w:tc>
      </w:tr>
    </w:tbl>
    <w:p>
      <w:pPr>
        <w:pStyle w:val="TextBody"/>
        <w:bidi w:val="0"/>
        <w:spacing w:before="0" w:after="0"/>
        <w:ind w:left="480" w:right="0" w:hanging="217"/>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480" w:right="0" w:hanging="217"/>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with respect to our research and development expenditures for the years ended December 31, 2025 and 2024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7037" w:type="dxa"/>
        <w:jc w:val="left"/>
        <w:tblInd w:w="0" w:type="dxa"/>
        <w:tblLayout w:type="fixed"/>
        <w:tblCellMar>
          <w:top w:w="0" w:type="dxa"/>
          <w:left w:w="0" w:type="dxa"/>
          <w:bottom w:w="0" w:type="dxa"/>
          <w:right w:w="0" w:type="dxa"/>
        </w:tblCellMar>
      </w:tblPr>
      <w:tblGrid>
        <w:gridCol w:w="4010"/>
        <w:gridCol w:w="60"/>
        <w:gridCol w:w="147"/>
        <w:gridCol w:w="401"/>
        <w:gridCol w:w="63"/>
        <w:gridCol w:w="63"/>
        <w:gridCol w:w="147"/>
        <w:gridCol w:w="591"/>
        <w:gridCol w:w="60"/>
        <w:gridCol w:w="60"/>
        <w:gridCol w:w="140"/>
        <w:gridCol w:w="635"/>
        <w:gridCol w:w="95"/>
        <w:gridCol w:w="60"/>
        <w:gridCol w:w="60"/>
        <w:gridCol w:w="335"/>
        <w:gridCol w:w="110"/>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7"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Transcriptional Regulation (fadraciclib)</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01" w:type="dxa"/>
            <w:tcBorders/>
            <w:shd w:fill="CCEEFF" w:val="clear"/>
            <w:vAlign w:val="center"/>
          </w:tcPr>
          <w:p>
            <w:pPr>
              <w:pStyle w:val="TableContents"/>
              <w:bidi w:val="0"/>
              <w:spacing w:before="0" w:after="283"/>
              <w:jc w:val="right"/>
              <w:rPr/>
            </w:pPr>
            <w:r>
              <w:rPr/>
              <w:t>389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4,970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(4,581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pPr>
            <w:r>
              <w:rPr/>
              <w:t>(92</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Anti-mitotic (plogo)</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right"/>
              <w:rPr/>
            </w:pPr>
            <w:r>
              <w:rPr/>
              <w:t>423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pPr>
            <w:r>
              <w:rPr/>
              <w:t>1,566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right"/>
              <w:rPr/>
            </w:pPr>
            <w:r>
              <w:rPr/>
              <w:t>(73</w:t>
            </w:r>
          </w:p>
        </w:tc>
        <w:tc>
          <w:tcPr>
            <w:tcW w:w="110" w:type="dxa"/>
            <w:tcBorders/>
            <w:shd w:fill="FFFFFF" w:val="clear"/>
            <w:vAlign w:val="center"/>
          </w:tcPr>
          <w:p>
            <w:pPr>
              <w:pStyle w:val="TableContents"/>
              <w:bidi w:val="0"/>
              <w:spacing w:before="0" w:after="283"/>
              <w:jc w:val="left"/>
              <w:rPr/>
            </w:pPr>
            <w:r>
              <w:rPr/>
              <w:t>)</w:t>
            </w:r>
          </w:p>
        </w:tc>
      </w:tr>
      <w:tr>
        <w:trPr/>
        <w:tc>
          <w:tcPr>
            <w:tcW w:w="4010" w:type="dxa"/>
            <w:tcBorders/>
            <w:shd w:fill="CCEEFF" w:val="clear"/>
            <w:vAlign w:val="center"/>
          </w:tcPr>
          <w:p>
            <w:pPr>
              <w:pStyle w:val="TableContents"/>
              <w:bidi w:val="0"/>
              <w:spacing w:before="0" w:after="283"/>
              <w:jc w:val="left"/>
              <w:rPr/>
            </w:pPr>
            <w:r>
              <w:rPr/>
              <w:t>Other research and development expenses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01" w:type="dxa"/>
            <w:tcBorders>
              <w:bottom w:val="single" w:sz="8" w:space="0" w:color="000000"/>
            </w:tcBorders>
            <w:shd w:fill="CCEEFF" w:val="clear"/>
            <w:tcMar>
              <w:bottom w:w="28" w:type="dxa"/>
            </w:tcMar>
            <w:vAlign w:val="center"/>
          </w:tcPr>
          <w:p>
            <w:pPr>
              <w:pStyle w:val="TableContents"/>
              <w:bidi w:val="0"/>
              <w:spacing w:before="0" w:after="283"/>
              <w:jc w:val="right"/>
              <w:rPr/>
            </w:pPr>
            <w:r>
              <w:rPr/>
              <w:t>36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1" w:type="dxa"/>
            <w:tcBorders>
              <w:bottom w:val="single" w:sz="8" w:space="0" w:color="000000"/>
            </w:tcBorders>
            <w:shd w:fill="CCEEFF" w:val="clear"/>
            <w:tcMar>
              <w:bottom w:w="28" w:type="dxa"/>
            </w:tcMar>
            <w:vAlign w:val="center"/>
          </w:tcPr>
          <w:p>
            <w:pPr>
              <w:pStyle w:val="TableContents"/>
              <w:bidi w:val="0"/>
              <w:spacing w:before="0" w:after="283"/>
              <w:jc w:val="right"/>
              <w:rPr/>
            </w:pPr>
            <w:r>
              <w:rPr/>
              <w:t>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pPr>
            <w:r>
              <w:rPr/>
              <w:t>(70</w:t>
            </w:r>
          </w:p>
        </w:tc>
        <w:tc>
          <w:tcPr>
            <w:tcW w:w="110" w:type="dxa"/>
            <w:tcBorders/>
            <w:shd w:fill="CCEEFF" w:val="clear"/>
            <w:vAlign w:val="center"/>
          </w:tcPr>
          <w:p>
            <w:pPr>
              <w:pStyle w:val="TableContents"/>
              <w:bidi w:val="0"/>
              <w:spacing w:before="0" w:after="283"/>
              <w:jc w:val="left"/>
              <w:rPr/>
            </w:pPr>
            <w:r>
              <w:rPr/>
              <w:t>)</w:t>
            </w:r>
          </w:p>
        </w:tc>
      </w:tr>
      <w:tr>
        <w:trPr/>
        <w:tc>
          <w:tcPr>
            <w:tcW w:w="4010" w:type="dxa"/>
            <w:tcBorders/>
            <w:shd w:fill="FFFFFF" w:val="clear"/>
            <w:vAlign w:val="center"/>
          </w:tcPr>
          <w:p>
            <w:pPr>
              <w:pStyle w:val="TableContents"/>
              <w:bidi w:val="0"/>
              <w:spacing w:before="0" w:after="283"/>
              <w:jc w:val="left"/>
              <w:rPr/>
            </w:pPr>
            <w:r>
              <w:rPr/>
              <w:t>Total research and development expenses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01" w:type="dxa"/>
            <w:tcBorders>
              <w:bottom w:val="double" w:sz="6" w:space="0" w:color="000000"/>
            </w:tcBorders>
            <w:shd w:fill="FFFFFF" w:val="clear"/>
            <w:tcMar>
              <w:bottom w:w="28" w:type="dxa"/>
            </w:tcMar>
            <w:vAlign w:val="center"/>
          </w:tcPr>
          <w:p>
            <w:pPr>
              <w:pStyle w:val="TableContents"/>
              <w:bidi w:val="0"/>
              <w:spacing w:before="0" w:after="283"/>
              <w:jc w:val="right"/>
              <w:rPr/>
            </w:pPr>
            <w:r>
              <w:rPr/>
              <w:t>848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91" w:type="dxa"/>
            <w:tcBorders>
              <w:bottom w:val="double" w:sz="6" w:space="0" w:color="000000"/>
            </w:tcBorders>
            <w:shd w:fill="FFFFFF" w:val="clear"/>
            <w:tcMar>
              <w:bottom w:w="28" w:type="dxa"/>
            </w:tcMar>
            <w:vAlign w:val="center"/>
          </w:tcPr>
          <w:p>
            <w:pPr>
              <w:pStyle w:val="TableContents"/>
              <w:bidi w:val="0"/>
              <w:spacing w:before="0" w:after="283"/>
              <w:jc w:val="right"/>
              <w:rPr/>
            </w:pPr>
            <w:r>
              <w:rPr/>
              <w:t>6,655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(5,807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bottom w:w="28" w:type="dxa"/>
            </w:tcMar>
            <w:vAlign w:val="center"/>
          </w:tcPr>
          <w:p>
            <w:pPr>
              <w:pStyle w:val="TableContents"/>
              <w:bidi w:val="0"/>
              <w:spacing w:before="0" w:after="283"/>
              <w:jc w:val="right"/>
              <w:rPr/>
            </w:pPr>
            <w:r>
              <w:rPr/>
              <w:t>(87</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represented 9% and 55% of our operating expenses for the years ended December 31, 2025 and 2024,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by $5.8 million from $6.7 million for the year ended December 31, 2024 to $0.9 million for the year ended December 31, 2025. Expenditure for the transcriptional regulation program ceased as a result of the Company’s UK subsidiary, Cyclacel Limited, being liquidated on January 24, 2025. Research and development expenses relating to plogosertib decreased by $1.1 million relative to the respective comparative period while we paused our clinical trials and explored alternative salt, oral formulation with improved bioavailability.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liquidation of Cyclacel Limited, and therefore the loss of ownership of our transcriptional regulation program, coupled with the sale of our remaining anti-mitotic asset, plogosertib in early October 2025, we do not expect to incur any further material research and development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costs for administrative personnel, legal and other professional expenses and general corporate expenses. The following table summarizes the total general and administrative expenses for the years ended December 31, 2025 and 2024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3980"/>
        <w:gridCol w:w="60"/>
        <w:gridCol w:w="140"/>
        <w:gridCol w:w="560"/>
        <w:gridCol w:w="60"/>
        <w:gridCol w:w="60"/>
        <w:gridCol w:w="140"/>
        <w:gridCol w:w="560"/>
        <w:gridCol w:w="60"/>
        <w:gridCol w:w="60"/>
        <w:gridCol w:w="140"/>
        <w:gridCol w:w="560"/>
        <w:gridCol w:w="60"/>
        <w:gridCol w:w="60"/>
        <w:gridCol w:w="60"/>
        <w:gridCol w:w="260"/>
        <w:gridCol w:w="75"/>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Total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7,717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5,392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2,225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right"/>
              <w:rPr/>
            </w:pPr>
            <w:r>
              <w:rPr/>
              <w:t>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general and administrative expenses represented 84% and 45% of our operating expenses for the years ended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expenditures increased by $2.3 million from $5.4 million for the year ended December 31, 2024 to $7.7 million for the year ended December 31, 2025. This increase was primarily due to several one-time costs associated with the two changes of control of the Company; primarily stock compensation expense of $1.3 million, D&amp;O insurance costs of $0.7 million, and compensation expense of $0.3 million. The acquisition of Fitters Sdn. Bhd. On September 12, 2025, resulted in a further $0.1m of general and administrative expenditures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general and administrative expenditures for the year ended December 31, 2026 to reduce significantly compared to the year ended December 31, 2025 following the deconsolidation of Cyclacel Limited and elimination of nonrecurring costs related to two changes of control.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other income (expense) for years ended December 31, 2025 and 2024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6916" w:type="dxa"/>
        <w:jc w:val="left"/>
        <w:tblInd w:w="0" w:type="dxa"/>
        <w:tblLayout w:type="fixed"/>
        <w:tblCellMar>
          <w:top w:w="0" w:type="dxa"/>
          <w:left w:w="0" w:type="dxa"/>
          <w:bottom w:w="0" w:type="dxa"/>
          <w:right w:w="0" w:type="dxa"/>
        </w:tblCellMar>
      </w:tblPr>
      <w:tblGrid>
        <w:gridCol w:w="3620"/>
        <w:gridCol w:w="60"/>
        <w:gridCol w:w="152"/>
        <w:gridCol w:w="611"/>
        <w:gridCol w:w="65"/>
        <w:gridCol w:w="65"/>
        <w:gridCol w:w="152"/>
        <w:gridCol w:w="366"/>
        <w:gridCol w:w="95"/>
        <w:gridCol w:w="60"/>
        <w:gridCol w:w="140"/>
        <w:gridCol w:w="560"/>
        <w:gridCol w:w="60"/>
        <w:gridCol w:w="60"/>
        <w:gridCol w:w="60"/>
        <w:gridCol w:w="680"/>
        <w:gridCol w:w="110"/>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6"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Foreign exchange gains (losses)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611" w:type="dxa"/>
            <w:tcBorders/>
            <w:shd w:fill="CCEEFF" w:val="clear"/>
            <w:vAlign w:val="center"/>
          </w:tcPr>
          <w:p>
            <w:pPr>
              <w:pStyle w:val="TableContents"/>
              <w:bidi w:val="0"/>
              <w:spacing w:before="0" w:after="283"/>
              <w:jc w:val="right"/>
              <w:rPr/>
            </w:pPr>
            <w:r>
              <w:rPr/>
              <w:t>73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w:t>
            </w:r>
          </w:p>
        </w:tc>
        <w:tc>
          <w:tcPr>
            <w:tcW w:w="366" w:type="dxa"/>
            <w:tcBorders/>
            <w:shd w:fill="CCEEFF" w:val="clear"/>
            <w:vAlign w:val="center"/>
          </w:tcPr>
          <w:p>
            <w:pPr>
              <w:pStyle w:val="TableContents"/>
              <w:bidi w:val="0"/>
              <w:spacing w:before="0" w:after="283"/>
              <w:jc w:val="right"/>
              <w:rPr/>
            </w:pPr>
            <w:r>
              <w:rPr/>
              <w:t>(54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(235</w:t>
            </w:r>
          </w:p>
        </w:tc>
        <w:tc>
          <w:tcPr>
            <w:tcW w:w="110" w:type="dxa"/>
            <w:tcBorders/>
            <w:shd w:fill="CCEEFF" w:val="clear"/>
            <w:vAlign w:val="center"/>
          </w:tcPr>
          <w:p>
            <w:pPr>
              <w:pStyle w:val="TableContents"/>
              <w:bidi w:val="0"/>
              <w:spacing w:before="0" w:after="283"/>
              <w:jc w:val="left"/>
              <w:rPr/>
            </w:pPr>
            <w:r>
              <w:rPr/>
              <w:t>)</w:t>
            </w:r>
          </w:p>
        </w:tc>
      </w:tr>
      <w:tr>
        <w:trPr/>
        <w:tc>
          <w:tcPr>
            <w:tcW w:w="362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right"/>
              <w:rPr/>
            </w:pPr>
            <w:r>
              <w:rPr/>
              <w:t>62</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417</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right"/>
              <w:rPr/>
            </w:pPr>
            <w:r>
              <w:rPr/>
              <w:t>4,947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620"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11" w:type="dxa"/>
            <w:tcBorders>
              <w:bottom w:val="single" w:sz="8" w:space="0" w:color="000000"/>
            </w:tcBorders>
            <w:shd w:fill="FFFFFF" w:val="clear"/>
            <w:tcMar>
              <w:bottom w:w="28" w:type="dxa"/>
            </w:tcMar>
            <w:vAlign w:val="center"/>
          </w:tcPr>
          <w:p>
            <w:pPr>
              <w:pStyle w:val="TableContents"/>
              <w:bidi w:val="0"/>
              <w:spacing w:before="0" w:after="283"/>
              <w:jc w:val="right"/>
              <w:rPr/>
            </w:pPr>
            <w:r>
              <w:rPr/>
              <w:t>354</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66"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581</w:t>
            </w:r>
          </w:p>
        </w:tc>
        <w:tc>
          <w:tcPr>
            <w:tcW w:w="110" w:type="dxa"/>
            <w:tcBorders/>
            <w:shd w:fill="FFFFFF" w:val="cle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1" w:type="dxa"/>
            <w:tcBorders>
              <w:bottom w:val="double" w:sz="6" w:space="0" w:color="000000"/>
            </w:tcBorders>
            <w:shd w:fill="CCEEFF" w:val="clear"/>
            <w:tcMar>
              <w:bottom w:w="28" w:type="dxa"/>
            </w:tcMar>
            <w:vAlign w:val="center"/>
          </w:tcPr>
          <w:p>
            <w:pPr>
              <w:pStyle w:val="TableContents"/>
              <w:bidi w:val="0"/>
              <w:spacing w:before="0" w:after="283"/>
              <w:jc w:val="right"/>
              <w:rPr/>
            </w:pPr>
            <w:r>
              <w:rPr/>
              <w:t>5,436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66" w:type="dxa"/>
            <w:tcBorders>
              <w:bottom w:val="double" w:sz="6" w:space="0" w:color="000000"/>
            </w:tcBorders>
            <w:shd w:fill="CCEEFF" w:val="clear"/>
            <w:tcMar>
              <w:bottom w:w="28" w:type="dxa"/>
            </w:tcM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5,426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54,260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net, increased by $5.4 million from $10,000 for the year ended December 31, 2024 to $5.4 million for the year ended December 31, 2025. The increase in other income, net primarily relates to the liquidation of our formerly wholly owned subsidiary Cyclacel Limited, and the subsequent deconsolidation thereof in January 2025, which resulted in a $4.9 million gain on deconsolidation. Other income, net relates primarily to $0.3 million received from the sale of our research and development anti-mitotic asset, plogosertib in early October 2025. Furthermore, we received royalties under a December 2005 Asset Purchase Agreement, or APA, whereby Xcyte Therapies, Inc., or Xcyte (a business acquired by us in March 2006) sold through the APA and other related agreements certain assets and intellectual property which are not related to our product development plans to ThermoFisher Scientific Company, or TSC. Accordingly, we presented $0 and $52,000 as other income received from TSC during the years ended December 31, 2025 and 2024 respectively. We have no knowledge of TSC’s activities and cannot predict when we may receive income under the APA,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Favorable foreign exchange movements increased by $127,000 to a gain of $73,000 for the year ended December 31, 2025 compared to a loss of $54,000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we have had intercompany loans in place between our parent company and our former subsidiary based in the UK. As a result of the liquidation of the UK subsidiary in January 2025, the intercompany loans have been forgiven. The accumulated translation adjustments previously recorded in other comprehensive income within equity have been reclassified from accumulated other comprehensive income and recorded as part of the gain/loss from deconsolidation of the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research and development tax credits within income taxes. Credit is taken for research and development tax credits, which are claimed from the United Kingdom’s taxation and customs authority (HMRC), in respect of qualifying research and development costs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total income tax benefit from such credits for the years ended December 31, 2025 and 2024 (in thousands except percentages):</w:t>
      </w:r>
    </w:p>
    <w:p>
      <w:pPr>
        <w:pStyle w:val="TextBody"/>
        <w:bidi w:val="0"/>
        <w:spacing w:before="0" w:after="0"/>
        <w:ind w:left="0" w:right="0" w:hanging="0"/>
        <w:jc w:val="left"/>
        <w:rPr>
          <w:caps w:val="false"/>
          <w:smallCaps w:val="false"/>
        </w:rPr>
      </w:pPr>
      <w:r>
        <w:rPr>
          <w:caps w:val="false"/>
          <w:smallCaps w:val="false"/>
        </w:rPr>
        <w:t> </w:t>
      </w:r>
    </w:p>
    <w:tbl>
      <w:tblPr>
        <w:tblW w:w="6151" w:type="dxa"/>
        <w:jc w:val="left"/>
        <w:tblInd w:w="0" w:type="dxa"/>
        <w:tblLayout w:type="fixed"/>
        <w:tblCellMar>
          <w:top w:w="0" w:type="dxa"/>
          <w:left w:w="0" w:type="dxa"/>
          <w:bottom w:w="0" w:type="dxa"/>
          <w:right w:w="0" w:type="dxa"/>
        </w:tblCellMar>
      </w:tblPr>
      <w:tblGrid>
        <w:gridCol w:w="3170"/>
        <w:gridCol w:w="60"/>
        <w:gridCol w:w="196"/>
        <w:gridCol w:w="304"/>
        <w:gridCol w:w="130"/>
        <w:gridCol w:w="81"/>
        <w:gridCol w:w="191"/>
        <w:gridCol w:w="524"/>
        <w:gridCol w:w="60"/>
        <w:gridCol w:w="60"/>
        <w:gridCol w:w="140"/>
        <w:gridCol w:w="455"/>
        <w:gridCol w:w="95"/>
        <w:gridCol w:w="60"/>
        <w:gridCol w:w="60"/>
        <w:gridCol w:w="455"/>
        <w:gridCol w:w="110"/>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1"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Difference</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Income tax benefit (charge)</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130" w:type="dxa"/>
            <w:tcBorders/>
            <w:shd w:fill="CCEEFF" w:val="clear"/>
            <w:vAlign w:val="center"/>
          </w:tcPr>
          <w:p>
            <w:pPr>
              <w:pStyle w:val="TableContents"/>
              <w:bidi w:val="0"/>
              <w:spacing w:before="0" w:after="283"/>
              <w:jc w:val="left"/>
              <w:rPr/>
            </w:pPr>
            <w:r>
              <w:rPr/>
              <w:t>)</w:t>
            </w:r>
          </w:p>
        </w:tc>
        <w:tc>
          <w:tcPr>
            <w:tcW w:w="81"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24" w:type="dxa"/>
            <w:tcBorders>
              <w:bottom w:val="single" w:sz="8" w:space="0" w:color="000000"/>
            </w:tcBorders>
            <w:shd w:fill="CCEEFF" w:val="clear"/>
            <w:tcMar>
              <w:bottom w:w="28" w:type="dxa"/>
            </w:tcMar>
            <w:vAlign w:val="center"/>
          </w:tcPr>
          <w:p>
            <w:pPr>
              <w:pStyle w:val="TableContents"/>
              <w:bidi w:val="0"/>
              <w:spacing w:before="0" w:after="283"/>
              <w:jc w:val="right"/>
              <w:rPr/>
            </w:pPr>
            <w:r>
              <w:rPr/>
              <w:t>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(789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(101</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left"/>
              <w:rPr/>
            </w:pPr>
            <w:r>
              <w:rPr/>
              <w:t>Total income tax benefit (charge)</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04" w:type="dxa"/>
            <w:tcBorders>
              <w:bottom w:val="double" w:sz="6" w:space="0" w:color="000000"/>
            </w:tcBorders>
            <w:shd w:fill="FFFFFF" w:val="clear"/>
            <w:tcMar>
              <w:bottom w:w="28" w:type="dxa"/>
            </w:tcMar>
            <w:vAlign w:val="center"/>
          </w:tcPr>
          <w:p>
            <w:pPr>
              <w:pStyle w:val="TableContents"/>
              <w:bidi w:val="0"/>
              <w:spacing w:before="0" w:after="283"/>
              <w:jc w:val="right"/>
              <w:rPr/>
            </w:pPr>
            <w:r>
              <w:rPr/>
              <w:t>(7</w:t>
            </w:r>
          </w:p>
        </w:tc>
        <w:tc>
          <w:tcPr>
            <w:tcW w:w="130"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24" w:type="dxa"/>
            <w:tcBorders>
              <w:bottom w:val="double" w:sz="6" w:space="0" w:color="000000"/>
            </w:tcBorders>
            <w:shd w:fill="FFFFFF" w:val="clear"/>
            <w:tcMar>
              <w:bottom w:w="28" w:type="dxa"/>
            </w:tcMar>
            <w:vAlign w:val="center"/>
          </w:tcPr>
          <w:p>
            <w:pPr>
              <w:pStyle w:val="TableContents"/>
              <w:bidi w:val="0"/>
              <w:spacing w:before="0" w:after="283"/>
              <w:jc w:val="right"/>
              <w:rPr/>
            </w:pPr>
            <w:r>
              <w:rPr/>
              <w:t>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(789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(101</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benefit decreased significantly by approximately $0.8 million, from $0.8 million benefit for the year ended December 31, 2024 to $7,000 charge for the year ended December 31, 2025, due to the ineligibility to recover in 2025 qualifying research and developments expenditure incurred during 2024. The level of tax credits recoverable is linked directly to qualifying research and development expenditure incurred in any one year and the availability of trading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liquidation of the UK Subsidiary, we are no longer eligible to receive United Kingdom research and development tax credits.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key liquidity measures as of December 31, 2025 and 2024 (in thousands):</w:t>
      </w:r>
    </w:p>
    <w:p>
      <w:pPr>
        <w:pStyle w:val="TextBody"/>
        <w:bidi w:val="0"/>
        <w:spacing w:before="0" w:after="0"/>
        <w:ind w:left="0" w:right="0" w:hanging="0"/>
        <w:jc w:val="left"/>
        <w:rPr>
          <w:caps w:val="false"/>
          <w:smallCaps w:val="false"/>
        </w:rPr>
      </w:pPr>
      <w:r>
        <w:rPr>
          <w:caps w:val="false"/>
          <w:smallCaps w:val="false"/>
        </w:rPr>
        <w:t> </w:t>
      </w:r>
    </w:p>
    <w:tbl>
      <w:tblPr>
        <w:tblW w:w="4730" w:type="dxa"/>
        <w:jc w:val="left"/>
        <w:tblInd w:w="0" w:type="dxa"/>
        <w:tblLayout w:type="fixed"/>
        <w:tblCellMar>
          <w:top w:w="0" w:type="dxa"/>
          <w:left w:w="0" w:type="dxa"/>
          <w:bottom w:w="0" w:type="dxa"/>
          <w:right w:w="0" w:type="dxa"/>
        </w:tblCellMar>
      </w:tblPr>
      <w:tblGrid>
        <w:gridCol w:w="2855"/>
        <w:gridCol w:w="60"/>
        <w:gridCol w:w="140"/>
        <w:gridCol w:w="635"/>
        <w:gridCol w:w="95"/>
        <w:gridCol w:w="60"/>
        <w:gridCol w:w="140"/>
        <w:gridCol w:w="635"/>
        <w:gridCol w:w="110"/>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3,505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3,137</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pPr>
            <w:r>
              <w:rPr/>
              <w:t>Working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both"/>
              <w:rPr/>
            </w:pPr>
            <w:r>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6,256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3,674</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both"/>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(1,332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(6,268</w:t>
            </w:r>
          </w:p>
        </w:tc>
        <w:tc>
          <w:tcPr>
            <w:tcW w:w="110" w:type="dxa"/>
            <w:tcBorders/>
            <w:shd w:fill="FFFFFF" w:val="clear"/>
            <w:vAlign w:val="center"/>
          </w:tcPr>
          <w:p>
            <w:pPr>
              <w:pStyle w:val="TableContents"/>
              <w:bidi w:val="0"/>
              <w:spacing w:before="0" w:after="283"/>
              <w:jc w:val="left"/>
              <w:rPr/>
            </w:pPr>
            <w:r>
              <w:rPr/>
              <w:t>)</w:t>
            </w:r>
          </w:p>
        </w:tc>
      </w:tr>
      <w:tr>
        <w:trPr/>
        <w:tc>
          <w:tcPr>
            <w:tcW w:w="2855" w:type="dxa"/>
            <w:tcBorders/>
            <w:shd w:fill="CCEEFF" w:val="clear"/>
            <w:vAlign w:val="center"/>
          </w:tcPr>
          <w:p>
            <w:pPr>
              <w:pStyle w:val="TableContents"/>
              <w:bidi w:val="0"/>
              <w:spacing w:before="0" w:after="283"/>
              <w:jc w:val="both"/>
              <w:rPr/>
            </w:pPr>
            <w:r>
              <w:rPr/>
              <w:t>Total working capital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4,924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(2,594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(used in) operating, investing and financing activities for the years ended December 31, 2025 and 2024 is summarized as follows (in thousands):</w:t>
      </w:r>
    </w:p>
    <w:p>
      <w:pPr>
        <w:pStyle w:val="TextBody"/>
        <w:bidi w:val="0"/>
        <w:spacing w:before="0" w:after="0"/>
        <w:ind w:left="0" w:right="0" w:hanging="0"/>
        <w:jc w:val="left"/>
        <w:rPr>
          <w:caps w:val="false"/>
          <w:smallCaps w:val="false"/>
        </w:rPr>
      </w:pPr>
      <w:r>
        <w:rPr>
          <w:caps w:val="false"/>
          <w:smallCaps w:val="false"/>
        </w:rPr>
        <w:t> </w:t>
      </w:r>
    </w:p>
    <w:tbl>
      <w:tblPr>
        <w:tblW w:w="6778" w:type="dxa"/>
        <w:jc w:val="left"/>
        <w:tblInd w:w="0" w:type="dxa"/>
        <w:tblLayout w:type="fixed"/>
        <w:tblCellMar>
          <w:top w:w="0" w:type="dxa"/>
          <w:left w:w="0" w:type="dxa"/>
          <w:bottom w:w="0" w:type="dxa"/>
          <w:right w:w="0" w:type="dxa"/>
        </w:tblCellMar>
      </w:tblPr>
      <w:tblGrid>
        <w:gridCol w:w="3890"/>
        <w:gridCol w:w="60"/>
        <w:gridCol w:w="223"/>
        <w:gridCol w:w="1013"/>
        <w:gridCol w:w="151"/>
        <w:gridCol w:w="95"/>
        <w:gridCol w:w="223"/>
        <w:gridCol w:w="1013"/>
        <w:gridCol w:w="11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1"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(4,770</w:t>
            </w:r>
          </w:p>
        </w:tc>
        <w:tc>
          <w:tcPr>
            <w:tcW w:w="151"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(7,990</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w:t>
            </w:r>
          </w:p>
        </w:tc>
        <w:tc>
          <w:tcPr>
            <w:tcW w:w="151"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5,264</w:t>
            </w:r>
          </w:p>
        </w:tc>
        <w:tc>
          <w:tcPr>
            <w:tcW w:w="15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7,822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decreased by $3.1 million, from $8.0 million for the year ended December 31, 2024 to $4.8 million for the year ended December 31, 2025. The decrease in cash used by operating activities was primarily the result of a decrease in net loss of $8.3 million, and add backs for non-cash stock based compensation of $1.7 million. Offsetting these movements was a gain on deconsolidation of Cyclacel Limited of $4.9 million. In addition, we experienced an $11.9 million change in working capital primarily related to the settlement of accounts payable and accrued liabilities associated with our former UK subsidiary Cyclacel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net cash used in investing activities for either of the years ended December 31,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$5.3 million for the year ended December 31, 2025 as a direct result of receiving approximately $6.4 million, net of expenses, from the issuance of preferred stock under Securities Purchase Agreements, offset by:</w:t>
      </w:r>
    </w:p>
    <w:p>
      <w:pPr>
        <w:pStyle w:val="TextBody"/>
        <w:bidi w:val="0"/>
        <w:spacing w:before="0" w:after="0"/>
        <w:ind w:left="280" w:right="0" w:hanging="0"/>
        <w:jc w:val="both"/>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95"/>
        <w:gridCol w:w="8345"/>
      </w:tblGrid>
      <w:tr>
        <w:trPr/>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million in net payments under the November 2024 Warrant Exchange Agreement, as amended.</w:t>
            </w:r>
          </w:p>
        </w:tc>
      </w:tr>
      <w:tr>
        <w:trPr/>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83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 million in dividend payments to the holders of our 6% Convertible Exchangeable Preferred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$7.8 million for the year ended December 31, 2024 as a direct result of receiving approximately: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
        <w:gridCol w:w="10110"/>
      </w:tblGrid>
      <w:tr>
        <w:trPr/>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million, net of expenses, from the issuance of common stock and warrants under a Securities Purchase Agreement with an institutional investor,</w:t>
            </w:r>
          </w:p>
        </w:tc>
      </w:tr>
      <w:tr>
        <w:trPr/>
        <w:tc>
          <w:tcPr>
            <w:tcW w:w="95" w:type="dxa"/>
            <w:tcBorders/>
            <w:vAlign w:val="center"/>
          </w:tcPr>
          <w:p>
            <w:pPr>
              <w:pStyle w:val="TableContents"/>
              <w:bidi w:val="0"/>
              <w:spacing w:before="0" w:after="283"/>
              <w:jc w:val="left"/>
              <w:rPr>
                <w:caps w:val="false"/>
                <w:smallCaps w:val="false"/>
              </w:rPr>
            </w:pPr>
            <w:r>
              <w:rPr>
                <w:caps w:val="false"/>
                <w:smallCaps w:val="false"/>
              </w:rPr>
              <w:t> </w:t>
            </w:r>
          </w:p>
        </w:tc>
        <w:tc>
          <w:tcPr>
            <w:tcW w:w="10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million in net proceeds from a warrant exercise and reload agreement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long-term contractual obligations as of December 31, 2025 (in thousands):</w:t>
      </w:r>
    </w:p>
    <w:p>
      <w:pPr>
        <w:pStyle w:val="TextBody"/>
        <w:bidi w:val="0"/>
        <w:spacing w:before="0" w:after="0"/>
        <w:ind w:left="0" w:right="0" w:hanging="0"/>
        <w:jc w:val="left"/>
        <w:rPr>
          <w:caps w:val="false"/>
          <w:smallCaps w:val="false"/>
        </w:rPr>
      </w:pPr>
      <w:r>
        <w:rPr>
          <w:caps w:val="false"/>
          <w:smallCaps w:val="false"/>
        </w:rPr>
        <w:t> </w:t>
      </w:r>
    </w:p>
    <w:tbl>
      <w:tblPr>
        <w:tblW w:w="8907" w:type="dxa"/>
        <w:jc w:val="left"/>
        <w:tblInd w:w="0" w:type="dxa"/>
        <w:tblLayout w:type="fixed"/>
        <w:tblCellMar>
          <w:top w:w="0" w:type="dxa"/>
          <w:left w:w="0" w:type="dxa"/>
          <w:bottom w:w="0" w:type="dxa"/>
          <w:right w:w="0" w:type="dxa"/>
        </w:tblCellMar>
      </w:tblPr>
      <w:tblGrid>
        <w:gridCol w:w="3080"/>
        <w:gridCol w:w="60"/>
        <w:gridCol w:w="196"/>
        <w:gridCol w:w="364"/>
        <w:gridCol w:w="60"/>
        <w:gridCol w:w="60"/>
        <w:gridCol w:w="368"/>
        <w:gridCol w:w="686"/>
        <w:gridCol w:w="100"/>
        <w:gridCol w:w="100"/>
        <w:gridCol w:w="550"/>
        <w:gridCol w:w="550"/>
        <w:gridCol w:w="100"/>
        <w:gridCol w:w="100"/>
        <w:gridCol w:w="654"/>
        <w:gridCol w:w="445"/>
        <w:gridCol w:w="100"/>
        <w:gridCol w:w="100"/>
        <w:gridCol w:w="689"/>
        <w:gridCol w:w="470"/>
        <w:gridCol w:w="75"/>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12"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Payments Due by Period</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Less than </w:t>
              <w:br/>
              <w:t>1 year</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 – 3 years</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 – 5 years</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More than </w:t>
              <w:br/>
              <w:t>5 years</w:t>
            </w:r>
          </w:p>
        </w:tc>
        <w:tc>
          <w:tcPr>
            <w:tcW w:w="7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Operating Lease Obligations (1)</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364"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w:t>
            </w:r>
          </w:p>
        </w:tc>
        <w:tc>
          <w:tcPr>
            <w:tcW w:w="686" w:type="dxa"/>
            <w:tcBorders/>
            <w:shd w:fill="CCEEFF" w:val="clear"/>
            <w:vAlign w:val="center"/>
          </w:tcPr>
          <w:p>
            <w:pPr>
              <w:pStyle w:val="TableContents"/>
              <w:bidi w:val="0"/>
              <w:spacing w:before="0" w:after="283"/>
              <w:jc w:val="right"/>
              <w:rPr/>
            </w:pPr>
            <w:r>
              <w:rPr/>
              <w:t>18</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pPr>
            <w:r>
              <w:rPr/>
              <w:t>$</w:t>
            </w:r>
          </w:p>
        </w:tc>
        <w:tc>
          <w:tcPr>
            <w:tcW w:w="550" w:type="dxa"/>
            <w:tcBorders/>
            <w:shd w:fill="CCEEFF" w:val="clear"/>
            <w:vAlign w:val="center"/>
          </w:tcPr>
          <w:p>
            <w:pPr>
              <w:pStyle w:val="TableContents"/>
              <w:bidi w:val="0"/>
              <w:spacing w:before="0" w:after="283"/>
              <w:jc w:val="right"/>
              <w:rPr/>
            </w:pPr>
            <w:r>
              <w:rPr/>
              <w:t>2</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54" w:type="dxa"/>
            <w:tcBorders/>
            <w:shd w:fill="CCEEFF" w:val="clear"/>
            <w:vAlign w:val="center"/>
          </w:tcPr>
          <w:p>
            <w:pPr>
              <w:pStyle w:val="TableContents"/>
              <w:bidi w:val="0"/>
              <w:spacing w:before="0" w:after="283"/>
              <w:jc w:val="left"/>
              <w:rPr/>
            </w:pPr>
            <w:r>
              <w:rPr/>
              <w:t>$</w:t>
            </w:r>
          </w:p>
        </w:tc>
        <w:tc>
          <w:tcPr>
            <w:tcW w:w="445"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left"/>
              <w:rPr/>
            </w:pPr>
            <w:r>
              <w:rPr/>
              <w:t>$</w:t>
            </w:r>
          </w:p>
        </w:tc>
        <w:tc>
          <w:tcPr>
            <w:tcW w:w="47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obligations relates to leasing office space at our Kuala Lumpur, Malaysia location. Effective March 1, 2025, the Company entered into a two year lease agreement for our corporate headquarters at Level 10, Tower 11, Avenue 5, No. 8, Jalan Kerinchi, 59200 Kuala Lumpur, Malaysia. Following the acquisition of Fitters Sdn Bhd on September 12, 2025, the Company has three additional facilities in Malaysia, all on short term lease agreements.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not had any off-balance sheet arrangements or relationships with unconsolidated entities or financial partnerships, such as entities often referred to as structured finance or variable interest entities, which are typically established for the purpose of facilitating off-balance sheet arrangements or other contractually narrow or limited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Note 2 to the consolidated financial statements for a discussion of the potential effects that recently issued, but not yet effective, accounting standards will have on our financial statements when adopted in a future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is based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and related disclosure of contingent assets and liabilities. We review our estimates on an ongoing basis. We base our estimates on historical experience and on various other factors that we believe to be reasonable under the circumstances. Actual results may differ from these estimates. We believe the judgments and estimates required by the following accounting policies to be critical in the preparation of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accounting policies are more fully described in Note 2 to our consolidated financial statements included elsewhere in this report. We believe the following critical accounting policies reflect our more significant estimates and assumptions used in the preparation of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Valuation of Net Assets Acquired and Goodwill</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identifiable assets acquired and the liabilities assumed at their acquisition-date fair values, based on the price that would be received from the sale of such assets, or paid to transfer such liabilities, in an orderly transaction between market participants per the principles of ASC 820, Fair Value Measurement. Goodwill primarily represents the value of the assembled workforce and synergies that cannot be individually identified and recognized as a separate intangible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grant stock options, restricted stock units and restricted stock to officers, employees, directors and consultants under our 2018 Equity Incentive Plan (the 2018 Plan) and the 2020 Inducement Equity Incentive Plan. We measure compensation cost for all stock-based awards at fair value on date of grant and recognize compensation over the requisite service period. The fair value of restricted stock and restricted stock units is determined based on the number of shares granted and the quoted price of our common stock on the date of grant. The determination of grant-date fair value for stock option awards is estimated using an option-pricing model, which includes variables such as the expected volatility of our share price, the anticipated exercise behavior of our employees, interest rates, and dividend yields. These variables are projected based on our historical data, experience, and other factors. Changes in any of these variables could result in significant adjustments to the costs recognized for share-based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 w:name="sp_017"/>
      <w:bookmarkEnd w:id="62"/>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provide information response to this item.</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 w:name="sp_018"/>
      <w:bookmarkEnd w:id="63"/>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 w:name="V_1"/>
      <w:bookmarkEnd w:id="64"/>
      <w:r>
        <w:rPr>
          <w:rFonts w:ascii="Times New Roman;Times;Serif" w:hAnsi="Times New Roman;Times;Serif"/>
          <w:b/>
          <w:i w:val="false"/>
          <w:caps w:val="false"/>
          <w:smallCaps w:val="false"/>
          <w:sz w:val="20"/>
        </w:rPr>
        <w:t>INDEX TO BIO GREEN MED SOLUTION, INC. FINANCIAL STATEMENTS</w:t>
      </w:r>
    </w:p>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8045"/>
        <w:gridCol w:w="60"/>
        <w:gridCol w:w="455"/>
      </w:tblGrid>
      <w:tr>
        <w:trPr/>
        <w:tc>
          <w:tcPr>
            <w:tcW w:w="80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045" w:type="dxa"/>
            <w:tcBorders/>
            <w:shd w:fill="CCEEFF" w:val="clear"/>
            <w:vAlign w:val="center"/>
          </w:tcPr>
          <w:p>
            <w:pPr>
              <w:pStyle w:val="TableContents"/>
              <w:bidi w:val="0"/>
              <w:spacing w:before="0" w:after="283"/>
              <w:jc w:val="left"/>
              <w:rPr/>
            </w:pPr>
            <w:hyperlink w:anchor="sp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w:t>
            </w:r>
            <w:bookmarkStart w:id="65" w:name="xdx_90E_edei--AuditorFirmId_c20250101__2"/>
            <w:bookmarkEnd w:id="65"/>
            <w:r>
              <w:rPr>
                <w:rFonts w:ascii="Times New Roman;Times;Serif" w:hAnsi="Times New Roman;Times;Serif"/>
                <w:b w:val="false"/>
                <w:i w:val="false"/>
                <w:caps w:val="false"/>
                <w:smallCaps w:val="false"/>
                <w:sz w:val="20"/>
              </w:rPr>
              <w:t>7167)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8045" w:type="dxa"/>
            <w:tcBorders/>
            <w:shd w:fill="FFFFFF" w:val="clear"/>
            <w:vAlign w:val="center"/>
          </w:tcPr>
          <w:p>
            <w:pPr>
              <w:pStyle w:val="TableContents"/>
              <w:bidi w:val="0"/>
              <w:spacing w:before="0" w:after="283"/>
              <w:jc w:val="left"/>
              <w:rPr/>
            </w:pPr>
            <w:hyperlink w:anchor="sp_002">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8045" w:type="dxa"/>
            <w:tcBorders/>
            <w:shd w:fill="CCEEFF" w:val="clear"/>
            <w:vAlign w:val="center"/>
          </w:tcPr>
          <w:p>
            <w:pPr>
              <w:pStyle w:val="TableContents"/>
              <w:bidi w:val="0"/>
              <w:spacing w:before="0" w:after="283"/>
              <w:jc w:val="left"/>
              <w:rPr/>
            </w:pPr>
            <w:hyperlink w:anchor="sp_003">
              <w:r>
                <w:rPr>
                  <w:rStyle w:val="InternetLink"/>
                  <w:rFonts w:ascii="Times New Roman;Times;Serif" w:hAnsi="Times New Roman;Times;Serif"/>
                  <w:b w:val="false"/>
                  <w:i w:val="false"/>
                  <w:caps w:val="false"/>
                  <w:smallCaps w:val="false"/>
                  <w:sz w:val="20"/>
                </w:rPr>
                <w:t>Consolidated Statements of Operations (Loss) for the years ended December 31,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8045" w:type="dxa"/>
            <w:tcBorders/>
            <w:shd w:fill="FFFFFF" w:val="clear"/>
            <w:vAlign w:val="center"/>
          </w:tcPr>
          <w:p>
            <w:pPr>
              <w:pStyle w:val="TableContents"/>
              <w:bidi w:val="0"/>
              <w:spacing w:before="0" w:after="283"/>
              <w:jc w:val="left"/>
              <w:rPr/>
            </w:pPr>
            <w:hyperlink w:anchor="sp_004">
              <w:r>
                <w:rPr>
                  <w:rStyle w:val="InternetLink"/>
                  <w:rFonts w:ascii="Times New Roman;Times;Serif" w:hAnsi="Times New Roman;Times;Serif"/>
                  <w:b w:val="false"/>
                  <w:i w:val="false"/>
                  <w:caps w:val="false"/>
                  <w:smallCaps w:val="false"/>
                  <w:sz w:val="20"/>
                </w:rPr>
                <w:t>Consolidated Statements of Comprehensive Loss for the years ended December 31, 2025 and 2024</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8045" w:type="dxa"/>
            <w:tcBorders/>
            <w:shd w:fill="CCEEFF" w:val="clear"/>
            <w:vAlign w:val="center"/>
          </w:tcPr>
          <w:p>
            <w:pPr>
              <w:pStyle w:val="TableContents"/>
              <w:bidi w:val="0"/>
              <w:spacing w:before="0" w:after="283"/>
              <w:jc w:val="left"/>
              <w:rPr/>
            </w:pPr>
            <w:hyperlink w:anchor="sp_005">
              <w:r>
                <w:rPr>
                  <w:rStyle w:val="InternetLink"/>
                  <w:rFonts w:ascii="Times New Roman;Times;Serif" w:hAnsi="Times New Roman;Times;Serif"/>
                  <w:b w:val="false"/>
                  <w:i w:val="false"/>
                  <w:caps w:val="false"/>
                  <w:smallCaps w:val="false"/>
                  <w:sz w:val="20"/>
                </w:rPr>
                <w:t>Consolidated Statements of Stockholders’ Equity for the years ended December 31, 2025 and 2024</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8045" w:type="dxa"/>
            <w:tcBorders/>
            <w:shd w:fill="FFFFFF" w:val="clear"/>
            <w:vAlign w:val="center"/>
          </w:tcPr>
          <w:p>
            <w:pPr>
              <w:pStyle w:val="TableContents"/>
              <w:bidi w:val="0"/>
              <w:spacing w:before="0" w:after="283"/>
              <w:jc w:val="left"/>
              <w:rPr/>
            </w:pPr>
            <w:hyperlink w:anchor="sp_006">
              <w:r>
                <w:rPr>
                  <w:rStyle w:val="InternetLink"/>
                  <w:rFonts w:ascii="Times New Roman;Times;Serif" w:hAnsi="Times New Roman;Times;Serif"/>
                  <w:b w:val="false"/>
                  <w:i w:val="false"/>
                  <w:caps w:val="false"/>
                  <w:smallCaps w:val="false"/>
                  <w:sz w:val="20"/>
                </w:rPr>
                <w:t>Consolidated Statements of Cash Flows for the years ended December 31, 2025 and 2024</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8045" w:type="dxa"/>
            <w:tcBorders/>
            <w:shd w:fill="CCEEFF" w:val="clear"/>
            <w:vAlign w:val="center"/>
          </w:tcPr>
          <w:p>
            <w:pPr>
              <w:pStyle w:val="TableContents"/>
              <w:bidi w:val="0"/>
              <w:spacing w:before="0" w:after="283"/>
              <w:jc w:val="left"/>
              <w:rPr/>
            </w:pPr>
            <w:hyperlink w:anchor="sp_007">
              <w:r>
                <w:rPr>
                  <w:rStyle w:val="InternetLink"/>
                  <w:rFonts w:ascii="Times New Roman;Times;Serif" w:hAnsi="Times New Roman;Times;Serif"/>
                  <w:b w:val="false"/>
                  <w:i w:val="false"/>
                  <w:caps w:val="false"/>
                  <w:smallCaps w:val="false"/>
                  <w:sz w:val="20"/>
                </w:rPr>
                <w:t>Notes to Consolidated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6" w:name="sp_001"/>
      <w:bookmarkEnd w:id="66"/>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the Stockholders of Bio Green Med Solution, Inc. (Formerly known as Cyclacel Pharmaceuticals,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Opinion on the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Bio Green Med Solution, Inc. (Formerly known as Cyclacel Pharmaceuticals, Inc.) and its subsidiary (collectively, the “Company”) as of December 31, 2025 and 2024, and the related consolidated statements of operations (loss) and other comprehensive loss, stockholders’ equity and cash flows for each of the years ended December 31, 2025 and 2024,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years ended December 31, 2025 and 2024,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financial statements, the Company does not currently have sufficient funds to extend operations and has a limited cash balance as of December 31, 2025 and 2024. This raises substantial doubt about the Company’s ability to continue as a going concern. Management’s plans in regard to these matters are also described in Note 1. The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for Opinion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United States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tbl>
      <w:tblPr>
        <w:tblW w:w="1940" w:type="dxa"/>
        <w:jc w:val="left"/>
        <w:tblInd w:w="0" w:type="dxa"/>
        <w:tblLayout w:type="fixed"/>
        <w:tblCellMar>
          <w:top w:w="0" w:type="dxa"/>
          <w:left w:w="0" w:type="dxa"/>
          <w:bottom w:w="0" w:type="dxa"/>
          <w:right w:w="0" w:type="dxa"/>
        </w:tblCellMar>
      </w:tblPr>
      <w:tblGrid>
        <w:gridCol w:w="1865"/>
        <w:gridCol w:w="75"/>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bookmarkStart w:id="67" w:name="xdx_901_edei--AuditorName_c20250101__202"/>
            <w:bookmarkEnd w:id="67"/>
            <w:r>
              <w:rPr>
                <w:rFonts w:ascii="Times New Roman;Times;Serif" w:hAnsi="Times New Roman;Times;Serif"/>
                <w:b w:val="false"/>
                <w:i w:val="false"/>
                <w:caps w:val="false"/>
                <w:smallCaps w:val="false"/>
                <w:sz w:val="20"/>
              </w:rPr>
              <w:t>SFAI Malaysia PLT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8" w:name="xdx_904_edei--AuditorLocation_c20250101_"/>
      <w:bookmarkEnd w:id="68"/>
      <w:r>
        <w:rPr>
          <w:rFonts w:ascii="Times New Roman;Times;Serif" w:hAnsi="Times New Roman;Times;Serif"/>
          <w:b w:val="false"/>
          <w:i w:val="false"/>
          <w:caps w:val="false"/>
          <w:smallCaps w:val="false"/>
          <w:sz w:val="20"/>
        </w:rPr>
        <w:t>Malaysia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Number 7167</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3600" w:right="0" w:hanging="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9" w:name="sp_002"/>
      <w:bookmarkEnd w:id="69"/>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0" w:name="xdx_308_111_pn3n3_zpDtKIMBxB61"/>
      <w:bookmarkStart w:id="71" w:name="xdx_308_111_pn3n3_zpDtKIMBxB61"/>
      <w:bookmarkEnd w:id="71"/>
    </w:p>
    <w:tbl>
      <w:tblPr>
        <w:tblW w:w="10205" w:type="dxa"/>
        <w:jc w:val="left"/>
        <w:tblInd w:w="0" w:type="dxa"/>
        <w:tblLayout w:type="fixed"/>
        <w:tblCellMar>
          <w:top w:w="0" w:type="dxa"/>
          <w:left w:w="0" w:type="dxa"/>
          <w:bottom w:w="0" w:type="dxa"/>
          <w:right w:w="0" w:type="dxa"/>
        </w:tblCellMar>
      </w:tblPr>
      <w:tblGrid>
        <w:gridCol w:w="7647"/>
        <w:gridCol w:w="60"/>
        <w:gridCol w:w="153"/>
        <w:gridCol w:w="962"/>
        <w:gridCol w:w="95"/>
        <w:gridCol w:w="60"/>
        <w:gridCol w:w="153"/>
        <w:gridCol w:w="962"/>
        <w:gridCol w:w="113"/>
      </w:tblGrid>
      <w:tr>
        <w:trPr/>
        <w:tc>
          <w:tcPr>
            <w:tcW w:w="76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2" w:name="xdx_49B_20251231_zPUupAlAR5g6"/>
            <w:bookmarkEnd w:id="72"/>
          </w:p>
        </w:tc>
        <w:tc>
          <w:tcPr>
            <w:tcW w:w="1115"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3" w:name="xdx_492_20241231_zUANp2gjkxgj"/>
            <w:bookmarkEnd w:id="73"/>
          </w:p>
        </w:tc>
        <w:tc>
          <w:tcPr>
            <w:tcW w:w="1115" w:type="dxa"/>
            <w:gridSpan w:val="2"/>
            <w:tcBorders/>
            <w:vAlign w:val="center"/>
          </w:tcPr>
          <w:p>
            <w:pPr>
              <w:pStyle w:val="TableContents"/>
              <w:bidi w:val="0"/>
              <w:spacing w:before="0" w:after="283"/>
              <w:jc w:val="center"/>
              <w:rPr>
                <w:b/>
              </w:rPr>
            </w:pPr>
            <w:r>
              <w:rPr>
                <w:b/>
              </w:rPr>
              <w:t>December 31,</w:t>
            </w:r>
          </w:p>
        </w:tc>
        <w:tc>
          <w:tcPr>
            <w:tcW w:w="113" w:type="dxa"/>
            <w:tcBorders/>
            <w:vAlign w:val="center"/>
          </w:tcPr>
          <w:p>
            <w:pPr>
              <w:pStyle w:val="TableContents"/>
              <w:bidi w:val="0"/>
              <w:spacing w:before="0" w:after="283"/>
              <w:jc w:val="left"/>
              <w:rPr/>
            </w:pPr>
            <w:r>
              <w:rPr/>
              <w:t> </w:t>
            </w:r>
          </w:p>
        </w:tc>
      </w:tr>
      <w:tr>
        <w:trPr/>
        <w:tc>
          <w:tcPr>
            <w:tcW w:w="76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bookmarkStart w:id="74" w:name="xdx_400_eus-gaap--AssetsAbstract_iB_z28i"/>
            <w:bookmarkEnd w:id="74"/>
          </w:p>
        </w:tc>
      </w:tr>
      <w:tr>
        <w:trPr/>
        <w:tc>
          <w:tcPr>
            <w:tcW w:w="7647"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75" w:name="xdx_409_eus-gaap--AssetsCurrentAbstract_"/>
            <w:bookmarkEnd w:id="75"/>
          </w:p>
        </w:tc>
      </w:tr>
      <w:tr>
        <w:trPr/>
        <w:tc>
          <w:tcPr>
            <w:tcW w:w="7647"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76" w:name="xdx_40F_eus-gaap--CashAndCashEquivalents"/>
            <w:bookmarkEnd w:id="76"/>
          </w:p>
        </w:tc>
      </w:tr>
      <w:tr>
        <w:trPr/>
        <w:tc>
          <w:tcPr>
            <w:tcW w:w="7647"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3,505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3,137</w:t>
            </w:r>
          </w:p>
        </w:tc>
        <w:tc>
          <w:tcPr>
            <w:tcW w:w="113" w:type="dxa"/>
            <w:tcBorders/>
            <w:shd w:fill="CCEEFF" w:val="clear"/>
            <w:vAlign w:val="center"/>
          </w:tcPr>
          <w:p>
            <w:pPr>
              <w:pStyle w:val="TableContents"/>
              <w:bidi w:val="0"/>
              <w:spacing w:before="0" w:after="283"/>
              <w:jc w:val="left"/>
              <w:rPr/>
            </w:pPr>
            <w:r>
              <w:rPr/>
              <w:t> </w:t>
            </w:r>
            <w:bookmarkStart w:id="77" w:name="xdx_40E_eus-gaap--AccountsReceivableNetC"/>
            <w:bookmarkEnd w:id="77"/>
          </w:p>
        </w:tc>
      </w:tr>
      <w:tr>
        <w:trPr/>
        <w:tc>
          <w:tcPr>
            <w:tcW w:w="7647"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78" w:name="xdx_40A_eus-gaap--InventoryNet_i02I_maAC"/>
            <w:bookmarkEnd w:id="78"/>
          </w:p>
        </w:tc>
      </w:tr>
      <w:tr>
        <w:trPr/>
        <w:tc>
          <w:tcPr>
            <w:tcW w:w="7647"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79" w:name="xdx_40B_eus-gaap--PrepaidExpenseAndOther"/>
            <w:bookmarkEnd w:id="79"/>
          </w:p>
        </w:tc>
      </w:tr>
      <w:tr>
        <w:trPr/>
        <w:tc>
          <w:tcPr>
            <w:tcW w:w="7647"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537</w:t>
            </w:r>
          </w:p>
        </w:tc>
        <w:tc>
          <w:tcPr>
            <w:tcW w:w="113" w:type="dxa"/>
            <w:tcBorders/>
            <w:shd w:fill="FFFFFF" w:val="clear"/>
            <w:vAlign w:val="center"/>
          </w:tcPr>
          <w:p>
            <w:pPr>
              <w:pStyle w:val="TableContents"/>
              <w:bidi w:val="0"/>
              <w:spacing w:before="0" w:after="283"/>
              <w:jc w:val="left"/>
              <w:rPr/>
            </w:pPr>
            <w:r>
              <w:rPr/>
              <w:t> </w:t>
            </w:r>
            <w:bookmarkStart w:id="80" w:name="xdx_402_eus-gaap--AssetsCurrent_i02TI_mt"/>
            <w:bookmarkEnd w:id="80"/>
          </w:p>
        </w:tc>
      </w:tr>
      <w:tr>
        <w:trPr/>
        <w:tc>
          <w:tcPr>
            <w:tcW w:w="7647"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6,256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3,674</w:t>
            </w:r>
          </w:p>
        </w:tc>
        <w:tc>
          <w:tcPr>
            <w:tcW w:w="113" w:type="dxa"/>
            <w:tcBorders/>
            <w:shd w:fill="CCEEFF" w:val="clear"/>
            <w:vAlign w:val="center"/>
          </w:tcPr>
          <w:p>
            <w:pPr>
              <w:pStyle w:val="TableContents"/>
              <w:bidi w:val="0"/>
              <w:spacing w:before="0" w:after="283"/>
              <w:jc w:val="left"/>
              <w:rPr/>
            </w:pPr>
            <w:r>
              <w:rPr/>
              <w:t> </w:t>
            </w:r>
            <w:bookmarkStart w:id="81" w:name="xdx_406_eus-gaap--PropertyPlantAndEquipm"/>
            <w:bookmarkEnd w:id="81"/>
          </w:p>
        </w:tc>
      </w:tr>
      <w:tr>
        <w:trPr/>
        <w:tc>
          <w:tcPr>
            <w:tcW w:w="7647"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3</w:t>
            </w:r>
          </w:p>
        </w:tc>
        <w:tc>
          <w:tcPr>
            <w:tcW w:w="113" w:type="dxa"/>
            <w:tcBorders/>
            <w:shd w:fill="FFFFFF" w:val="clear"/>
            <w:vAlign w:val="center"/>
          </w:tcPr>
          <w:p>
            <w:pPr>
              <w:pStyle w:val="TableContents"/>
              <w:bidi w:val="0"/>
              <w:spacing w:before="0" w:after="283"/>
              <w:jc w:val="left"/>
              <w:rPr/>
            </w:pPr>
            <w:r>
              <w:rPr/>
              <w:t> </w:t>
            </w:r>
            <w:bookmarkStart w:id="82" w:name="xdx_405_eus-gaap--OperatingLeaseRightOfU"/>
            <w:bookmarkEnd w:id="82"/>
          </w:p>
        </w:tc>
      </w:tr>
      <w:tr>
        <w:trPr/>
        <w:tc>
          <w:tcPr>
            <w:tcW w:w="7647" w:type="dxa"/>
            <w:tcBorders/>
            <w:shd w:fill="CCEEFF" w:val="clear"/>
            <w:vAlign w:val="center"/>
          </w:tcPr>
          <w:p>
            <w:pPr>
              <w:pStyle w:val="TableContents"/>
              <w:bidi w:val="0"/>
              <w:spacing w:before="0" w:after="283"/>
              <w:jc w:val="left"/>
              <w:rPr/>
            </w:pPr>
            <w:r>
              <w:rPr/>
              <w:t>Right-of-use lease asset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5</w:t>
            </w:r>
          </w:p>
        </w:tc>
        <w:tc>
          <w:tcPr>
            <w:tcW w:w="113" w:type="dxa"/>
            <w:tcBorders/>
            <w:shd w:fill="CCEEFF" w:val="clear"/>
            <w:vAlign w:val="center"/>
          </w:tcPr>
          <w:p>
            <w:pPr>
              <w:pStyle w:val="TableContents"/>
              <w:bidi w:val="0"/>
              <w:spacing w:before="0" w:after="283"/>
              <w:jc w:val="left"/>
              <w:rPr/>
            </w:pPr>
            <w:r>
              <w:rPr/>
              <w:t> </w:t>
            </w:r>
            <w:bookmarkStart w:id="83" w:name="xdx_407_eus-gaap--Goodwill_i01I_maAzPqD_"/>
            <w:bookmarkEnd w:id="83"/>
          </w:p>
        </w:tc>
      </w:tr>
      <w:tr>
        <w:trPr/>
        <w:tc>
          <w:tcPr>
            <w:tcW w:w="7647"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1,570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84" w:name="xdx_407_ecustom--AssetNoncurrent_i01I_ma"/>
            <w:bookmarkEnd w:id="84"/>
          </w:p>
        </w:tc>
      </w:tr>
      <w:tr>
        <w:trPr/>
        <w:tc>
          <w:tcPr>
            <w:tcW w:w="7647" w:type="dxa"/>
            <w:tcBorders/>
            <w:shd w:fill="CCEEFF" w:val="clear"/>
            <w:vAlign w:val="center"/>
          </w:tcPr>
          <w:p>
            <w:pPr>
              <w:pStyle w:val="TableContents"/>
              <w:bidi w:val="0"/>
              <w:spacing w:before="0" w:after="283"/>
              <w:jc w:val="left"/>
              <w:rPr/>
            </w:pPr>
            <w:r>
              <w:rPr/>
              <w:t>Non-current assets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412</w:t>
            </w:r>
          </w:p>
        </w:tc>
        <w:tc>
          <w:tcPr>
            <w:tcW w:w="113" w:type="dxa"/>
            <w:tcBorders/>
            <w:shd w:fill="CCEEFF" w:val="clear"/>
            <w:vAlign w:val="center"/>
          </w:tcPr>
          <w:p>
            <w:pPr>
              <w:pStyle w:val="TableContents"/>
              <w:bidi w:val="0"/>
              <w:spacing w:before="0" w:after="283"/>
              <w:jc w:val="left"/>
              <w:rPr/>
            </w:pPr>
            <w:r>
              <w:rPr/>
              <w:t> </w:t>
            </w:r>
            <w:bookmarkStart w:id="85" w:name="xdx_40F_eus-gaap--Assets_i01TI_mtAzuLf_z"/>
            <w:bookmarkEnd w:id="85"/>
          </w:p>
        </w:tc>
      </w:tr>
      <w:tr>
        <w:trPr/>
        <w:tc>
          <w:tcPr>
            <w:tcW w:w="7647"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jc w:val="right"/>
              <w:rPr/>
            </w:pPr>
            <w:r>
              <w:rPr/>
              <w:t>8,185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jc w:val="right"/>
              <w:rPr/>
            </w:pPr>
            <w:r>
              <w:rPr/>
              <w:t>4,094</w:t>
            </w:r>
          </w:p>
        </w:tc>
        <w:tc>
          <w:tcPr>
            <w:tcW w:w="113" w:type="dxa"/>
            <w:tcBorders/>
            <w:shd w:fill="FFFFFF" w:val="clear"/>
            <w:vAlign w:val="center"/>
          </w:tcPr>
          <w:p>
            <w:pPr>
              <w:pStyle w:val="TableContents"/>
              <w:bidi w:val="0"/>
              <w:spacing w:before="0" w:after="283"/>
              <w:jc w:val="left"/>
              <w:rPr/>
            </w:pPr>
            <w:r>
              <w:rPr/>
              <w:t> </w:t>
            </w:r>
            <w:bookmarkStart w:id="86" w:name="xdx_40C_eus-gaap--LiabilitiesAndStockhol"/>
            <w:bookmarkEnd w:id="86"/>
          </w:p>
        </w:tc>
      </w:tr>
      <w:tr>
        <w:trPr/>
        <w:tc>
          <w:tcPr>
            <w:tcW w:w="7647" w:type="dxa"/>
            <w:tcBorders/>
            <w:shd w:fill="CCEEFF" w:val="clear"/>
            <w:vAlign w:val="center"/>
          </w:tcPr>
          <w:p>
            <w:pPr>
              <w:pStyle w:val="TableContents"/>
              <w:bidi w:val="0"/>
              <w:spacing w:before="0" w:after="283"/>
              <w:jc w:val="left"/>
              <w:rPr>
                <w:b/>
              </w:rPr>
            </w:pPr>
            <w:r>
              <w:rPr>
                <w:b/>
              </w:rPr>
              <w:t>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87" w:name="xdx_40F_eus-gaap--LiabilitiesAbstract_i0"/>
            <w:bookmarkEnd w:id="87"/>
          </w:p>
        </w:tc>
      </w:tr>
      <w:tr>
        <w:trPr/>
        <w:tc>
          <w:tcPr>
            <w:tcW w:w="7647"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88" w:name="xdx_409_eus-gaap--AccountsPayableCurrent"/>
            <w:bookmarkEnd w:id="88"/>
          </w:p>
        </w:tc>
      </w:tr>
      <w:tr>
        <w:trPr/>
        <w:tc>
          <w:tcPr>
            <w:tcW w:w="7647"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962" w:type="dxa"/>
            <w:tcBorders/>
            <w:shd w:fill="CCEEFF" w:val="clear"/>
            <w:vAlign w:val="center"/>
          </w:tcPr>
          <w:p>
            <w:pPr>
              <w:pStyle w:val="TableContents"/>
              <w:bidi w:val="0"/>
              <w:spacing w:before="0" w:after="283"/>
              <w:jc w:val="right"/>
              <w:rPr/>
            </w:pPr>
            <w:r>
              <w:rPr/>
              <w:t>4,599</w:t>
            </w:r>
          </w:p>
        </w:tc>
        <w:tc>
          <w:tcPr>
            <w:tcW w:w="113" w:type="dxa"/>
            <w:tcBorders/>
            <w:shd w:fill="CCEEFF" w:val="clear"/>
            <w:vAlign w:val="center"/>
          </w:tcPr>
          <w:p>
            <w:pPr>
              <w:pStyle w:val="TableContents"/>
              <w:bidi w:val="0"/>
              <w:spacing w:before="0" w:after="283"/>
              <w:jc w:val="left"/>
              <w:rPr/>
            </w:pPr>
            <w:r>
              <w:rPr/>
              <w:t> </w:t>
            </w:r>
            <w:bookmarkStart w:id="89" w:name="xdx_40D_eus-gaap--AccruedLiabilitiesCurr"/>
            <w:bookmarkEnd w:id="89"/>
          </w:p>
        </w:tc>
      </w:tr>
      <w:tr>
        <w:trPr/>
        <w:tc>
          <w:tcPr>
            <w:tcW w:w="7647" w:type="dxa"/>
            <w:tcBorders/>
            <w:shd w:fill="FFFFFF" w:val="clear"/>
            <w:vAlign w:val="center"/>
          </w:tcPr>
          <w:p>
            <w:pPr>
              <w:pStyle w:val="TableContents"/>
              <w:bidi w:val="0"/>
              <w:spacing w:before="0" w:after="283"/>
              <w:jc w:val="left"/>
              <w:rPr/>
            </w:pPr>
            <w:r>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715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1,669</w:t>
            </w:r>
          </w:p>
        </w:tc>
        <w:tc>
          <w:tcPr>
            <w:tcW w:w="113" w:type="dxa"/>
            <w:tcBorders/>
            <w:shd w:fill="FFFFFF" w:val="clear"/>
            <w:vAlign w:val="center"/>
          </w:tcPr>
          <w:p>
            <w:pPr>
              <w:pStyle w:val="TableContents"/>
              <w:bidi w:val="0"/>
              <w:spacing w:before="0" w:after="283"/>
              <w:jc w:val="left"/>
              <w:rPr/>
            </w:pPr>
            <w:r>
              <w:rPr/>
              <w:t> </w:t>
            </w:r>
            <w:bookmarkStart w:id="90" w:name="xdx_405_eus-gaap--LiabilitiesCurrent_i02"/>
            <w:bookmarkEnd w:id="90"/>
          </w:p>
        </w:tc>
      </w:tr>
      <w:tr>
        <w:trPr/>
        <w:tc>
          <w:tcPr>
            <w:tcW w:w="7647"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1,332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6,268</w:t>
            </w:r>
          </w:p>
        </w:tc>
        <w:tc>
          <w:tcPr>
            <w:tcW w:w="113" w:type="dxa"/>
            <w:tcBorders/>
            <w:shd w:fill="CCEEFF" w:val="clear"/>
            <w:vAlign w:val="center"/>
          </w:tcPr>
          <w:p>
            <w:pPr>
              <w:pStyle w:val="TableContents"/>
              <w:bidi w:val="0"/>
              <w:spacing w:before="0" w:after="283"/>
              <w:jc w:val="left"/>
              <w:rPr/>
            </w:pPr>
            <w:r>
              <w:rPr/>
              <w:t> </w:t>
            </w:r>
            <w:bookmarkStart w:id="91" w:name="xdx_408_eus-gaap--OperatingLeaseLiabilit"/>
            <w:bookmarkEnd w:id="91"/>
          </w:p>
        </w:tc>
      </w:tr>
      <w:tr>
        <w:trPr/>
        <w:tc>
          <w:tcPr>
            <w:tcW w:w="7647"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92" w:name="xdx_40D_eus-gaap--OtherLiabilities_i01I_"/>
            <w:bookmarkEnd w:id="92"/>
          </w:p>
        </w:tc>
      </w:tr>
      <w:tr>
        <w:trPr/>
        <w:tc>
          <w:tcPr>
            <w:tcW w:w="7647"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93" w:name="xdx_40D_eus-gaap--Liabilities_i01TI_mtLz"/>
            <w:bookmarkEnd w:id="93"/>
          </w:p>
        </w:tc>
      </w:tr>
      <w:tr>
        <w:trPr/>
        <w:tc>
          <w:tcPr>
            <w:tcW w:w="7647"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1,343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6,268</w:t>
            </w:r>
          </w:p>
        </w:tc>
        <w:tc>
          <w:tcPr>
            <w:tcW w:w="113" w:type="dxa"/>
            <w:tcBorders/>
            <w:shd w:fill="FFFFFF" w:val="clear"/>
            <w:vAlign w:val="center"/>
          </w:tcPr>
          <w:p>
            <w:pPr>
              <w:pStyle w:val="TableContents"/>
              <w:bidi w:val="0"/>
              <w:spacing w:before="0" w:after="283"/>
              <w:jc w:val="left"/>
              <w:rPr/>
            </w:pPr>
            <w:r>
              <w:rPr/>
              <w:t> </w:t>
            </w:r>
          </w:p>
        </w:tc>
      </w:tr>
      <w:tr>
        <w:trPr/>
        <w:tc>
          <w:tcPr>
            <w:tcW w:w="7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94" w:name="xdx_401_eus-gaap--StockholdersEquityAbst"/>
            <w:bookmarkEnd w:id="94"/>
          </w:p>
        </w:tc>
      </w:tr>
      <w:tr>
        <w:trPr/>
        <w:tc>
          <w:tcPr>
            <w:tcW w:w="7647" w:type="dxa"/>
            <w:tcBorders/>
            <w:shd w:fill="FFFFFF" w:val="clear"/>
            <w:vAlign w:val="center"/>
          </w:tcPr>
          <w:p>
            <w:pPr>
              <w:pStyle w:val="TableContents"/>
              <w:bidi w:val="0"/>
              <w:spacing w:before="0" w:after="283"/>
              <w:jc w:val="left"/>
              <w:rPr/>
            </w:pPr>
            <w:r>
              <w:rPr/>
              <w:t>Stockholders’ equity (deficit):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95" w:name="xdx_40F_eus-gaap--PreferredStockValue_i0"/>
            <w:bookmarkEnd w:id="95"/>
          </w:p>
        </w:tc>
      </w:tr>
      <w:tr>
        <w:trPr/>
        <w:tc>
          <w:tcPr>
            <w:tcW w:w="7647" w:type="dxa"/>
            <w:tcBorders/>
            <w:shd w:fill="CCEEFF" w:val="clear"/>
            <w:vAlign w:val="center"/>
          </w:tcPr>
          <w:p>
            <w:pPr>
              <w:pStyle w:val="TableContents"/>
              <w:bidi w:val="0"/>
              <w:spacing w:before="0" w:after="283"/>
              <w:jc w:val="left"/>
              <w:rPr/>
            </w:pPr>
            <w:r>
              <w:rPr/>
              <w:t>Preferred stock, $</w:t>
            </w:r>
            <w:bookmarkStart w:id="96" w:name="xdx_90C_eus-gaap--PreferredStockParOrSta"/>
            <w:bookmarkStart w:id="97" w:name="xdx_904_eus-gaap--PreferredStockParOrSta"/>
            <w:bookmarkEnd w:id="96"/>
            <w:bookmarkEnd w:id="97"/>
            <w:r>
              <w:rPr/>
              <w:t xml:space="preserve">0.001 par value; </w:t>
            </w:r>
            <w:bookmarkStart w:id="98" w:name="xdx_908_eus-gaap--PreferredStockSharesAu"/>
            <w:bookmarkStart w:id="99" w:name="xdx_90C_eus-gaap--PreferredStockSharesAu"/>
            <w:bookmarkEnd w:id="98"/>
            <w:bookmarkEnd w:id="99"/>
            <w:r>
              <w:rPr/>
              <w:t xml:space="preserve">5,000,000 shares authorized at December 31, 2025 and December 31, 2024; </w:t>
            </w:r>
            <w:bookmarkStart w:id="100" w:name="xdx_907_eus-gaap--PreferredStockDividend"/>
            <w:bookmarkStart w:id="101" w:name="xdx_901_eus-gaap--PreferredStockDividend"/>
            <w:bookmarkEnd w:id="100"/>
            <w:bookmarkEnd w:id="101"/>
            <w:r>
              <w:rPr/>
              <w:t xml:space="preserve">6% Convertible Exchangeable preferred stock; </w:t>
            </w:r>
            <w:bookmarkStart w:id="102" w:name="xdx_90A_eus-gaap--PreferredStockSharesOu"/>
            <w:bookmarkStart w:id="103" w:name="xdx_903_eus-gaap--PreferredStockSharesIs"/>
            <w:bookmarkStart w:id="104" w:name="xdx_90D_eus-gaap--PreferredStockSharesOu"/>
            <w:bookmarkStart w:id="105" w:name="xdx_90F_eus-gaap--PreferredStockSharesIs"/>
            <w:bookmarkEnd w:id="102"/>
            <w:bookmarkEnd w:id="103"/>
            <w:bookmarkEnd w:id="104"/>
            <w:bookmarkEnd w:id="105"/>
            <w:r>
              <w:rPr/>
              <w:t>135,273 shares issued and outstanding at December 31, 2025 and December 31, 2024. Aggregate preference in liquidation of  $</w:t>
            </w:r>
            <w:bookmarkStart w:id="106" w:name="xdx_905_eus-gaap--PreferredStockLiquidat"/>
            <w:bookmarkEnd w:id="106"/>
            <w:r>
              <w:rPr/>
              <w:t>1,717,967 as of December 31, 2025 and $</w:t>
            </w:r>
            <w:bookmarkStart w:id="107" w:name="xdx_901_eus-gaap--PreferredStockLiquidat"/>
            <w:bookmarkEnd w:id="107"/>
            <w:r>
              <w:rPr/>
              <w:t>4,006,512 as of December 31, 2024</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08" w:name="xdx_40B_eus-gaap--PreferredStockValue_i0"/>
            <w:bookmarkEnd w:id="108"/>
          </w:p>
        </w:tc>
      </w:tr>
      <w:tr>
        <w:trPr/>
        <w:tc>
          <w:tcPr>
            <w:tcW w:w="7647" w:type="dxa"/>
            <w:tcBorders/>
            <w:shd w:fill="FFFFFF" w:val="clear"/>
            <w:vAlign w:val="center"/>
          </w:tcPr>
          <w:p>
            <w:pPr>
              <w:pStyle w:val="TableContents"/>
              <w:bidi w:val="0"/>
              <w:spacing w:before="0" w:after="283"/>
              <w:jc w:val="left"/>
              <w:rPr/>
            </w:pPr>
            <w:r>
              <w:rPr/>
              <w:t>Series A convertible preferred stock, $</w:t>
            </w:r>
            <w:bookmarkStart w:id="109" w:name="xdx_907_eus-gaap--PreferredStockParOrSta"/>
            <w:bookmarkStart w:id="110" w:name="xdx_903_eus-gaap--PreferredStockParOrSta"/>
            <w:bookmarkEnd w:id="109"/>
            <w:bookmarkEnd w:id="110"/>
            <w:r>
              <w:rPr/>
              <w:t xml:space="preserve">0.001 par value; </w:t>
            </w:r>
            <w:bookmarkStart w:id="111" w:name="xdx_903_eus-gaap--PreferredStockSharesOu"/>
            <w:bookmarkStart w:id="112" w:name="xdx_903_eus-gaap--PreferredStockSharesIs"/>
            <w:bookmarkStart w:id="113" w:name="xdx_903_eus-gaap--PreferredStockSharesOu"/>
            <w:bookmarkStart w:id="114" w:name="xdx_909_eus-gaap--PreferredStockSharesIs"/>
            <w:bookmarkEnd w:id="111"/>
            <w:bookmarkEnd w:id="112"/>
            <w:bookmarkEnd w:id="113"/>
            <w:bookmarkEnd w:id="114"/>
            <w:r>
              <w:rPr/>
              <w:t>264 shares issued and outstanding at December 31, 2025 and December 31, 2024</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15" w:name="xdx_40A_eus-gaap--PreferredStockValue_i0"/>
            <w:bookmarkEnd w:id="115"/>
          </w:p>
        </w:tc>
      </w:tr>
      <w:tr>
        <w:trPr/>
        <w:tc>
          <w:tcPr>
            <w:tcW w:w="7647" w:type="dxa"/>
            <w:tcBorders/>
            <w:shd w:fill="CCEEFF" w:val="clear"/>
            <w:vAlign w:val="center"/>
          </w:tcPr>
          <w:p>
            <w:pPr>
              <w:pStyle w:val="TableContents"/>
              <w:bidi w:val="0"/>
              <w:spacing w:before="0" w:after="283"/>
              <w:jc w:val="left"/>
              <w:rPr/>
            </w:pPr>
            <w:r>
              <w:rPr/>
              <w:t>Series B convertible preferred stock, $</w:t>
            </w:r>
            <w:bookmarkStart w:id="116" w:name="xdx_906_eus-gaap--PreferredStockParOrSta"/>
            <w:bookmarkStart w:id="117" w:name="xdx_900_eus-gaap--PreferredStockParOrSta"/>
            <w:bookmarkEnd w:id="116"/>
            <w:bookmarkEnd w:id="117"/>
            <w:r>
              <w:rPr/>
              <w:t xml:space="preserve">0.001 par value; </w:t>
            </w:r>
            <w:bookmarkStart w:id="118" w:name="xdx_90A_eus-gaap--PreferredStockSharesOu"/>
            <w:bookmarkStart w:id="119" w:name="xdx_90F_eus-gaap--PreferredStockSharesIs"/>
            <w:bookmarkEnd w:id="118"/>
            <w:bookmarkEnd w:id="119"/>
            <w:r>
              <w:rPr/>
              <w:t xml:space="preserve">0 shares issued and outstanding at December 31, 2025 and </w:t>
            </w:r>
            <w:bookmarkStart w:id="120" w:name="xdx_90A_eus-gaap--PreferredStockSharesOu"/>
            <w:bookmarkStart w:id="121" w:name="xdx_904_eus-gaap--PreferredStockSharesIs"/>
            <w:bookmarkEnd w:id="120"/>
            <w:bookmarkEnd w:id="121"/>
            <w:r>
              <w:rPr/>
              <w:t>119,000 shares issued and outstanding at December 31, 2024</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22" w:name="xdx_407_eus-gaap--PreferredStockValue_i0"/>
            <w:bookmarkEnd w:id="122"/>
          </w:p>
        </w:tc>
      </w:tr>
      <w:tr>
        <w:trPr/>
        <w:tc>
          <w:tcPr>
            <w:tcW w:w="7647" w:type="dxa"/>
            <w:tcBorders/>
            <w:shd w:fill="CCEEFF" w:val="clear"/>
            <w:vAlign w:val="center"/>
          </w:tcPr>
          <w:p>
            <w:pPr>
              <w:pStyle w:val="TableContents"/>
              <w:bidi w:val="0"/>
              <w:spacing w:before="0" w:after="283"/>
              <w:jc w:val="left"/>
              <w:rPr/>
            </w:pPr>
            <w:r>
              <w:rPr/>
              <w:t>Preferred stock, value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23" w:name="xdx_408_eus-gaap--CommonStockValue_i01I_"/>
            <w:bookmarkEnd w:id="123"/>
          </w:p>
        </w:tc>
      </w:tr>
      <w:tr>
        <w:trPr/>
        <w:tc>
          <w:tcPr>
            <w:tcW w:w="7647" w:type="dxa"/>
            <w:tcBorders/>
            <w:shd w:fill="FFFFFF" w:val="clear"/>
            <w:vAlign w:val="center"/>
          </w:tcPr>
          <w:p>
            <w:pPr>
              <w:pStyle w:val="TableContents"/>
              <w:bidi w:val="0"/>
              <w:spacing w:before="0" w:after="283"/>
              <w:jc w:val="left"/>
              <w:rPr/>
            </w:pPr>
            <w:r>
              <w:rPr/>
              <w:t>Common stock, $</w:t>
            </w:r>
            <w:bookmarkStart w:id="124" w:name="xdx_907_eus-gaap--CommonStockParOrStated"/>
            <w:bookmarkStart w:id="125" w:name="xdx_90D_eus-gaap--CommonStockParOrStated"/>
            <w:bookmarkEnd w:id="124"/>
            <w:bookmarkEnd w:id="125"/>
            <w:r>
              <w:rPr/>
              <w:t xml:space="preserve">0.001 par value; </w:t>
            </w:r>
            <w:bookmarkStart w:id="126" w:name="xdx_906_eus-gaap--CommonStockSharesAutho"/>
            <w:bookmarkEnd w:id="126"/>
            <w:r>
              <w:rPr/>
              <w:t xml:space="preserve">600,000,000 shares authorized at December 31, 2025 and </w:t>
            </w:r>
            <w:bookmarkStart w:id="127" w:name="xdx_90E_eus-gaap--CommonStockSharesAutho"/>
            <w:bookmarkEnd w:id="127"/>
            <w:r>
              <w:rPr/>
              <w:t xml:space="preserve">100,000,000 shares authorized at December 31, 2024; </w:t>
            </w:r>
            <w:bookmarkStart w:id="128" w:name="xdx_904_eus-gaap--CommonStockSharesOutst"/>
            <w:bookmarkStart w:id="129" w:name="xdx_903_eus-gaap--CommonStockSharesIssue"/>
            <w:bookmarkEnd w:id="128"/>
            <w:bookmarkEnd w:id="129"/>
            <w:r>
              <w:rPr/>
              <w:t xml:space="preserve">5,400,320 shares issued and outstanding at December 31, 2025 and </w:t>
            </w:r>
            <w:bookmarkStart w:id="130" w:name="xdx_904_eus-gaap--CommonStockSharesOutst"/>
            <w:bookmarkStart w:id="131" w:name="xdx_902_eus-gaap--CommonStockSharesIssue"/>
            <w:bookmarkEnd w:id="130"/>
            <w:bookmarkEnd w:id="131"/>
            <w:r>
              <w:rPr/>
              <w:t>36,913 shares issued and outstanding at December 31, 2024</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32" w:name="xdx_40D_eus-gaap--AdditionalPaidInCapita"/>
            <w:bookmarkEnd w:id="132"/>
          </w:p>
        </w:tc>
      </w:tr>
      <w:tr>
        <w:trPr/>
        <w:tc>
          <w:tcPr>
            <w:tcW w:w="7647"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461,287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438,211</w:t>
            </w:r>
          </w:p>
        </w:tc>
        <w:tc>
          <w:tcPr>
            <w:tcW w:w="113" w:type="dxa"/>
            <w:tcBorders/>
            <w:shd w:fill="CCEEFF" w:val="clear"/>
            <w:vAlign w:val="center"/>
          </w:tcPr>
          <w:p>
            <w:pPr>
              <w:pStyle w:val="TableContents"/>
              <w:bidi w:val="0"/>
              <w:spacing w:before="0" w:after="283"/>
              <w:jc w:val="left"/>
              <w:rPr/>
            </w:pPr>
            <w:r>
              <w:rPr/>
              <w:t> </w:t>
            </w:r>
            <w:bookmarkStart w:id="133" w:name="xdx_40A_eus-gaap--AccumulatedOtherCompre"/>
            <w:bookmarkEnd w:id="133"/>
          </w:p>
        </w:tc>
      </w:tr>
      <w:tr>
        <w:trPr/>
        <w:tc>
          <w:tcPr>
            <w:tcW w:w="7647"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(891</w:t>
            </w:r>
          </w:p>
        </w:tc>
        <w:tc>
          <w:tcPr>
            <w:tcW w:w="113" w:type="dxa"/>
            <w:tcBorders/>
            <w:shd w:fill="FFFFFF" w:val="clear"/>
            <w:vAlign w:val="center"/>
          </w:tcPr>
          <w:p>
            <w:pPr>
              <w:pStyle w:val="TableContents"/>
              <w:bidi w:val="0"/>
              <w:spacing w:before="0" w:after="283"/>
              <w:jc w:val="left"/>
              <w:rPr/>
            </w:pPr>
            <w:r>
              <w:rPr/>
              <w:t>)</w:t>
            </w:r>
            <w:bookmarkStart w:id="134" w:name="xdx_40C_eus-gaap--RetainedEarningsAccumu"/>
            <w:bookmarkEnd w:id="134"/>
          </w:p>
        </w:tc>
      </w:tr>
      <w:tr>
        <w:trPr/>
        <w:tc>
          <w:tcPr>
            <w:tcW w:w="7647"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(454,411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pPr>
            <w:r>
              <w:rPr/>
              <w:t>(439,494</w:t>
            </w:r>
          </w:p>
        </w:tc>
        <w:tc>
          <w:tcPr>
            <w:tcW w:w="113" w:type="dxa"/>
            <w:tcBorders/>
            <w:shd w:fill="CCEEFF" w:val="clear"/>
            <w:vAlign w:val="center"/>
          </w:tcPr>
          <w:p>
            <w:pPr>
              <w:pStyle w:val="TableContents"/>
              <w:bidi w:val="0"/>
              <w:spacing w:before="0" w:after="283"/>
              <w:jc w:val="left"/>
              <w:rPr/>
            </w:pPr>
            <w:r>
              <w:rPr/>
              <w:t>)</w:t>
            </w:r>
            <w:bookmarkStart w:id="135" w:name="xdx_40A_eus-gaap--StockholdersEquity_i01"/>
            <w:bookmarkEnd w:id="135"/>
          </w:p>
        </w:tc>
      </w:tr>
      <w:tr>
        <w:trPr/>
        <w:tc>
          <w:tcPr>
            <w:tcW w:w="7647" w:type="dxa"/>
            <w:tcBorders/>
            <w:shd w:fill="FFFFFF" w:val="clear"/>
            <w:vAlign w:val="center"/>
          </w:tcPr>
          <w:p>
            <w:pPr>
              <w:pStyle w:val="TableContents"/>
              <w:bidi w:val="0"/>
              <w:spacing w:before="0" w:after="283"/>
              <w:jc w:val="left"/>
              <w:rPr/>
            </w:pPr>
            <w:r>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6,842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(2,174</w:t>
            </w:r>
          </w:p>
        </w:tc>
        <w:tc>
          <w:tcPr>
            <w:tcW w:w="113" w:type="dxa"/>
            <w:tcBorders/>
            <w:shd w:fill="FFFFFF" w:val="clear"/>
            <w:vAlign w:val="center"/>
          </w:tcPr>
          <w:p>
            <w:pPr>
              <w:pStyle w:val="TableContents"/>
              <w:bidi w:val="0"/>
              <w:spacing w:before="0" w:after="283"/>
              <w:jc w:val="left"/>
              <w:rPr/>
            </w:pPr>
            <w:r>
              <w:rPr/>
              <w:t>)</w:t>
            </w:r>
            <w:bookmarkStart w:id="136" w:name="xdx_407_eus-gaap--LiabilitiesAndStockhol"/>
            <w:bookmarkEnd w:id="136"/>
          </w:p>
        </w:tc>
      </w:tr>
      <w:tr>
        <w:trPr/>
        <w:tc>
          <w:tcPr>
            <w:tcW w:w="7647" w:type="dxa"/>
            <w:tcBorders/>
            <w:shd w:fill="CCEEFF" w:val="clear"/>
            <w:vAlign w:val="center"/>
          </w:tcPr>
          <w:p>
            <w:pPr>
              <w:pStyle w:val="TableContents"/>
              <w:bidi w:val="0"/>
              <w:spacing w:before="0" w:after="283"/>
              <w:jc w:val="left"/>
              <w:rPr/>
            </w:pPr>
            <w:r>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jc w:val="right"/>
              <w:rPr/>
            </w:pPr>
            <w:r>
              <w:rPr/>
              <w:t>8,185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jc w:val="right"/>
              <w:rPr/>
            </w:pPr>
            <w:r>
              <w:rPr/>
              <w:t>4,094</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7" w:name="sp_003"/>
      <w:bookmarkEnd w:id="137"/>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8" w:name="xdx_304_113_pn3n3_zsxOS0jKTYL1"/>
      <w:bookmarkStart w:id="139" w:name="xdx_304_113_pn3n3_zsxOS0jKTYL1"/>
      <w:bookmarkEnd w:id="139"/>
    </w:p>
    <w:tbl>
      <w:tblPr>
        <w:tblW w:w="8165" w:type="dxa"/>
        <w:jc w:val="left"/>
        <w:tblInd w:w="0" w:type="dxa"/>
        <w:tblLayout w:type="fixed"/>
        <w:tblCellMar>
          <w:top w:w="0" w:type="dxa"/>
          <w:left w:w="0" w:type="dxa"/>
          <w:bottom w:w="0" w:type="dxa"/>
          <w:right w:w="0" w:type="dxa"/>
        </w:tblCellMar>
      </w:tblPr>
      <w:tblGrid>
        <w:gridCol w:w="5825"/>
        <w:gridCol w:w="60"/>
        <w:gridCol w:w="140"/>
        <w:gridCol w:w="980"/>
        <w:gridCol w:w="95"/>
        <w:gridCol w:w="60"/>
        <w:gridCol w:w="140"/>
        <w:gridCol w:w="755"/>
        <w:gridCol w:w="110"/>
      </w:tblGrid>
      <w:tr>
        <w:trPr/>
        <w:tc>
          <w:tcPr>
            <w:tcW w:w="5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40" w:name="xdx_491_20250101__20251231_zzSynSwJBSoi"/>
            <w:bookmarkEnd w:id="140"/>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1" w:name="xdx_492_20240101__20241231_zrhw0dlL7Uq7"/>
            <w:bookmarkEnd w:id="141"/>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70"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142" w:name="xdx_40F_eus-gaap--RevenuesAbstract_i"/>
            <w:bookmarkEnd w:id="142"/>
          </w:p>
        </w:tc>
      </w:tr>
      <w:tr>
        <w:trPr/>
        <w:tc>
          <w:tcPr>
            <w:tcW w:w="5825"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3" w:name="xdx_40A_eus-gaap--RevenueFromContractWit"/>
            <w:bookmarkEnd w:id="143"/>
          </w:p>
        </w:tc>
      </w:tr>
      <w:tr>
        <w:trPr/>
        <w:tc>
          <w:tcPr>
            <w:tcW w:w="5825" w:type="dxa"/>
            <w:tcBorders/>
            <w:shd w:fill="FFFFFF" w:val="clear"/>
            <w:vAlign w:val="center"/>
          </w:tcPr>
          <w:p>
            <w:pPr>
              <w:pStyle w:val="TableContents"/>
              <w:bidi w:val="0"/>
              <w:spacing w:before="0" w:after="283"/>
              <w:jc w:val="left"/>
              <w:rPr/>
            </w:pPr>
            <w:r>
              <w:rPr/>
              <w:t>Product Revenue – Fire Safety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44" w:name="xdx_406_eus-gaap--RevenueFromContractWit"/>
            <w:bookmarkEnd w:id="144"/>
          </w:p>
        </w:tc>
      </w:tr>
      <w:tr>
        <w:trPr/>
        <w:tc>
          <w:tcPr>
            <w:tcW w:w="5825" w:type="dxa"/>
            <w:tcBorders/>
            <w:shd w:fill="CCEEFF" w:val="clear"/>
            <w:vAlign w:val="center"/>
          </w:tcPr>
          <w:p>
            <w:pPr>
              <w:pStyle w:val="TableContents"/>
              <w:bidi w:val="0"/>
              <w:spacing w:before="0" w:after="283"/>
              <w:jc w:val="left"/>
              <w:rPr/>
            </w:pPr>
            <w:r>
              <w:rPr/>
              <w:t>Clinical trial supply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43</w:t>
            </w:r>
          </w:p>
        </w:tc>
        <w:tc>
          <w:tcPr>
            <w:tcW w:w="110" w:type="dxa"/>
            <w:tcBorders/>
            <w:shd w:fill="CCEEFF" w:val="clear"/>
            <w:vAlign w:val="center"/>
          </w:tcPr>
          <w:p>
            <w:pPr>
              <w:pStyle w:val="TableContents"/>
              <w:bidi w:val="0"/>
              <w:spacing w:before="0" w:after="283"/>
              <w:jc w:val="left"/>
              <w:rPr/>
            </w:pPr>
            <w:r>
              <w:rPr/>
              <w:t> </w:t>
            </w:r>
            <w:bookmarkStart w:id="145" w:name="xdx_409_eus-gaap--RevenueFromContractWit"/>
            <w:bookmarkEnd w:id="145"/>
          </w:p>
        </w:tc>
      </w:tr>
      <w:tr>
        <w:trPr/>
        <w:tc>
          <w:tcPr>
            <w:tcW w:w="5825" w:type="dxa"/>
            <w:tcBorders/>
            <w:shd w:fill="FFFFFF" w:val="clear"/>
            <w:vAlign w:val="center"/>
          </w:tcPr>
          <w:p>
            <w:pPr>
              <w:pStyle w:val="TableContents"/>
              <w:bidi w:val="0"/>
              <w:spacing w:before="0" w:after="283"/>
              <w:jc w:val="left"/>
              <w:rPr>
                <w:b/>
              </w:rPr>
            </w:pPr>
            <w:r>
              <w:rPr>
                <w:b/>
              </w:rPr>
              <w:t>Revenues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6" w:name="xdx_40A_eus-gaap--OperatingExpensesAbstr"/>
            <w:bookmarkEnd w:id="146"/>
          </w:p>
        </w:tc>
      </w:tr>
      <w:tr>
        <w:trPr/>
        <w:tc>
          <w:tcPr>
            <w:tcW w:w="582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7" w:name="xdx_40E_ecustom--CostOfSales_i01_maOEz0J"/>
            <w:bookmarkEnd w:id="147"/>
          </w:p>
        </w:tc>
      </w:tr>
      <w:tr>
        <w:trPr/>
        <w:tc>
          <w:tcPr>
            <w:tcW w:w="5825"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48" w:name="xdx_40C_eus-gaap--ResearchAndDevelopment"/>
            <w:bookmarkEnd w:id="148"/>
          </w:p>
        </w:tc>
      </w:tr>
      <w:tr>
        <w:trPr/>
        <w:tc>
          <w:tcPr>
            <w:tcW w:w="582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6,655</w:t>
            </w:r>
          </w:p>
        </w:tc>
        <w:tc>
          <w:tcPr>
            <w:tcW w:w="110" w:type="dxa"/>
            <w:tcBorders/>
            <w:shd w:fill="FFFFFF" w:val="clear"/>
            <w:vAlign w:val="center"/>
          </w:tcPr>
          <w:p>
            <w:pPr>
              <w:pStyle w:val="TableContents"/>
              <w:bidi w:val="0"/>
              <w:spacing w:before="0" w:after="283"/>
              <w:jc w:val="left"/>
              <w:rPr/>
            </w:pPr>
            <w:r>
              <w:rPr/>
              <w:t> </w:t>
            </w:r>
            <w:bookmarkStart w:id="149" w:name="xdx_401_eus-gaap--GeneralAndAdministrati"/>
            <w:bookmarkEnd w:id="149"/>
          </w:p>
        </w:tc>
      </w:tr>
      <w:tr>
        <w:trPr/>
        <w:tc>
          <w:tcPr>
            <w:tcW w:w="582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7,717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5,392</w:t>
            </w:r>
          </w:p>
        </w:tc>
        <w:tc>
          <w:tcPr>
            <w:tcW w:w="110" w:type="dxa"/>
            <w:tcBorders/>
            <w:shd w:fill="CCEEFF" w:val="clear"/>
            <w:vAlign w:val="center"/>
          </w:tcPr>
          <w:p>
            <w:pPr>
              <w:pStyle w:val="TableContents"/>
              <w:bidi w:val="0"/>
              <w:spacing w:before="0" w:after="283"/>
              <w:jc w:val="left"/>
              <w:rPr/>
            </w:pPr>
            <w:r>
              <w:rPr/>
              <w:t> </w:t>
            </w:r>
            <w:bookmarkStart w:id="150" w:name="xdx_40C_eus-gaap--OperatingExpenses_i01T"/>
            <w:bookmarkEnd w:id="150"/>
          </w:p>
        </w:tc>
      </w:tr>
      <w:tr>
        <w:trPr/>
        <w:tc>
          <w:tcPr>
            <w:tcW w:w="5825"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12,047</w:t>
            </w:r>
          </w:p>
        </w:tc>
        <w:tc>
          <w:tcPr>
            <w:tcW w:w="110" w:type="dxa"/>
            <w:tcBorders/>
            <w:shd w:fill="FFFFFF" w:val="clear"/>
            <w:vAlign w:val="center"/>
          </w:tcPr>
          <w:p>
            <w:pPr>
              <w:pStyle w:val="TableContents"/>
              <w:bidi w:val="0"/>
              <w:spacing w:before="0" w:after="283"/>
              <w:jc w:val="left"/>
              <w:rPr/>
            </w:pPr>
            <w:r>
              <w:rPr/>
              <w:t> </w:t>
            </w:r>
            <w:bookmarkStart w:id="151" w:name="xdx_40C_eus-gaap--OperatingIncomeLoss_iT"/>
            <w:bookmarkEnd w:id="151"/>
          </w:p>
        </w:tc>
      </w:tr>
      <w:tr>
        <w:trPr/>
        <w:tc>
          <w:tcPr>
            <w:tcW w:w="5825"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(12,004</w:t>
            </w:r>
          </w:p>
        </w:tc>
        <w:tc>
          <w:tcPr>
            <w:tcW w:w="110" w:type="dxa"/>
            <w:tcBorders/>
            <w:shd w:fill="CCEEFF" w:val="clear"/>
            <w:vAlign w:val="center"/>
          </w:tcPr>
          <w:p>
            <w:pPr>
              <w:pStyle w:val="TableContents"/>
              <w:bidi w:val="0"/>
              <w:spacing w:before="0" w:after="283"/>
              <w:jc w:val="left"/>
              <w:rPr/>
            </w:pPr>
            <w:r>
              <w:rPr/>
              <w:t>)</w:t>
            </w:r>
            <w:bookmarkStart w:id="152" w:name="xdx_40F_eus-gaap--NonoperatingIncomeExpe"/>
            <w:bookmarkEnd w:id="152"/>
          </w:p>
        </w:tc>
      </w:tr>
      <w:tr>
        <w:trPr/>
        <w:tc>
          <w:tcPr>
            <w:tcW w:w="5825"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3" w:name="xdx_403_eus-gaap--ForeignCurrencyTransac"/>
            <w:bookmarkEnd w:id="153"/>
          </w:p>
        </w:tc>
      </w:tr>
      <w:tr>
        <w:trPr/>
        <w:tc>
          <w:tcPr>
            <w:tcW w:w="5825" w:type="dxa"/>
            <w:tcBorders/>
            <w:shd w:fill="CCEEFF" w:val="clear"/>
            <w:vAlign w:val="center"/>
          </w:tcPr>
          <w:p>
            <w:pPr>
              <w:pStyle w:val="TableContents"/>
              <w:bidi w:val="0"/>
              <w:spacing w:before="0" w:after="283"/>
              <w:jc w:val="left"/>
              <w:rPr/>
            </w:pPr>
            <w:r>
              <w:rPr/>
              <w:t>Foreign exchange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(54</w:t>
            </w:r>
          </w:p>
        </w:tc>
        <w:tc>
          <w:tcPr>
            <w:tcW w:w="110" w:type="dxa"/>
            <w:tcBorders/>
            <w:shd w:fill="CCEEFF" w:val="clear"/>
            <w:vAlign w:val="center"/>
          </w:tcPr>
          <w:p>
            <w:pPr>
              <w:pStyle w:val="TableContents"/>
              <w:bidi w:val="0"/>
              <w:spacing w:before="0" w:after="283"/>
              <w:jc w:val="left"/>
              <w:rPr/>
            </w:pPr>
            <w:r>
              <w:rPr/>
              <w:t>)</w:t>
            </w:r>
            <w:bookmarkStart w:id="154" w:name="xdx_40E_eus-gaap--InterestIncomeExpenseN"/>
            <w:bookmarkEnd w:id="154"/>
          </w:p>
        </w:tc>
      </w:tr>
      <w:tr>
        <w:trPr/>
        <w:tc>
          <w:tcPr>
            <w:tcW w:w="582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w:t>
            </w:r>
          </w:p>
        </w:tc>
        <w:tc>
          <w:tcPr>
            <w:tcW w:w="110" w:type="dxa"/>
            <w:tcBorders/>
            <w:shd w:fill="FFFFFF" w:val="clear"/>
            <w:vAlign w:val="center"/>
          </w:tcPr>
          <w:p>
            <w:pPr>
              <w:pStyle w:val="TableContents"/>
              <w:bidi w:val="0"/>
              <w:spacing w:before="0" w:after="283"/>
              <w:jc w:val="left"/>
              <w:rPr/>
            </w:pPr>
            <w:r>
              <w:rPr/>
              <w:t> </w:t>
            </w:r>
            <w:bookmarkStart w:id="155" w:name="xdx_40B_eus-gaap--DeconsolidationGainOrL"/>
            <w:bookmarkEnd w:id="155"/>
          </w:p>
        </w:tc>
      </w:tr>
      <w:tr>
        <w:trPr/>
        <w:tc>
          <w:tcPr>
            <w:tcW w:w="5825" w:type="dxa"/>
            <w:tcBorders/>
            <w:shd w:fill="CCEEFF" w:val="clear"/>
            <w:vAlign w:val="center"/>
          </w:tcPr>
          <w:p>
            <w:pPr>
              <w:pStyle w:val="TableContents"/>
              <w:bidi w:val="0"/>
              <w:spacing w:before="0" w:after="283"/>
              <w:jc w:val="left"/>
              <w:rPr/>
            </w:pPr>
            <w:r>
              <w:rPr/>
              <w:t>Gain on deconsolidation of former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56" w:name="xdx_401_eus-gaap--OtherNonoperatingIncom"/>
            <w:bookmarkEnd w:id="156"/>
          </w:p>
        </w:tc>
      </w:tr>
      <w:tr>
        <w:trPr/>
        <w:tc>
          <w:tcPr>
            <w:tcW w:w="5825"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110" w:type="dxa"/>
            <w:tcBorders/>
            <w:shd w:fill="FFFFFF" w:val="clear"/>
            <w:vAlign w:val="center"/>
          </w:tcPr>
          <w:p>
            <w:pPr>
              <w:pStyle w:val="TableContents"/>
              <w:bidi w:val="0"/>
              <w:spacing w:before="0" w:after="283"/>
              <w:jc w:val="left"/>
              <w:rPr/>
            </w:pPr>
            <w:r>
              <w:rPr/>
              <w:t> </w:t>
            </w:r>
            <w:bookmarkStart w:id="157" w:name="xdx_408_eus-gaap--NonoperatingIncomeExpe"/>
            <w:bookmarkEnd w:id="157"/>
          </w:p>
        </w:tc>
      </w:tr>
      <w:tr>
        <w:trPr/>
        <w:tc>
          <w:tcPr>
            <w:tcW w:w="5825" w:type="dxa"/>
            <w:tcBorders/>
            <w:shd w:fill="CCEEFF" w:val="clear"/>
            <w:vAlign w:val="center"/>
          </w:tcPr>
          <w:p>
            <w:pPr>
              <w:pStyle w:val="TableContents"/>
              <w:bidi w:val="0"/>
              <w:spacing w:before="0" w:after="283"/>
              <w:jc w:val="left"/>
              <w:rPr/>
            </w:pPr>
            <w:r>
              <w:rPr/>
              <w:t>Total 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 </w:t>
            </w:r>
            <w:bookmarkStart w:id="158" w:name="xdx_40A_eus-gaap--IncomeLossFromContinui"/>
            <w:bookmarkEnd w:id="158"/>
          </w:p>
        </w:tc>
      </w:tr>
      <w:tr>
        <w:trPr/>
        <w:tc>
          <w:tcPr>
            <w:tcW w:w="5825" w:type="dxa"/>
            <w:tcBorders/>
            <w:shd w:fill="FFFFFF" w:val="clear"/>
            <w:vAlign w:val="center"/>
          </w:tcPr>
          <w:p>
            <w:pPr>
              <w:pStyle w:val="TableContents"/>
              <w:bidi w:val="0"/>
              <w:spacing w:before="0" w:after="283"/>
              <w:jc w:val="left"/>
              <w:rPr>
                <w:b/>
              </w:rPr>
            </w:pPr>
            <w:r>
              <w:rPr>
                <w:b/>
              </w:rPr>
              <w:t>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(11,994</w:t>
            </w:r>
          </w:p>
        </w:tc>
        <w:tc>
          <w:tcPr>
            <w:tcW w:w="110" w:type="dxa"/>
            <w:tcBorders/>
            <w:shd w:fill="FFFFFF" w:val="clear"/>
            <w:vAlign w:val="center"/>
          </w:tcPr>
          <w:p>
            <w:pPr>
              <w:pStyle w:val="TableContents"/>
              <w:bidi w:val="0"/>
              <w:spacing w:before="0" w:after="283"/>
              <w:jc w:val="left"/>
              <w:rPr/>
            </w:pPr>
            <w:r>
              <w:rPr/>
              <w:t>)</w:t>
            </w:r>
            <w:bookmarkStart w:id="159" w:name="xdx_407_eus-gaap--IncomeTaxExpenseBenefi"/>
            <w:bookmarkEnd w:id="159"/>
          </w:p>
        </w:tc>
      </w:tr>
      <w:tr>
        <w:trPr/>
        <w:tc>
          <w:tcPr>
            <w:tcW w:w="5825" w:type="dxa"/>
            <w:tcBorders/>
            <w:shd w:fill="CCEEFF" w:val="clear"/>
            <w:vAlign w:val="center"/>
          </w:tcPr>
          <w:p>
            <w:pPr>
              <w:pStyle w:val="TableContents"/>
              <w:bidi w:val="0"/>
              <w:spacing w:before="0" w:after="283"/>
              <w:jc w:val="left"/>
              <w:rPr/>
            </w:pPr>
            <w:r>
              <w:rPr/>
              <w:t>Income tax benefit / (provision)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782</w:t>
            </w:r>
          </w:p>
        </w:tc>
        <w:tc>
          <w:tcPr>
            <w:tcW w:w="110" w:type="dxa"/>
            <w:tcBorders/>
            <w:shd w:fill="CCEEFF" w:val="clear"/>
            <w:vAlign w:val="center"/>
          </w:tcPr>
          <w:p>
            <w:pPr>
              <w:pStyle w:val="TableContents"/>
              <w:bidi w:val="0"/>
              <w:spacing w:before="0" w:after="283"/>
              <w:jc w:val="left"/>
              <w:rPr/>
            </w:pPr>
            <w:r>
              <w:rPr/>
              <w:t> </w:t>
            </w:r>
            <w:bookmarkStart w:id="160" w:name="xdx_402_eus-gaap--NetIncomeLoss_iT_mtNIL"/>
            <w:bookmarkEnd w:id="160"/>
          </w:p>
        </w:tc>
      </w:tr>
      <w:tr>
        <w:trPr/>
        <w:tc>
          <w:tcPr>
            <w:tcW w:w="582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bookmarkStart w:id="161" w:name="xdx_401_eus-gaap--PreferredStockDividend"/>
            <w:bookmarkEnd w:id="161"/>
          </w:p>
        </w:tc>
      </w:tr>
      <w:tr>
        <w:trPr/>
        <w:tc>
          <w:tcPr>
            <w:tcW w:w="5825" w:type="dxa"/>
            <w:tcBorders/>
            <w:shd w:fill="CCEEFF" w:val="clear"/>
            <w:vAlign w:val="center"/>
          </w:tcPr>
          <w:p>
            <w:pPr>
              <w:pStyle w:val="TableContents"/>
              <w:bidi w:val="0"/>
              <w:spacing w:before="0" w:after="283"/>
              <w:jc w:val="left"/>
              <w:rPr/>
            </w:pPr>
            <w:r>
              <w:rPr/>
              <w:t>Dividend on convertible exchangeable preferred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62" w:name="xdx_402_ecustom--DeemedDividendOnWarrant"/>
            <w:bookmarkEnd w:id="162"/>
          </w:p>
        </w:tc>
      </w:tr>
      <w:tr>
        <w:trPr/>
        <w:tc>
          <w:tcPr>
            <w:tcW w:w="5825" w:type="dxa"/>
            <w:tcBorders/>
            <w:shd w:fill="FFFFFF" w:val="clear"/>
            <w:vAlign w:val="center"/>
          </w:tcPr>
          <w:p>
            <w:pPr>
              <w:pStyle w:val="TableContents"/>
              <w:bidi w:val="0"/>
              <w:spacing w:before="0" w:after="283"/>
              <w:jc w:val="left"/>
              <w:rPr/>
            </w:pPr>
            <w:r>
              <w:rPr/>
              <w:t>Deemed dividend on warrant exchange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(11,033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63" w:name="xdx_404_eus-gaap--NetIncomeLossAvailable"/>
            <w:bookmarkEnd w:id="163"/>
          </w:p>
        </w:tc>
      </w:tr>
      <w:tr>
        <w:trPr/>
        <w:tc>
          <w:tcPr>
            <w:tcW w:w="5825" w:type="dxa"/>
            <w:tcBorders/>
            <w:shd w:fill="CCEEFF" w:val="clear"/>
            <w:vAlign w:val="center"/>
          </w:tcPr>
          <w:p>
            <w:pPr>
              <w:pStyle w:val="TableContents"/>
              <w:bidi w:val="0"/>
              <w:spacing w:before="0" w:after="283"/>
              <w:jc w:val="left"/>
              <w:rPr>
                <w:b/>
              </w:rPr>
            </w:pPr>
            <w:r>
              <w:rPr>
                <w:b/>
              </w:rPr>
              <w:t>Net loss applicable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(14,092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(11,212</w:t>
            </w:r>
          </w:p>
        </w:tc>
        <w:tc>
          <w:tcPr>
            <w:tcW w:w="110" w:type="dxa"/>
            <w:tcBorders/>
            <w:shd w:fill="CCEEFF" w:val="clear"/>
            <w:vAlign w:val="center"/>
          </w:tcPr>
          <w:p>
            <w:pPr>
              <w:pStyle w:val="TableContents"/>
              <w:bidi w:val="0"/>
              <w:spacing w:before="0" w:after="283"/>
              <w:jc w:val="left"/>
              <w:rPr/>
            </w:pPr>
            <w:r>
              <w:rPr/>
              <w:t>)</w:t>
            </w:r>
            <w:bookmarkStart w:id="164" w:name="xdx_400_eus-gaap--EarningsPerShareAbstra"/>
            <w:bookmarkEnd w:id="164"/>
          </w:p>
        </w:tc>
      </w:tr>
      <w:tr>
        <w:trPr/>
        <w:tc>
          <w:tcPr>
            <w:tcW w:w="5825" w:type="dxa"/>
            <w:tcBorders/>
            <w:shd w:fill="FFFFFF" w:val="clear"/>
            <w:vAlign w:val="center"/>
          </w:tcPr>
          <w:p>
            <w:pPr>
              <w:pStyle w:val="TableContents"/>
              <w:bidi w:val="0"/>
              <w:spacing w:before="0" w:after="283"/>
              <w:jc w:val="left"/>
              <w:rPr>
                <w:b/>
              </w:rPr>
            </w:pPr>
            <w:r>
              <w:rPr>
                <w:b/>
              </w:rPr>
              <w:t>Basic and diluted earnings per common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Net loss per share – basic and diluted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bookmarkStart w:id="165" w:name="xdx_900_eus-gaap--EarningsPerShareDilute"/>
            <w:bookmarkStart w:id="166" w:name="xdx_903_eus-gaap--EarningsPerShareBasic_"/>
            <w:bookmarkEnd w:id="165"/>
            <w:bookmarkEnd w:id="166"/>
            <w:r>
              <w:rPr/>
              <w:t>(6.45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bookmarkStart w:id="167" w:name="xdx_901_eus-gaap--EarningsPerShareDilute"/>
            <w:bookmarkStart w:id="168" w:name="xdx_90F_eus-gaap--EarningsPerShareBasic_"/>
            <w:bookmarkEnd w:id="167"/>
            <w:bookmarkEnd w:id="168"/>
            <w:r>
              <w:rPr/>
              <w:t>(502.46</w:t>
            </w:r>
          </w:p>
        </w:tc>
        <w:tc>
          <w:tcPr>
            <w:tcW w:w="110" w:type="dxa"/>
            <w:tcBorders/>
            <w:shd w:fill="CCEEFF" w:val="clear"/>
            <w:vAlign w:val="center"/>
          </w:tcPr>
          <w:p>
            <w:pPr>
              <w:pStyle w:val="TableContents"/>
              <w:bidi w:val="0"/>
              <w:spacing w:before="0" w:after="283"/>
              <w:jc w:val="left"/>
              <w:rPr/>
            </w:pPr>
            <w:r>
              <w:rPr/>
              <w:t>)</w:t>
            </w:r>
          </w:p>
        </w:tc>
      </w:tr>
      <w:tr>
        <w:trPr/>
        <w:tc>
          <w:tcPr>
            <w:tcW w:w="58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69" w:name="xdx_909_eus-gaap--WeightedAverageNumberO"/>
            <w:bookmarkStart w:id="170" w:name="xdx_90B_eus-gaap--WeightedAverageNumberO"/>
            <w:bookmarkEnd w:id="169"/>
            <w:bookmarkEnd w:id="170"/>
            <w:r>
              <w:rPr/>
              <w:t>2,185,075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71" w:name="xdx_90C_eus-gaap--WeightedAverageNumberO"/>
            <w:bookmarkStart w:id="172" w:name="xdx_907_eus-gaap--WeightedAverageNumberO"/>
            <w:bookmarkEnd w:id="171"/>
            <w:bookmarkEnd w:id="172"/>
            <w:r>
              <w:rPr/>
              <w:t>22,314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3" w:name="sp_004"/>
      <w:bookmarkEnd w:id="173"/>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4" w:name="xdx_30F_113_pn3n3_z9f00zPI7lui"/>
      <w:bookmarkStart w:id="175" w:name="xdx_30F_113_pn3n3_z9f00zPI7lui"/>
      <w:bookmarkEnd w:id="175"/>
    </w:p>
    <w:tbl>
      <w:tblPr>
        <w:tblW w:w="7385" w:type="dxa"/>
        <w:jc w:val="left"/>
        <w:tblInd w:w="0" w:type="dxa"/>
        <w:tblLayout w:type="fixed"/>
        <w:tblCellMar>
          <w:top w:w="0" w:type="dxa"/>
          <w:left w:w="0" w:type="dxa"/>
          <w:bottom w:w="0" w:type="dxa"/>
          <w:right w:w="0" w:type="dxa"/>
        </w:tblCellMar>
      </w:tblPr>
      <w:tblGrid>
        <w:gridCol w:w="5390"/>
        <w:gridCol w:w="60"/>
        <w:gridCol w:w="140"/>
        <w:gridCol w:w="635"/>
        <w:gridCol w:w="95"/>
        <w:gridCol w:w="60"/>
        <w:gridCol w:w="140"/>
        <w:gridCol w:w="755"/>
        <w:gridCol w:w="110"/>
      </w:tblGrid>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76" w:name="xdx_499_20250101__20251231_zfpzzqClWRr8"/>
            <w:bookmarkEnd w:id="176"/>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7" w:name="xdx_498_20240101__20241231_zeKGTzOMsz8g"/>
            <w:bookmarkEnd w:id="177"/>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178" w:name="xdx_409_eus-gaap--NetIncomeLoss_maCINOTz"/>
            <w:bookmarkEnd w:id="178"/>
          </w:p>
        </w:tc>
      </w:tr>
      <w:tr>
        <w:trPr/>
        <w:tc>
          <w:tcPr>
            <w:tcW w:w="539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(11,212</w:t>
            </w:r>
          </w:p>
        </w:tc>
        <w:tc>
          <w:tcPr>
            <w:tcW w:w="110" w:type="dxa"/>
            <w:tcBorders/>
            <w:shd w:fill="CCEEFF" w:val="clear"/>
            <w:vAlign w:val="center"/>
          </w:tcPr>
          <w:p>
            <w:pPr>
              <w:pStyle w:val="TableContents"/>
              <w:bidi w:val="0"/>
              <w:spacing w:before="0" w:after="283"/>
              <w:jc w:val="left"/>
              <w:rPr/>
            </w:pPr>
            <w:r>
              <w:rPr/>
              <w:t>)</w:t>
            </w:r>
            <w:bookmarkStart w:id="179" w:name="xdx_402_eus-gaap--OtherComprehensiveInco"/>
            <w:bookmarkEnd w:id="179"/>
          </w:p>
        </w:tc>
      </w:tr>
      <w:tr>
        <w:trPr/>
        <w:tc>
          <w:tcPr>
            <w:tcW w:w="5390" w:type="dxa"/>
            <w:tcBorders/>
            <w:shd w:fill="FFFFFF" w:val="clear"/>
            <w:vAlign w:val="center"/>
          </w:tcPr>
          <w:p>
            <w:pPr>
              <w:pStyle w:val="TableContents"/>
              <w:bidi w:val="0"/>
              <w:spacing w:before="0" w:after="283"/>
              <w:jc w:val="left"/>
              <w:rPr/>
            </w:pPr>
            <w:r>
              <w:rPr/>
              <w:t>Translation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2,916</w:t>
            </w:r>
          </w:p>
        </w:tc>
        <w:tc>
          <w:tcPr>
            <w:tcW w:w="110" w:type="dxa"/>
            <w:tcBorders/>
            <w:shd w:fill="FFFFFF" w:val="clear"/>
            <w:vAlign w:val="center"/>
          </w:tcPr>
          <w:p>
            <w:pPr>
              <w:pStyle w:val="TableContents"/>
              <w:bidi w:val="0"/>
              <w:spacing w:before="0" w:after="283"/>
              <w:jc w:val="left"/>
              <w:rPr/>
            </w:pPr>
            <w:r>
              <w:rPr/>
              <w:t> </w:t>
            </w:r>
            <w:bookmarkStart w:id="180" w:name="xdx_40F_ecustom--OtherComprehensiveIncom"/>
            <w:bookmarkEnd w:id="180"/>
          </w:p>
        </w:tc>
      </w:tr>
      <w:tr>
        <w:trPr/>
        <w:tc>
          <w:tcPr>
            <w:tcW w:w="5390" w:type="dxa"/>
            <w:tcBorders/>
            <w:shd w:fill="CCEEFF" w:val="clear"/>
            <w:vAlign w:val="center"/>
          </w:tcPr>
          <w:p>
            <w:pPr>
              <w:pStyle w:val="TableContents"/>
              <w:bidi w:val="0"/>
              <w:spacing w:before="0" w:after="283"/>
              <w:jc w:val="left"/>
              <w:rPr/>
            </w:pPr>
            <w:r>
              <w:rPr/>
              <w:t>Unrealized foreign exchange loss on intercompany loans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(2,380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(2,899</w:t>
            </w:r>
          </w:p>
        </w:tc>
        <w:tc>
          <w:tcPr>
            <w:tcW w:w="110" w:type="dxa"/>
            <w:tcBorders/>
            <w:shd w:fill="CCEEFF" w:val="clear"/>
            <w:vAlign w:val="center"/>
          </w:tcPr>
          <w:p>
            <w:pPr>
              <w:pStyle w:val="TableContents"/>
              <w:bidi w:val="0"/>
              <w:spacing w:before="0" w:after="283"/>
              <w:jc w:val="left"/>
              <w:rPr/>
            </w:pPr>
            <w:r>
              <w:rPr/>
              <w:t>)</w:t>
            </w:r>
            <w:bookmarkStart w:id="181" w:name="xdx_400_eus-gaap--ComprehensiveIncomeNet"/>
            <w:bookmarkEnd w:id="181"/>
          </w:p>
        </w:tc>
      </w:tr>
      <w:tr>
        <w:trPr/>
        <w:tc>
          <w:tcPr>
            <w:tcW w:w="5390"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(3,032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(11,195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2" w:name="sp_005"/>
      <w:bookmarkEnd w:id="182"/>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3" w:name="xdx_30D_114_pn3n3_zxo0s0sC4GTd"/>
      <w:bookmarkStart w:id="184" w:name="xdx_30D_114_pn3n3_zxo0s0sC4GTd"/>
      <w:bookmarkEnd w:id="184"/>
    </w:p>
    <w:tbl>
      <w:tblPr>
        <w:tblW w:w="12000" w:type="dxa"/>
        <w:jc w:val="left"/>
        <w:tblInd w:w="0" w:type="dxa"/>
        <w:tblLayout w:type="fixed"/>
        <w:tblCellMar>
          <w:top w:w="0" w:type="dxa"/>
          <w:left w:w="0" w:type="dxa"/>
          <w:bottom w:w="0" w:type="dxa"/>
          <w:right w:w="0" w:type="dxa"/>
        </w:tblCellMar>
      </w:tblPr>
      <w:tblGrid>
        <w:gridCol w:w="1520"/>
        <w:gridCol w:w="60"/>
        <w:gridCol w:w="60"/>
        <w:gridCol w:w="1055"/>
        <w:gridCol w:w="95"/>
        <w:gridCol w:w="60"/>
        <w:gridCol w:w="301"/>
        <w:gridCol w:w="559"/>
        <w:gridCol w:w="95"/>
        <w:gridCol w:w="60"/>
        <w:gridCol w:w="60"/>
        <w:gridCol w:w="980"/>
        <w:gridCol w:w="60"/>
        <w:gridCol w:w="60"/>
        <w:gridCol w:w="301"/>
        <w:gridCol w:w="559"/>
        <w:gridCol w:w="60"/>
        <w:gridCol w:w="60"/>
        <w:gridCol w:w="163"/>
        <w:gridCol w:w="937"/>
        <w:gridCol w:w="95"/>
        <w:gridCol w:w="60"/>
        <w:gridCol w:w="290"/>
        <w:gridCol w:w="1320"/>
        <w:gridCol w:w="95"/>
        <w:gridCol w:w="60"/>
        <w:gridCol w:w="188"/>
        <w:gridCol w:w="1182"/>
        <w:gridCol w:w="95"/>
        <w:gridCol w:w="60"/>
        <w:gridCol w:w="199"/>
        <w:gridCol w:w="1141"/>
        <w:gridCol w:w="110"/>
      </w:tblGrid>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5" w:name="xdx_4BF_us-gaap--StatementEquityComponen"/>
            <w:bookmarkEnd w:id="185"/>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6" w:name="xdx_4BA_us-gaap--StatementEquityComponen"/>
            <w:bookmarkEnd w:id="186"/>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7" w:name="xdx_4B6_us-gaap--StatementEquityComponen"/>
            <w:bookmarkEnd w:id="187"/>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8" w:name="xdx_4B9_us-gaap--StatementEquityComponen"/>
            <w:bookmarkEnd w:id="188"/>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9" w:name="xdx_4B6_us-gaap--StatementEquityComponen"/>
            <w:bookmarkEnd w:id="189"/>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0" w:name="xdx_4BB_zSgqpGXi0Jel"/>
            <w:bookmarkEnd w:id="190"/>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Stockholders’</w:t>
            </w:r>
          </w:p>
        </w:tc>
        <w:tc>
          <w:tcPr>
            <w:tcW w:w="110"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191" w:name="xdx_432_c20240101__20241231_eus-gaap--St"/>
            <w:bookmarkEnd w:id="191"/>
          </w:p>
        </w:tc>
      </w:tr>
      <w:tr>
        <w:trPr/>
        <w:tc>
          <w:tcPr>
            <w:tcW w:w="1520" w:type="dxa"/>
            <w:tcBorders/>
            <w:shd w:fill="CCEEFF" w:val="clear"/>
            <w:vAlign w:val="center"/>
          </w:tcPr>
          <w:p>
            <w:pPr>
              <w:pStyle w:val="TableContents"/>
              <w:bidi w:val="0"/>
              <w:spacing w:before="0" w:after="283"/>
              <w:jc w:val="left"/>
              <w:rPr>
                <w:b/>
              </w:rPr>
            </w:pPr>
            <w:r>
              <w:rPr>
                <w:b/>
              </w:rPr>
              <w:t>Balances at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2" w:name="xdx_985_eus-gaap--SharesOutstanding_iS_p"/>
            <w:bookmarkEnd w:id="192"/>
          </w:p>
        </w:tc>
        <w:tc>
          <w:tcPr>
            <w:tcW w:w="1055" w:type="dxa"/>
            <w:tcBorders/>
            <w:shd w:fill="CCEEFF" w:val="clear"/>
            <w:vAlign w:val="center"/>
          </w:tcPr>
          <w:p>
            <w:pPr>
              <w:pStyle w:val="TableContents"/>
              <w:bidi w:val="0"/>
              <w:spacing w:before="0" w:after="283"/>
              <w:jc w:val="right"/>
              <w:rPr>
                <w:b/>
              </w:rPr>
            </w:pPr>
            <w:r>
              <w:rPr>
                <w:b/>
              </w:rPr>
              <w:t>454,537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3" w:name="xdx_98D_eus-gaap--SharesOutstanding_iS_p"/>
            <w:bookmarkEnd w:id="193"/>
          </w:p>
        </w:tc>
        <w:tc>
          <w:tcPr>
            <w:tcW w:w="980" w:type="dxa"/>
            <w:tcBorders/>
            <w:shd w:fill="CCEEFF" w:val="clear"/>
            <w:vAlign w:val="center"/>
          </w:tcPr>
          <w:p>
            <w:pPr>
              <w:pStyle w:val="TableContents"/>
              <w:bidi w:val="0"/>
              <w:spacing w:before="0" w:after="283"/>
              <w:jc w:val="right"/>
              <w:rPr>
                <w:b/>
              </w:rPr>
            </w:pPr>
            <w:r>
              <w:rPr>
                <w:b/>
              </w:rPr>
              <w:t>4,412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429,797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(908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(428,282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b/>
              </w:rPr>
            </w:pPr>
            <w:r>
              <w:rPr>
                <w:b/>
              </w:rPr>
              <w:t>$</w:t>
            </w:r>
          </w:p>
        </w:tc>
        <w:tc>
          <w:tcPr>
            <w:tcW w:w="1141" w:type="dxa"/>
            <w:tcBorders/>
            <w:shd w:fill="CCEEFF" w:val="clear"/>
            <w:vAlign w:val="center"/>
          </w:tcPr>
          <w:p>
            <w:pPr>
              <w:pStyle w:val="TableContents"/>
              <w:bidi w:val="0"/>
              <w:spacing w:before="0" w:after="283"/>
              <w:jc w:val="right"/>
              <w:rPr/>
            </w:pPr>
            <w:r>
              <w:rPr/>
              <w:t>       </w:t>
            </w:r>
            <w:r>
              <w:rPr>
                <w:b/>
              </w:rPr>
              <w:t>607</w:t>
            </w:r>
          </w:p>
        </w:tc>
        <w:tc>
          <w:tcPr>
            <w:tcW w:w="110" w:type="dxa"/>
            <w:tcBorders/>
            <w:shd w:fill="CCEEFF" w:val="clear"/>
            <w:vAlign w:val="center"/>
          </w:tcPr>
          <w:p>
            <w:pPr>
              <w:pStyle w:val="TableContents"/>
              <w:bidi w:val="0"/>
              <w:spacing w:before="0" w:after="283"/>
              <w:jc w:val="left"/>
              <w:rPr/>
            </w:pPr>
            <w:r>
              <w:rPr/>
              <w:t> </w:t>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4" w:name="xdx_409_ecustom--StockIssuedDuringPeriod"/>
            <w:bookmarkEnd w:id="194"/>
          </w:p>
        </w:tc>
      </w:tr>
      <w:tr>
        <w:trPr/>
        <w:tc>
          <w:tcPr>
            <w:tcW w:w="1520" w:type="dxa"/>
            <w:tcBorders/>
            <w:shd w:fill="CCEEFF" w:val="clear"/>
            <w:vAlign w:val="center"/>
          </w:tcPr>
          <w:p>
            <w:pPr>
              <w:pStyle w:val="TableContents"/>
              <w:bidi w:val="0"/>
              <w:spacing w:before="0" w:after="283"/>
              <w:jc w:val="left"/>
              <w:rPr/>
            </w:pPr>
            <w:r>
              <w:rPr/>
              <w:t>Issue of common stock, preferred stock and associated warrants on underwritten offering, net of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5" w:name="xdx_98C_ecustom--StockIssuedDuringPeriod"/>
            <w:bookmarkEnd w:id="195"/>
          </w:p>
        </w:tc>
        <w:tc>
          <w:tcPr>
            <w:tcW w:w="980" w:type="dxa"/>
            <w:tcBorders/>
            <w:shd w:fill="CCEEFF" w:val="clear"/>
            <w:vAlign w:val="center"/>
          </w:tcPr>
          <w:p>
            <w:pPr>
              <w:pStyle w:val="TableContents"/>
              <w:bidi w:val="0"/>
              <w:spacing w:before="0" w:after="283"/>
              <w:jc w:val="right"/>
              <w:rPr/>
            </w:pPr>
            <w:r>
              <w:rPr/>
              <w:t>2,944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6,209</w:t>
            </w:r>
          </w:p>
        </w:tc>
        <w:tc>
          <w:tcPr>
            <w:tcW w:w="110" w:type="dxa"/>
            <w:tcBorders/>
            <w:shd w:fill="CCEEFF" w:val="clear"/>
            <w:vAlign w:val="center"/>
          </w:tcPr>
          <w:p>
            <w:pPr>
              <w:pStyle w:val="TableContents"/>
              <w:bidi w:val="0"/>
              <w:spacing w:before="0" w:after="283"/>
              <w:jc w:val="left"/>
              <w:rPr/>
            </w:pPr>
            <w:r>
              <w:rPr/>
              <w:t> </w:t>
            </w:r>
            <w:bookmarkStart w:id="196" w:name="xdx_403_eus-gaap--StockIssuedDuringPerio"/>
            <w:bookmarkEnd w:id="196"/>
          </w:p>
        </w:tc>
      </w:tr>
      <w:tr>
        <w:trPr/>
        <w:tc>
          <w:tcPr>
            <w:tcW w:w="1520" w:type="dxa"/>
            <w:tcBorders/>
            <w:shd w:fill="FFFFFF" w:val="clear"/>
            <w:vAlign w:val="center"/>
          </w:tcPr>
          <w:p>
            <w:pPr>
              <w:pStyle w:val="TableContents"/>
              <w:bidi w:val="0"/>
              <w:spacing w:before="0" w:after="283"/>
              <w:jc w:val="left"/>
              <w:rPr/>
            </w:pPr>
            <w:r>
              <w:rPr/>
              <w:t>Conversion of series B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7" w:name="xdx_980_eus-gaap--StockIssuedDuringPerio"/>
            <w:bookmarkEnd w:id="197"/>
          </w:p>
        </w:tc>
        <w:tc>
          <w:tcPr>
            <w:tcW w:w="1055" w:type="dxa"/>
            <w:tcBorders/>
            <w:shd w:fill="FFFFFF" w:val="clear"/>
            <w:vAlign w:val="center"/>
          </w:tcPr>
          <w:p>
            <w:pPr>
              <w:pStyle w:val="TableContents"/>
              <w:bidi w:val="0"/>
              <w:spacing w:before="0" w:after="283"/>
              <w:jc w:val="right"/>
              <w:rPr/>
            </w:pPr>
            <w:r>
              <w:rPr/>
              <w:t>(119,000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98" w:name="xdx_983_eus-gaap--StockIssuedDuringPerio"/>
            <w:bookmarkEnd w:id="198"/>
          </w:p>
        </w:tc>
        <w:tc>
          <w:tcPr>
            <w:tcW w:w="980" w:type="dxa"/>
            <w:tcBorders/>
            <w:shd w:fill="FFFFFF" w:val="clear"/>
            <w:vAlign w:val="center"/>
          </w:tcPr>
          <w:p>
            <w:pPr>
              <w:pStyle w:val="TableContents"/>
              <w:bidi w:val="0"/>
              <w:spacing w:before="0" w:after="283"/>
              <w:jc w:val="right"/>
              <w:rPr/>
            </w:pPr>
            <w:r>
              <w:rPr/>
              <w:t>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99" w:name="xdx_402_ecustom--StockIssuedDuringPeriod"/>
            <w:bookmarkEnd w:id="199"/>
          </w:p>
        </w:tc>
      </w:tr>
      <w:tr>
        <w:trPr/>
        <w:tc>
          <w:tcPr>
            <w:tcW w:w="1520" w:type="dxa"/>
            <w:tcBorders/>
            <w:shd w:fill="CCEEFF" w:val="clear"/>
            <w:vAlign w:val="center"/>
          </w:tcPr>
          <w:p>
            <w:pPr>
              <w:pStyle w:val="TableContents"/>
              <w:bidi w:val="0"/>
              <w:spacing w:before="0" w:after="283"/>
              <w:jc w:val="left"/>
              <w:rPr/>
            </w:pPr>
            <w:r>
              <w:rPr/>
              <w:t xml:space="preserve">Conversion of series </w:t>
            </w:r>
            <w:bookmarkStart w:id="200" w:name="xdx_902_eus-gaap--PreferredStockDividend"/>
            <w:bookmarkEnd w:id="200"/>
            <w:r>
              <w:rPr/>
              <w:t>6% Convertible Exchangeable Preferred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1" w:name="xdx_984_ecustom--StockIssuedDuringPeriod"/>
            <w:bookmarkEnd w:id="201"/>
          </w:p>
        </w:tc>
        <w:tc>
          <w:tcPr>
            <w:tcW w:w="1055" w:type="dxa"/>
            <w:tcBorders/>
            <w:shd w:fill="CCEEFF" w:val="clear"/>
            <w:vAlign w:val="center"/>
          </w:tcPr>
          <w:p>
            <w:pPr>
              <w:pStyle w:val="TableContents"/>
              <w:bidi w:val="0"/>
              <w:spacing w:before="0" w:after="283"/>
              <w:jc w:val="right"/>
              <w:rPr/>
            </w:pPr>
            <w:r>
              <w:rPr/>
              <w:t>(200,000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02" w:name="xdx_40B_ecustom--StockIssuedDuringPeriod"/>
            <w:bookmarkEnd w:id="202"/>
          </w:p>
        </w:tc>
      </w:tr>
      <w:tr>
        <w:trPr/>
        <w:tc>
          <w:tcPr>
            <w:tcW w:w="1520" w:type="dxa"/>
            <w:tcBorders/>
            <w:shd w:fill="FFFFFF" w:val="clear"/>
            <w:vAlign w:val="center"/>
          </w:tcPr>
          <w:p>
            <w:pPr>
              <w:pStyle w:val="TableContents"/>
              <w:bidi w:val="0"/>
              <w:spacing w:before="0" w:after="283"/>
              <w:jc w:val="left"/>
              <w:rPr/>
            </w:pPr>
            <w:r>
              <w:rPr/>
              <w:t>Warrant Exercises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3" w:name="xdx_989_ecustom--StockIssuedDuringPeriod"/>
            <w:bookmarkEnd w:id="203"/>
          </w:p>
        </w:tc>
        <w:tc>
          <w:tcPr>
            <w:tcW w:w="980" w:type="dxa"/>
            <w:tcBorders/>
            <w:shd w:fill="FFFFFF" w:val="clear"/>
            <w:vAlign w:val="center"/>
          </w:tcPr>
          <w:p>
            <w:pPr>
              <w:pStyle w:val="TableContents"/>
              <w:bidi w:val="0"/>
              <w:spacing w:before="0" w:after="283"/>
              <w:jc w:val="right"/>
              <w:rPr/>
            </w:pPr>
            <w:r>
              <w:rPr/>
              <w:t>29,391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1,613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1,613</w:t>
            </w:r>
          </w:p>
        </w:tc>
        <w:tc>
          <w:tcPr>
            <w:tcW w:w="110" w:type="dxa"/>
            <w:tcBorders/>
            <w:shd w:fill="FFFFFF" w:val="clear"/>
            <w:vAlign w:val="center"/>
          </w:tcPr>
          <w:p>
            <w:pPr>
              <w:pStyle w:val="TableContents"/>
              <w:bidi w:val="0"/>
              <w:spacing w:before="0" w:after="283"/>
              <w:jc w:val="left"/>
              <w:rPr/>
            </w:pPr>
            <w:r>
              <w:rPr/>
              <w:t> </w:t>
            </w:r>
            <w:bookmarkStart w:id="204" w:name="xdx_400_eus-gaap--StockIssuedDuringPerio"/>
            <w:bookmarkEnd w:id="204"/>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592</w:t>
            </w:r>
          </w:p>
        </w:tc>
        <w:tc>
          <w:tcPr>
            <w:tcW w:w="110" w:type="dxa"/>
            <w:tcBorders/>
            <w:shd w:fill="CCEEFF" w:val="clear"/>
            <w:vAlign w:val="center"/>
          </w:tcPr>
          <w:p>
            <w:pPr>
              <w:pStyle w:val="TableContents"/>
              <w:bidi w:val="0"/>
              <w:spacing w:before="0" w:after="283"/>
              <w:jc w:val="left"/>
              <w:rPr/>
            </w:pPr>
            <w:r>
              <w:rPr/>
              <w:t> </w:t>
            </w:r>
            <w:bookmarkStart w:id="205" w:name="xdx_40C_eus-gaap--StockIssuedDuringPerio"/>
            <w:bookmarkEnd w:id="205"/>
          </w:p>
        </w:tc>
      </w:tr>
      <w:tr>
        <w:trPr/>
        <w:tc>
          <w:tcPr>
            <w:tcW w:w="1520" w:type="dxa"/>
            <w:tcBorders/>
            <w:shd w:fill="CCEEFF" w:val="clear"/>
            <w:vAlign w:val="center"/>
          </w:tcPr>
          <w:p>
            <w:pPr>
              <w:pStyle w:val="TableContents"/>
              <w:bidi w:val="0"/>
              <w:spacing w:before="0" w:after="283"/>
              <w:jc w:val="left"/>
              <w:rPr/>
            </w:pPr>
            <w:r>
              <w:rPr/>
              <w:t>Stock-based compensation,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6" w:name="xdx_407_ecustom--OtherComprehensiveIncom"/>
            <w:bookmarkEnd w:id="206"/>
          </w:p>
        </w:tc>
      </w:tr>
      <w:tr>
        <w:trPr/>
        <w:tc>
          <w:tcPr>
            <w:tcW w:w="1520" w:type="dxa"/>
            <w:tcBorders/>
            <w:shd w:fill="FFFFFF" w:val="clear"/>
            <w:vAlign w:val="center"/>
          </w:tcPr>
          <w:p>
            <w:pPr>
              <w:pStyle w:val="TableContents"/>
              <w:bidi w:val="0"/>
              <w:spacing w:before="0" w:after="283"/>
              <w:jc w:val="left"/>
              <w:rPr/>
            </w:pPr>
            <w:r>
              <w:rPr/>
              <w:t>Unrealized foreign exchange on intercompany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(2,899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(2,899</w:t>
            </w:r>
          </w:p>
        </w:tc>
        <w:tc>
          <w:tcPr>
            <w:tcW w:w="110" w:type="dxa"/>
            <w:tcBorders/>
            <w:shd w:fill="FFFFFF" w:val="clear"/>
            <w:vAlign w:val="center"/>
          </w:tcPr>
          <w:p>
            <w:pPr>
              <w:pStyle w:val="TableContents"/>
              <w:bidi w:val="0"/>
              <w:spacing w:before="0" w:after="283"/>
              <w:jc w:val="left"/>
              <w:rPr/>
            </w:pPr>
            <w:r>
              <w:rPr/>
              <w:t>)</w:t>
            </w:r>
            <w:bookmarkStart w:id="207" w:name="xdx_402_eus-gaap--OtherComprehensiveInco"/>
            <w:bookmarkEnd w:id="207"/>
          </w:p>
        </w:tc>
      </w:tr>
      <w:tr>
        <w:trPr/>
        <w:tc>
          <w:tcPr>
            <w:tcW w:w="1520" w:type="dxa"/>
            <w:tcBorders/>
            <w:shd w:fill="CCEEFF" w:val="clear"/>
            <w:vAlign w:val="center"/>
          </w:tcPr>
          <w:p>
            <w:pPr>
              <w:pStyle w:val="TableContents"/>
              <w:bidi w:val="0"/>
              <w:spacing w:before="0" w:after="283"/>
              <w:jc w:val="left"/>
              <w:rPr/>
            </w:pPr>
            <w:r>
              <w:rPr/>
              <w:t>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2,916</w:t>
            </w:r>
          </w:p>
        </w:tc>
        <w:tc>
          <w:tcPr>
            <w:tcW w:w="110" w:type="dxa"/>
            <w:tcBorders/>
            <w:shd w:fill="CCEEFF" w:val="clear"/>
            <w:vAlign w:val="center"/>
          </w:tcPr>
          <w:p>
            <w:pPr>
              <w:pStyle w:val="TableContents"/>
              <w:bidi w:val="0"/>
              <w:spacing w:before="0" w:after="283"/>
              <w:jc w:val="left"/>
              <w:rPr/>
            </w:pPr>
            <w:r>
              <w:rPr/>
              <w:t> </w:t>
            </w:r>
            <w:bookmarkStart w:id="208" w:name="xdx_40B_eus-gaap--NetIncomeLoss_zhViHdAF"/>
            <w:bookmarkEnd w:id="208"/>
          </w:p>
        </w:tc>
      </w:tr>
      <w:tr>
        <w:trPr/>
        <w:tc>
          <w:tcPr>
            <w:tcW w:w="152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(11,212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bookmarkStart w:id="209" w:name="xdx_43E_c20250101__20251231_eus-gaap--St"/>
            <w:bookmarkEnd w:id="209"/>
          </w:p>
        </w:tc>
      </w:tr>
      <w:tr>
        <w:trPr/>
        <w:tc>
          <w:tcPr>
            <w:tcW w:w="1520" w:type="dxa"/>
            <w:tcBorders/>
            <w:shd w:fill="CCEEFF" w:val="clear"/>
            <w:vAlign w:val="center"/>
          </w:tcPr>
          <w:p>
            <w:pPr>
              <w:pStyle w:val="TableContents"/>
              <w:bidi w:val="0"/>
              <w:spacing w:before="0" w:after="283"/>
              <w:jc w:val="left"/>
              <w:rPr>
                <w:b/>
              </w:rPr>
            </w:pPr>
            <w:r>
              <w:rPr>
                <w:b/>
              </w:rPr>
              <w:t>Balances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0" w:name="xdx_987_eus-gaap--SharesOutstanding_iS_p"/>
            <w:bookmarkEnd w:id="210"/>
          </w:p>
        </w:tc>
        <w:tc>
          <w:tcPr>
            <w:tcW w:w="1055" w:type="dxa"/>
            <w:tcBorders/>
            <w:shd w:fill="CCEEFF" w:val="cle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1" w:name="xdx_984_eus-gaap--SharesOutstanding_iS_p"/>
            <w:bookmarkEnd w:id="211"/>
          </w:p>
        </w:tc>
        <w:tc>
          <w:tcPr>
            <w:tcW w:w="980" w:type="dxa"/>
            <w:tcBorders/>
            <w:shd w:fill="CCEEFF" w:val="clear"/>
            <w:vAlign w:val="center"/>
          </w:tcPr>
          <w:p>
            <w:pPr>
              <w:pStyle w:val="TableContents"/>
              <w:bidi w:val="0"/>
              <w:spacing w:before="0" w:after="283"/>
              <w:jc w:val="right"/>
              <w:rPr>
                <w:b/>
              </w:rPr>
            </w:pPr>
            <w:r>
              <w:rPr>
                <w:b/>
              </w:rPr>
              <w:t>36,913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438,211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(891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(439,494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b/>
              </w:rPr>
            </w:pPr>
            <w:r>
              <w:rPr>
                <w:b/>
              </w:rPr>
              <w:t>$</w:t>
            </w:r>
          </w:p>
        </w:tc>
        <w:tc>
          <w:tcPr>
            <w:tcW w:w="1141" w:type="dxa"/>
            <w:tcBorders/>
            <w:shd w:fill="CCEEFF" w:val="clear"/>
            <w:vAlign w:val="center"/>
          </w:tcPr>
          <w:p>
            <w:pPr>
              <w:pStyle w:val="TableContents"/>
              <w:bidi w:val="0"/>
              <w:spacing w:before="0" w:after="283"/>
              <w:jc w:val="right"/>
              <w:rPr>
                <w:b/>
              </w:rPr>
            </w:pPr>
            <w:r>
              <w:rPr>
                <w:b/>
              </w:rPr>
              <w:t>(2,174</w:t>
            </w:r>
          </w:p>
        </w:tc>
        <w:tc>
          <w:tcPr>
            <w:tcW w:w="110" w:type="dxa"/>
            <w:tcBorders/>
            <w:shd w:fill="CCEEFF" w:val="clear"/>
            <w:vAlign w:val="center"/>
          </w:tcPr>
          <w:p>
            <w:pPr>
              <w:pStyle w:val="TableContents"/>
              <w:bidi w:val="0"/>
              <w:spacing w:before="0" w:after="283"/>
              <w:jc w:val="left"/>
              <w:rPr>
                <w:b/>
              </w:rPr>
            </w:pPr>
            <w:r>
              <w:rPr>
                <w:b/>
              </w:rPr>
              <w:t>)</w:t>
            </w:r>
            <w:bookmarkStart w:id="212" w:name="xdx_431_c20250101__20251231_eus-gaap--St"/>
            <w:bookmarkEnd w:id="212"/>
          </w:p>
        </w:tc>
      </w:tr>
      <w:tr>
        <w:trPr/>
        <w:tc>
          <w:tcPr>
            <w:tcW w:w="152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3" w:name="xdx_98E_eus-gaap--SharesOutstanding_iS_p"/>
            <w:bookmarkEnd w:id="213"/>
          </w:p>
        </w:tc>
        <w:tc>
          <w:tcPr>
            <w:tcW w:w="1055" w:type="dxa"/>
            <w:tcBorders/>
            <w:shd w:fill="CCEEFF" w:val="cle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4" w:name="xdx_986_eus-gaap--SharesOutstanding_iS_p"/>
            <w:bookmarkEnd w:id="214"/>
          </w:p>
        </w:tc>
        <w:tc>
          <w:tcPr>
            <w:tcW w:w="980" w:type="dxa"/>
            <w:tcBorders/>
            <w:shd w:fill="CCEEFF" w:val="clear"/>
            <w:vAlign w:val="center"/>
          </w:tcPr>
          <w:p>
            <w:pPr>
              <w:pStyle w:val="TableContents"/>
              <w:bidi w:val="0"/>
              <w:spacing w:before="0" w:after="283"/>
              <w:jc w:val="right"/>
              <w:rPr>
                <w:b/>
              </w:rPr>
            </w:pPr>
            <w:r>
              <w:rPr>
                <w:b/>
              </w:rPr>
              <w:t>36,913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b/>
              </w:rPr>
            </w:pPr>
            <w:r>
              <w:rPr>
                <w:b/>
              </w:rPr>
              <w:t>$</w:t>
            </w:r>
          </w:p>
        </w:tc>
        <w:tc>
          <w:tcPr>
            <w:tcW w:w="937" w:type="dxa"/>
            <w:tcBorders/>
            <w:shd w:fill="CCEEFF" w:val="clear"/>
            <w:vAlign w:val="center"/>
          </w:tcPr>
          <w:p>
            <w:pPr>
              <w:pStyle w:val="TableContents"/>
              <w:bidi w:val="0"/>
              <w:spacing w:before="0" w:after="283"/>
              <w:jc w:val="right"/>
              <w:rPr>
                <w:b/>
              </w:rPr>
            </w:pPr>
            <w:r>
              <w:rPr>
                <w:b/>
              </w:rPr>
              <w:t>438,211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b/>
              </w:rPr>
            </w:pPr>
            <w:r>
              <w:rPr>
                <w:b/>
              </w:rPr>
              <w:t>$</w:t>
            </w:r>
          </w:p>
        </w:tc>
        <w:tc>
          <w:tcPr>
            <w:tcW w:w="1320" w:type="dxa"/>
            <w:tcBorders/>
            <w:shd w:fill="CCEEFF" w:val="clear"/>
            <w:vAlign w:val="center"/>
          </w:tcPr>
          <w:p>
            <w:pPr>
              <w:pStyle w:val="TableContents"/>
              <w:bidi w:val="0"/>
              <w:spacing w:before="0" w:after="283"/>
              <w:jc w:val="right"/>
              <w:rPr>
                <w:b/>
              </w:rPr>
            </w:pPr>
            <w:r>
              <w:rPr>
                <w:b/>
              </w:rPr>
              <w:t>(891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(439,494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b/>
              </w:rPr>
            </w:pPr>
            <w:r>
              <w:rPr>
                <w:b/>
              </w:rPr>
              <w:t>$</w:t>
            </w:r>
          </w:p>
        </w:tc>
        <w:tc>
          <w:tcPr>
            <w:tcW w:w="1141" w:type="dxa"/>
            <w:tcBorders/>
            <w:shd w:fill="CCEEFF" w:val="clear"/>
            <w:vAlign w:val="center"/>
          </w:tcPr>
          <w:p>
            <w:pPr>
              <w:pStyle w:val="TableContents"/>
              <w:bidi w:val="0"/>
              <w:spacing w:before="0" w:after="283"/>
              <w:jc w:val="right"/>
              <w:rPr>
                <w:b/>
              </w:rPr>
            </w:pPr>
            <w:r>
              <w:rPr>
                <w:b/>
              </w:rPr>
              <w:t>(2,174</w:t>
            </w:r>
          </w:p>
        </w:tc>
        <w:tc>
          <w:tcPr>
            <w:tcW w:w="110" w:type="dxa"/>
            <w:tcBorders/>
            <w:shd w:fill="CCEEFF" w:val="clear"/>
            <w:vAlign w:val="center"/>
          </w:tcPr>
          <w:p>
            <w:pPr>
              <w:pStyle w:val="TableContents"/>
              <w:bidi w:val="0"/>
              <w:spacing w:before="0" w:after="283"/>
              <w:jc w:val="left"/>
              <w:rPr>
                <w:b/>
              </w:rPr>
            </w:pPr>
            <w:r>
              <w:rPr>
                <w:b/>
              </w:rPr>
              <w:t>)</w:t>
            </w:r>
            <w:bookmarkStart w:id="215" w:name="xdx_40C_eus-gaap--AdjustmentsToAdditiona"/>
            <w:bookmarkEnd w:id="215"/>
          </w:p>
        </w:tc>
      </w:tr>
      <w:tr>
        <w:trPr/>
        <w:tc>
          <w:tcPr>
            <w:tcW w:w="1520" w:type="dxa"/>
            <w:tcBorders/>
            <w:shd w:fill="FFFFFF" w:val="clear"/>
            <w:vAlign w:val="center"/>
          </w:tcPr>
          <w:p>
            <w:pPr>
              <w:pStyle w:val="TableContents"/>
              <w:bidi w:val="0"/>
              <w:spacing w:before="0" w:after="283"/>
              <w:jc w:val="left"/>
              <w:rPr/>
            </w:pPr>
            <w:r>
              <w:rPr/>
              <w:t>Expenses related to Securities Purchase Agreement In Private Placement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(344</w:t>
            </w:r>
          </w:p>
        </w:tc>
        <w:tc>
          <w:tcPr>
            <w:tcW w:w="110" w:type="dxa"/>
            <w:tcBorders/>
            <w:shd w:fill="FFFFFF" w:val="clear"/>
            <w:vAlign w:val="center"/>
          </w:tcPr>
          <w:p>
            <w:pPr>
              <w:pStyle w:val="TableContents"/>
              <w:bidi w:val="0"/>
              <w:spacing w:before="0" w:after="283"/>
              <w:jc w:val="left"/>
              <w:rPr/>
            </w:pPr>
            <w:r>
              <w:rPr/>
              <w:t>)</w:t>
            </w:r>
            <w:bookmarkStart w:id="216" w:name="xdx_40F_eus-gaap--StockIssuedDuringPerio"/>
            <w:bookmarkEnd w:id="216"/>
          </w:p>
        </w:tc>
      </w:tr>
      <w:tr>
        <w:trPr/>
        <w:tc>
          <w:tcPr>
            <w:tcW w:w="1520" w:type="dxa"/>
            <w:tcBorders/>
            <w:shd w:fill="CCEEFF" w:val="clear"/>
            <w:vAlign w:val="center"/>
          </w:tcPr>
          <w:p>
            <w:pPr>
              <w:pStyle w:val="TableContents"/>
              <w:bidi w:val="0"/>
              <w:spacing w:before="0" w:after="283"/>
              <w:jc w:val="left"/>
              <w:rPr/>
            </w:pPr>
            <w:r>
              <w:rPr/>
              <w:t>Issue of common stock on Securities Purchase Agreement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7" w:name="xdx_988_eus-gaap--StockIssuedDuringPerio"/>
            <w:bookmarkEnd w:id="217"/>
          </w:p>
        </w:tc>
        <w:tc>
          <w:tcPr>
            <w:tcW w:w="980" w:type="dxa"/>
            <w:tcBorders/>
            <w:shd w:fill="CCEEFF" w:val="clear"/>
            <w:vAlign w:val="center"/>
          </w:tcPr>
          <w:p>
            <w:pPr>
              <w:pStyle w:val="TableContents"/>
              <w:bidi w:val="0"/>
              <w:spacing w:before="0" w:after="283"/>
              <w:jc w:val="right"/>
              <w:rPr/>
            </w:pPr>
            <w:r>
              <w:rPr/>
              <w:t>1,698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(125</w:t>
            </w:r>
          </w:p>
        </w:tc>
        <w:tc>
          <w:tcPr>
            <w:tcW w:w="110" w:type="dxa"/>
            <w:tcBorders/>
            <w:shd w:fill="CCEEFF" w:val="clear"/>
            <w:vAlign w:val="center"/>
          </w:tcPr>
          <w:p>
            <w:pPr>
              <w:pStyle w:val="TableContents"/>
              <w:bidi w:val="0"/>
              <w:spacing w:before="0" w:after="283"/>
              <w:jc w:val="left"/>
              <w:rPr/>
            </w:pPr>
            <w:r>
              <w:rPr/>
              <w:t>)</w:t>
            </w:r>
            <w:bookmarkStart w:id="218" w:name="xdx_40C_ecustom--StockIssuedDuringPeriod"/>
            <w:bookmarkEnd w:id="218"/>
          </w:p>
        </w:tc>
      </w:tr>
      <w:tr>
        <w:trPr/>
        <w:tc>
          <w:tcPr>
            <w:tcW w:w="1520" w:type="dxa"/>
            <w:tcBorders/>
            <w:shd w:fill="FFFFFF" w:val="clear"/>
            <w:vAlign w:val="center"/>
          </w:tcPr>
          <w:p>
            <w:pPr>
              <w:pStyle w:val="TableContents"/>
              <w:bidi w:val="0"/>
              <w:spacing w:before="0" w:after="283"/>
              <w:jc w:val="left"/>
              <w:rPr/>
            </w:pPr>
            <w:r>
              <w:rPr/>
              <w:t>Issue of common stock on share exchange agreement to purchase Fitters Sdn. Bhd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9" w:name="xdx_984_ecustom--StockIssuedDuringPeriod"/>
            <w:bookmarkEnd w:id="219"/>
          </w:p>
        </w:tc>
        <w:tc>
          <w:tcPr>
            <w:tcW w:w="980" w:type="dxa"/>
            <w:tcBorders/>
            <w:shd w:fill="FFFFFF" w:val="clear"/>
            <w:vAlign w:val="center"/>
          </w:tcPr>
          <w:p>
            <w:pPr>
              <w:pStyle w:val="TableContents"/>
              <w:bidi w:val="0"/>
              <w:spacing w:before="0" w:after="283"/>
              <w:jc w:val="right"/>
              <w:rPr/>
            </w:pPr>
            <w:r>
              <w:rPr/>
              <w:t>699,158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4,450</w:t>
            </w:r>
          </w:p>
        </w:tc>
        <w:tc>
          <w:tcPr>
            <w:tcW w:w="110" w:type="dxa"/>
            <w:tcBorders/>
            <w:shd w:fill="FFFFFF" w:val="clear"/>
            <w:vAlign w:val="center"/>
          </w:tcPr>
          <w:p>
            <w:pPr>
              <w:pStyle w:val="TableContents"/>
              <w:bidi w:val="0"/>
              <w:spacing w:before="0" w:after="283"/>
              <w:jc w:val="left"/>
              <w:rPr/>
            </w:pPr>
            <w:r>
              <w:rPr/>
              <w:t> </w:t>
            </w:r>
            <w:bookmarkStart w:id="220" w:name="xdx_40A_ecustom--StockIssuedDuringPeriod"/>
            <w:bookmarkEnd w:id="220"/>
          </w:p>
        </w:tc>
      </w:tr>
      <w:tr>
        <w:trPr/>
        <w:tc>
          <w:tcPr>
            <w:tcW w:w="1520" w:type="dxa"/>
            <w:tcBorders/>
            <w:shd w:fill="CCEEFF" w:val="clear"/>
            <w:vAlign w:val="center"/>
          </w:tcPr>
          <w:p>
            <w:pPr>
              <w:pStyle w:val="TableContents"/>
              <w:bidi w:val="0"/>
              <w:spacing w:before="0" w:after="283"/>
              <w:jc w:val="left"/>
              <w:rPr/>
            </w:pPr>
            <w:r>
              <w:rPr/>
              <w:t>Exercise of Pre-Funded &amp; Common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1" w:name="xdx_989_ecustom--StockIssuedDuringPeriod"/>
            <w:bookmarkEnd w:id="221"/>
          </w:p>
        </w:tc>
        <w:tc>
          <w:tcPr>
            <w:tcW w:w="980" w:type="dxa"/>
            <w:tcBorders/>
            <w:shd w:fill="CCEEFF" w:val="clear"/>
            <w:vAlign w:val="center"/>
          </w:tcPr>
          <w:p>
            <w:pPr>
              <w:pStyle w:val="TableContents"/>
              <w:bidi w:val="0"/>
              <w:spacing w:before="0" w:after="283"/>
              <w:jc w:val="right"/>
              <w:rPr/>
            </w:pPr>
            <w:r>
              <w:rPr/>
              <w:t>113,479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0</w:t>
            </w:r>
          </w:p>
        </w:tc>
        <w:tc>
          <w:tcPr>
            <w:tcW w:w="110" w:type="dxa"/>
            <w:tcBorders/>
            <w:shd w:fill="CCEEFF" w:val="clear"/>
            <w:vAlign w:val="center"/>
          </w:tcPr>
          <w:p>
            <w:pPr>
              <w:pStyle w:val="TableContents"/>
              <w:bidi w:val="0"/>
              <w:spacing w:before="0" w:after="283"/>
              <w:jc w:val="left"/>
              <w:rPr/>
            </w:pPr>
            <w:r>
              <w:rPr/>
              <w:t> </w:t>
            </w:r>
            <w:bookmarkStart w:id="222" w:name="xdx_40C_ecustom--AdjustmentsToAdditional"/>
            <w:bookmarkEnd w:id="222"/>
          </w:p>
        </w:tc>
      </w:tr>
      <w:tr>
        <w:trPr/>
        <w:tc>
          <w:tcPr>
            <w:tcW w:w="1520" w:type="dxa"/>
            <w:tcBorders/>
            <w:shd w:fill="FFFFFF" w:val="clear"/>
            <w:vAlign w:val="center"/>
          </w:tcPr>
          <w:p>
            <w:pPr>
              <w:pStyle w:val="TableContents"/>
              <w:bidi w:val="0"/>
              <w:spacing w:before="0" w:after="283"/>
              <w:jc w:val="left"/>
              <w:rPr/>
            </w:pPr>
            <w:r>
              <w:rPr/>
              <w:t>Payment made under the Warrant Exchange Amendment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(1,100</w:t>
            </w:r>
          </w:p>
        </w:tc>
        <w:tc>
          <w:tcPr>
            <w:tcW w:w="110" w:type="dxa"/>
            <w:tcBorders/>
            <w:shd w:fill="FFFFFF" w:val="clear"/>
            <w:vAlign w:val="center"/>
          </w:tcPr>
          <w:p>
            <w:pPr>
              <w:pStyle w:val="TableContents"/>
              <w:bidi w:val="0"/>
              <w:spacing w:before="0" w:after="283"/>
              <w:jc w:val="left"/>
              <w:rPr/>
            </w:pPr>
            <w:r>
              <w:rPr/>
              <w:t>)</w:t>
            </w:r>
            <w:bookmarkStart w:id="223" w:name="xdx_402_ecustom--StockIssuedDuringPeriod"/>
            <w:bookmarkEnd w:id="223"/>
          </w:p>
        </w:tc>
      </w:tr>
      <w:tr>
        <w:trPr/>
        <w:tc>
          <w:tcPr>
            <w:tcW w:w="1520" w:type="dxa"/>
            <w:tcBorders/>
            <w:shd w:fill="CCEEFF" w:val="clear"/>
            <w:vAlign w:val="center"/>
          </w:tcPr>
          <w:p>
            <w:pPr>
              <w:pStyle w:val="TableContents"/>
              <w:bidi w:val="0"/>
              <w:spacing w:before="0" w:after="283"/>
              <w:jc w:val="left"/>
              <w:rPr/>
            </w:pPr>
            <w:r>
              <w:rPr/>
              <w:t>Issue of common stock on Warrant Exchange Agreements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24" w:name="xdx_98F_ecustom--StockIssuedDuringPeriod"/>
            <w:bookmarkEnd w:id="224"/>
          </w:p>
        </w:tc>
        <w:tc>
          <w:tcPr>
            <w:tcW w:w="980" w:type="dxa"/>
            <w:tcBorders/>
            <w:shd w:fill="CCEEFF" w:val="clear"/>
            <w:vAlign w:val="center"/>
          </w:tcPr>
          <w:p>
            <w:pPr>
              <w:pStyle w:val="TableContents"/>
              <w:bidi w:val="0"/>
              <w:spacing w:before="0" w:after="283"/>
              <w:jc w:val="right"/>
              <w:rPr/>
            </w:pPr>
            <w:r>
              <w:rPr/>
              <w:t>1,962,000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11,033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(11,033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bookmarkStart w:id="225" w:name="xdx_40B_eus-gaap--StockIssuedDuringPerio"/>
            <w:bookmarkEnd w:id="225"/>
          </w:p>
        </w:tc>
      </w:tr>
      <w:tr>
        <w:trPr/>
        <w:tc>
          <w:tcPr>
            <w:tcW w:w="152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6" w:name="xdx_98E_eus-gaap--StockIssuedDuringPerio"/>
            <w:bookmarkEnd w:id="226"/>
          </w:p>
        </w:tc>
        <w:tc>
          <w:tcPr>
            <w:tcW w:w="980" w:type="dxa"/>
            <w:tcBorders/>
            <w:shd w:fill="FFFFFF" w:val="clear"/>
            <w:vAlign w:val="center"/>
          </w:tcPr>
          <w:p>
            <w:pPr>
              <w:pStyle w:val="TableContents"/>
              <w:bidi w:val="0"/>
              <w:spacing w:before="0" w:after="283"/>
              <w:jc w:val="right"/>
              <w:rPr/>
            </w:pPr>
            <w:r>
              <w:rPr/>
              <w:t>500,178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2,334</w:t>
            </w:r>
          </w:p>
        </w:tc>
        <w:tc>
          <w:tcPr>
            <w:tcW w:w="110" w:type="dxa"/>
            <w:tcBorders/>
            <w:shd w:fill="FFFFFF" w:val="clear"/>
            <w:vAlign w:val="center"/>
          </w:tcPr>
          <w:p>
            <w:pPr>
              <w:pStyle w:val="TableContents"/>
              <w:bidi w:val="0"/>
              <w:spacing w:before="0" w:after="283"/>
              <w:jc w:val="left"/>
              <w:rPr/>
            </w:pPr>
            <w:r>
              <w:rPr/>
              <w:t> </w:t>
            </w:r>
            <w:bookmarkStart w:id="227" w:name="xdx_403_eus-gaap--AdjustmentsToAdditiona"/>
            <w:bookmarkEnd w:id="227"/>
          </w:p>
        </w:tc>
      </w:tr>
      <w:tr>
        <w:trPr/>
        <w:tc>
          <w:tcPr>
            <w:tcW w:w="1520" w:type="dxa"/>
            <w:tcBorders/>
            <w:shd w:fill="CCEEFF" w:val="clear"/>
            <w:vAlign w:val="center"/>
          </w:tcPr>
          <w:p>
            <w:pPr>
              <w:pStyle w:val="TableContents"/>
              <w:bidi w:val="0"/>
              <w:spacing w:before="0" w:after="283"/>
              <w:jc w:val="left"/>
              <w:rPr/>
            </w:pPr>
            <w:r>
              <w:rPr/>
              <w:t>Preferred stock dividends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(61</w:t>
            </w:r>
          </w:p>
        </w:tc>
        <w:tc>
          <w:tcPr>
            <w:tcW w:w="110" w:type="dxa"/>
            <w:tcBorders/>
            <w:shd w:fill="CCEEFF" w:val="clear"/>
            <w:vAlign w:val="center"/>
          </w:tcPr>
          <w:p>
            <w:pPr>
              <w:pStyle w:val="TableContents"/>
              <w:bidi w:val="0"/>
              <w:spacing w:before="0" w:after="283"/>
              <w:jc w:val="left"/>
              <w:rPr/>
            </w:pPr>
            <w:r>
              <w:rPr/>
              <w:t>)</w:t>
            </w:r>
            <w:bookmarkStart w:id="228" w:name="xdx_405_ecustom--StockIssuedDuringPeriod"/>
            <w:bookmarkEnd w:id="228"/>
          </w:p>
        </w:tc>
      </w:tr>
      <w:tr>
        <w:trPr/>
        <w:tc>
          <w:tcPr>
            <w:tcW w:w="1520" w:type="dxa"/>
            <w:tcBorders/>
            <w:shd w:fill="FFFFFF" w:val="clear"/>
            <w:vAlign w:val="center"/>
          </w:tcPr>
          <w:p>
            <w:pPr>
              <w:pStyle w:val="TableContents"/>
              <w:bidi w:val="0"/>
              <w:spacing w:before="0" w:after="283"/>
              <w:jc w:val="left"/>
              <w:rPr/>
            </w:pPr>
            <w:r>
              <w:rPr/>
              <w:t>Issue of Series C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9" w:name="xdx_985_ecustom--StockIssuedDuringPeriod"/>
            <w:bookmarkEnd w:id="229"/>
          </w:p>
        </w:tc>
        <w:tc>
          <w:tcPr>
            <w:tcW w:w="105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jc w:val="left"/>
              <w:rPr/>
            </w:pPr>
            <w:r>
              <w:rPr/>
              <w:t> </w:t>
            </w:r>
            <w:bookmarkStart w:id="230" w:name="xdx_407_ecustom--StockIssuedDuringPeriod"/>
            <w:bookmarkEnd w:id="230"/>
          </w:p>
        </w:tc>
      </w:tr>
      <w:tr>
        <w:trPr/>
        <w:tc>
          <w:tcPr>
            <w:tcW w:w="1520" w:type="dxa"/>
            <w:tcBorders/>
            <w:shd w:fill="CCEEFF" w:val="clear"/>
            <w:vAlign w:val="center"/>
          </w:tcPr>
          <w:p>
            <w:pPr>
              <w:pStyle w:val="TableContents"/>
              <w:bidi w:val="0"/>
              <w:spacing w:before="0" w:after="283"/>
              <w:jc w:val="left"/>
              <w:rPr/>
            </w:pPr>
            <w:r>
              <w:rPr/>
              <w:t>Series C Preferred stock conversions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1" w:name="xdx_983_ecustom--StockIssuedDuringPeriod"/>
            <w:bookmarkEnd w:id="231"/>
          </w:p>
        </w:tc>
        <w:tc>
          <w:tcPr>
            <w:tcW w:w="105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2" w:name="xdx_988_ecustom--StockIssuedDuringPeriod"/>
            <w:bookmarkEnd w:id="232"/>
          </w:p>
        </w:tc>
        <w:tc>
          <w:tcPr>
            <w:tcW w:w="980" w:type="dxa"/>
            <w:tcBorders/>
            <w:shd w:fill="CCEEFF" w:val="clear"/>
            <w:vAlign w:val="center"/>
          </w:tcPr>
          <w:p>
            <w:pPr>
              <w:pStyle w:val="TableContents"/>
              <w:bidi w:val="0"/>
              <w:spacing w:before="0" w:after="283"/>
              <w:jc w:val="right"/>
              <w:rPr/>
            </w:pPr>
            <w:r>
              <w:rPr/>
              <w:t>11,042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33" w:name="xdx_40B_ecustom--StockIssuedDuringPeriod"/>
            <w:bookmarkEnd w:id="233"/>
          </w:p>
        </w:tc>
      </w:tr>
      <w:tr>
        <w:trPr/>
        <w:tc>
          <w:tcPr>
            <w:tcW w:w="1520" w:type="dxa"/>
            <w:tcBorders/>
            <w:shd w:fill="FFFFFF" w:val="clear"/>
            <w:vAlign w:val="center"/>
          </w:tcPr>
          <w:p>
            <w:pPr>
              <w:pStyle w:val="TableContents"/>
              <w:bidi w:val="0"/>
              <w:spacing w:before="0" w:after="283"/>
              <w:jc w:val="left"/>
              <w:rPr/>
            </w:pPr>
            <w:r>
              <w:rPr/>
              <w:t>Issue of Series D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4" w:name="xdx_980_ecustom--StockIssuedDuringPeriod"/>
            <w:bookmarkEnd w:id="234"/>
          </w:p>
        </w:tc>
        <w:tc>
          <w:tcPr>
            <w:tcW w:w="1055" w:type="dxa"/>
            <w:tcBorders/>
            <w:shd w:fill="FFFFFF" w:val="clear"/>
            <w:vAlign w:val="center"/>
          </w:tcPr>
          <w:p>
            <w:pPr>
              <w:pStyle w:val="TableContents"/>
              <w:bidi w:val="0"/>
              <w:spacing w:before="0" w:after="283"/>
              <w:jc w:val="right"/>
              <w:rPr/>
            </w:pPr>
            <w:r>
              <w:rPr/>
              <w:t>2,100,000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1,892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1,894</w:t>
            </w:r>
          </w:p>
        </w:tc>
        <w:tc>
          <w:tcPr>
            <w:tcW w:w="110" w:type="dxa"/>
            <w:tcBorders/>
            <w:shd w:fill="FFFFFF" w:val="clear"/>
            <w:vAlign w:val="center"/>
          </w:tcPr>
          <w:p>
            <w:pPr>
              <w:pStyle w:val="TableContents"/>
              <w:bidi w:val="0"/>
              <w:spacing w:before="0" w:after="283"/>
              <w:jc w:val="left"/>
              <w:rPr/>
            </w:pPr>
            <w:r>
              <w:rPr/>
              <w:t> </w:t>
            </w:r>
            <w:bookmarkStart w:id="235" w:name="xdx_404_ecustom--StockIssuedDuringPeriod"/>
            <w:bookmarkEnd w:id="235"/>
          </w:p>
        </w:tc>
      </w:tr>
      <w:tr>
        <w:trPr/>
        <w:tc>
          <w:tcPr>
            <w:tcW w:w="1520" w:type="dxa"/>
            <w:tcBorders/>
            <w:shd w:fill="CCEEFF" w:val="clear"/>
            <w:vAlign w:val="center"/>
          </w:tcPr>
          <w:p>
            <w:pPr>
              <w:pStyle w:val="TableContents"/>
              <w:bidi w:val="0"/>
              <w:spacing w:before="0" w:after="283"/>
              <w:jc w:val="left"/>
              <w:rPr/>
            </w:pPr>
            <w:r>
              <w:rPr/>
              <w:t>Series D Preferred stock conversions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6" w:name="xdx_981_ecustom--StockIssuedDuringPeriod"/>
            <w:bookmarkEnd w:id="236"/>
          </w:p>
        </w:tc>
        <w:tc>
          <w:tcPr>
            <w:tcW w:w="1055" w:type="dxa"/>
            <w:tcBorders/>
            <w:shd w:fill="CCEEFF" w:val="clear"/>
            <w:vAlign w:val="center"/>
          </w:tcPr>
          <w:p>
            <w:pPr>
              <w:pStyle w:val="TableContents"/>
              <w:bidi w:val="0"/>
              <w:spacing w:before="0" w:after="283"/>
              <w:jc w:val="right"/>
              <w:rPr/>
            </w:pPr>
            <w:r>
              <w:rPr/>
              <w:t>(2,100,000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37" w:name="xdx_98A_ecustom--StockIssuedDuringPeriod"/>
            <w:bookmarkEnd w:id="237"/>
          </w:p>
        </w:tc>
        <w:tc>
          <w:tcPr>
            <w:tcW w:w="980" w:type="dxa"/>
            <w:tcBorders/>
            <w:shd w:fill="CCEEFF" w:val="clear"/>
            <w:vAlign w:val="center"/>
          </w:tcPr>
          <w:p>
            <w:pPr>
              <w:pStyle w:val="TableContents"/>
              <w:bidi w:val="0"/>
              <w:spacing w:before="0" w:after="283"/>
              <w:jc w:val="right"/>
              <w:rPr/>
            </w:pPr>
            <w:r>
              <w:rPr/>
              <w:t>962,500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w:t>
            </w:r>
            <w:bookmarkStart w:id="238" w:name="xdx_401_ecustom--StockIssuedDuringPeriod"/>
            <w:bookmarkEnd w:id="238"/>
          </w:p>
        </w:tc>
      </w:tr>
      <w:tr>
        <w:trPr/>
        <w:tc>
          <w:tcPr>
            <w:tcW w:w="1520" w:type="dxa"/>
            <w:tcBorders/>
            <w:shd w:fill="FFFFFF" w:val="clear"/>
            <w:vAlign w:val="center"/>
          </w:tcPr>
          <w:p>
            <w:pPr>
              <w:pStyle w:val="TableContents"/>
              <w:bidi w:val="0"/>
              <w:spacing w:before="0" w:after="283"/>
              <w:jc w:val="left"/>
              <w:rPr/>
            </w:pPr>
            <w:r>
              <w:rPr/>
              <w:t>Issue of Series 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39" w:name="xdx_985_ecustom--StockIssuedDuringPeriod"/>
            <w:bookmarkEnd w:id="239"/>
          </w:p>
        </w:tc>
        <w:tc>
          <w:tcPr>
            <w:tcW w:w="1055"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1,000</w:t>
            </w:r>
          </w:p>
        </w:tc>
        <w:tc>
          <w:tcPr>
            <w:tcW w:w="110" w:type="dxa"/>
            <w:tcBorders/>
            <w:shd w:fill="FFFFFF" w:val="clear"/>
            <w:vAlign w:val="center"/>
          </w:tcPr>
          <w:p>
            <w:pPr>
              <w:pStyle w:val="TableContents"/>
              <w:bidi w:val="0"/>
              <w:spacing w:before="0" w:after="283"/>
              <w:jc w:val="left"/>
              <w:rPr/>
            </w:pPr>
            <w:r>
              <w:rPr/>
              <w:t> </w:t>
            </w:r>
            <w:bookmarkStart w:id="240" w:name="xdx_40D_ecustom--StockIssuedDuringPeriod"/>
            <w:bookmarkEnd w:id="240"/>
          </w:p>
        </w:tc>
      </w:tr>
      <w:tr>
        <w:trPr/>
        <w:tc>
          <w:tcPr>
            <w:tcW w:w="1520" w:type="dxa"/>
            <w:tcBorders/>
            <w:shd w:fill="CCEEFF" w:val="clear"/>
            <w:vAlign w:val="center"/>
          </w:tcPr>
          <w:p>
            <w:pPr>
              <w:pStyle w:val="TableContents"/>
              <w:bidi w:val="0"/>
              <w:spacing w:before="0" w:after="283"/>
              <w:jc w:val="left"/>
              <w:rPr/>
            </w:pPr>
            <w:r>
              <w:rPr/>
              <w:t>Series E Preferred stock conversions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1" w:name="xdx_988_ecustom--StockIssuedDuringPeriod"/>
            <w:bookmarkEnd w:id="241"/>
          </w:p>
        </w:tc>
        <w:tc>
          <w:tcPr>
            <w:tcW w:w="105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2" w:name="xdx_980_ecustom--StockIssuedDuringPeriod"/>
            <w:bookmarkEnd w:id="242"/>
          </w:p>
        </w:tc>
        <w:tc>
          <w:tcPr>
            <w:tcW w:w="980" w:type="dxa"/>
            <w:tcBorders/>
            <w:shd w:fill="CCEEFF" w:val="clear"/>
            <w:vAlign w:val="center"/>
          </w:tcPr>
          <w:p>
            <w:pPr>
              <w:pStyle w:val="TableContents"/>
              <w:bidi w:val="0"/>
              <w:spacing w:before="0" w:after="283"/>
              <w:jc w:val="right"/>
              <w:rPr/>
            </w:pPr>
            <w:r>
              <w:rPr/>
              <w:t>458,333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w:t>
            </w:r>
            <w:bookmarkStart w:id="243" w:name="xdx_401_ecustom--StockIssuedDuringPeriod"/>
            <w:bookmarkEnd w:id="243"/>
          </w:p>
        </w:tc>
      </w:tr>
      <w:tr>
        <w:trPr/>
        <w:tc>
          <w:tcPr>
            <w:tcW w:w="1520" w:type="dxa"/>
            <w:tcBorders/>
            <w:shd w:fill="FFFFFF" w:val="clear"/>
            <w:vAlign w:val="center"/>
          </w:tcPr>
          <w:p>
            <w:pPr>
              <w:pStyle w:val="TableContents"/>
              <w:bidi w:val="0"/>
              <w:spacing w:before="0" w:after="283"/>
              <w:jc w:val="left"/>
              <w:rPr/>
            </w:pPr>
            <w:r>
              <w:rPr/>
              <w:t>Issue of Series F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44" w:name="xdx_980_ecustom--StockIssuedDuringPeriod"/>
            <w:bookmarkEnd w:id="244"/>
          </w:p>
        </w:tc>
        <w:tc>
          <w:tcPr>
            <w:tcW w:w="1055" w:type="dxa"/>
            <w:tcBorders/>
            <w:shd w:fill="FFFFFF" w:val="clear"/>
            <w:vAlign w:val="center"/>
          </w:tcPr>
          <w:p>
            <w:pPr>
              <w:pStyle w:val="TableContents"/>
              <w:bidi w:val="0"/>
              <w:spacing w:before="0" w:after="283"/>
              <w:jc w:val="right"/>
              <w:rPr/>
            </w:pPr>
            <w:r>
              <w:rPr/>
              <w:t>3,000,000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3,000</w:t>
            </w:r>
          </w:p>
        </w:tc>
        <w:tc>
          <w:tcPr>
            <w:tcW w:w="110" w:type="dxa"/>
            <w:tcBorders/>
            <w:shd w:fill="FFFFFF" w:val="clear"/>
            <w:vAlign w:val="center"/>
          </w:tcPr>
          <w:p>
            <w:pPr>
              <w:pStyle w:val="TableContents"/>
              <w:bidi w:val="0"/>
              <w:spacing w:before="0" w:after="283"/>
              <w:jc w:val="left"/>
              <w:rPr/>
            </w:pPr>
            <w:r>
              <w:rPr/>
              <w:t> </w:t>
            </w:r>
            <w:bookmarkStart w:id="245" w:name="xdx_401_ecustom--StockIssuedDuringPeriod"/>
            <w:bookmarkEnd w:id="245"/>
          </w:p>
        </w:tc>
      </w:tr>
      <w:tr>
        <w:trPr/>
        <w:tc>
          <w:tcPr>
            <w:tcW w:w="1520" w:type="dxa"/>
            <w:tcBorders/>
            <w:shd w:fill="CCEEFF" w:val="clear"/>
            <w:vAlign w:val="center"/>
          </w:tcPr>
          <w:p>
            <w:pPr>
              <w:pStyle w:val="TableContents"/>
              <w:bidi w:val="0"/>
              <w:spacing w:before="0" w:after="283"/>
              <w:jc w:val="left"/>
              <w:rPr/>
            </w:pPr>
            <w:r>
              <w:rPr/>
              <w:t>Series F Preferred stock conversions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6" w:name="xdx_98C_ecustom--StockIssuedDuringPeriod"/>
            <w:bookmarkEnd w:id="246"/>
          </w:p>
        </w:tc>
        <w:tc>
          <w:tcPr>
            <w:tcW w:w="1055" w:type="dxa"/>
            <w:tcBorders/>
            <w:shd w:fill="CCEEFF" w:val="clear"/>
            <w:vAlign w:val="center"/>
          </w:tcPr>
          <w:p>
            <w:pPr>
              <w:pStyle w:val="TableContents"/>
              <w:bidi w:val="0"/>
              <w:spacing w:before="0" w:after="283"/>
              <w:jc w:val="right"/>
              <w:rPr/>
            </w:pPr>
            <w:r>
              <w:rPr/>
              <w:t>(3,000,000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47" w:name="xdx_983_ecustom--StockIssuedDuringPeriod"/>
            <w:bookmarkEnd w:id="247"/>
          </w:p>
        </w:tc>
        <w:tc>
          <w:tcPr>
            <w:tcW w:w="980" w:type="dxa"/>
            <w:tcBorders/>
            <w:shd w:fill="CCEEFF" w:val="clear"/>
            <w:vAlign w:val="center"/>
          </w:tcPr>
          <w:p>
            <w:pPr>
              <w:pStyle w:val="TableContents"/>
              <w:bidi w:val="0"/>
              <w:spacing w:before="0" w:after="283"/>
              <w:jc w:val="right"/>
              <w:rPr/>
            </w:pPr>
            <w:r>
              <w:rPr/>
              <w:t>654,000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w:t>
            </w:r>
            <w:bookmarkStart w:id="248" w:name="xdx_409_ecustom--StockIssuedDuringPeriod"/>
            <w:bookmarkEnd w:id="248"/>
          </w:p>
        </w:tc>
      </w:tr>
      <w:tr>
        <w:trPr/>
        <w:tc>
          <w:tcPr>
            <w:tcW w:w="1520" w:type="dxa"/>
            <w:tcBorders/>
            <w:shd w:fill="FFFFFF" w:val="clear"/>
            <w:vAlign w:val="center"/>
          </w:tcPr>
          <w:p>
            <w:pPr>
              <w:pStyle w:val="TableContents"/>
              <w:bidi w:val="0"/>
              <w:spacing w:before="0" w:after="283"/>
              <w:jc w:val="left"/>
              <w:rPr/>
            </w:pPr>
            <w:r>
              <w:rPr/>
              <w:t>Cancellation of fraction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49" w:name="xdx_983_ecustom--StockIssuedDuringPeriod"/>
            <w:bookmarkEnd w:id="249"/>
          </w:p>
        </w:tc>
        <w:tc>
          <w:tcPr>
            <w:tcW w:w="980" w:type="dxa"/>
            <w:tcBorders/>
            <w:shd w:fill="FFFFFF" w:val="clear"/>
            <w:vAlign w:val="center"/>
          </w:tcPr>
          <w:p>
            <w:pPr>
              <w:pStyle w:val="TableContents"/>
              <w:bidi w:val="0"/>
              <w:spacing w:before="0" w:after="283"/>
              <w:jc w:val="right"/>
              <w:rPr/>
            </w:pPr>
            <w:r>
              <w:rPr/>
              <w:t>1,019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50" w:name="xdx_407_ecustom--OtherComprehensiveIncom"/>
            <w:bookmarkEnd w:id="250"/>
          </w:p>
        </w:tc>
      </w:tr>
      <w:tr>
        <w:trPr/>
        <w:tc>
          <w:tcPr>
            <w:tcW w:w="1520" w:type="dxa"/>
            <w:tcBorders/>
            <w:shd w:fill="CCEEFF" w:val="clear"/>
            <w:vAlign w:val="center"/>
          </w:tcPr>
          <w:p>
            <w:pPr>
              <w:pStyle w:val="TableContents"/>
              <w:bidi w:val="0"/>
              <w:spacing w:before="0" w:after="283"/>
              <w:jc w:val="left"/>
              <w:rPr/>
            </w:pPr>
            <w:r>
              <w:rPr/>
              <w:t>Unrealized foreign exchange on intercompany loans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(2,380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(2,380</w:t>
            </w:r>
          </w:p>
        </w:tc>
        <w:tc>
          <w:tcPr>
            <w:tcW w:w="110" w:type="dxa"/>
            <w:tcBorders/>
            <w:shd w:fill="CCEEFF" w:val="clear"/>
            <w:vAlign w:val="center"/>
          </w:tcPr>
          <w:p>
            <w:pPr>
              <w:pStyle w:val="TableContents"/>
              <w:bidi w:val="0"/>
              <w:spacing w:before="0" w:after="283"/>
              <w:jc w:val="left"/>
              <w:rPr/>
            </w:pPr>
            <w:r>
              <w:rPr/>
              <w:t>)</w:t>
            </w:r>
            <w:bookmarkStart w:id="251" w:name="xdx_407_eus-gaap--OtherComprehensiveInco"/>
            <w:bookmarkEnd w:id="251"/>
          </w:p>
        </w:tc>
      </w:tr>
      <w:tr>
        <w:trPr/>
        <w:tc>
          <w:tcPr>
            <w:tcW w:w="1520" w:type="dxa"/>
            <w:tcBorders/>
            <w:shd w:fill="FFFFFF" w:val="clear"/>
            <w:vAlign w:val="center"/>
          </w:tcPr>
          <w:p>
            <w:pPr>
              <w:pStyle w:val="TableContents"/>
              <w:bidi w:val="0"/>
              <w:spacing w:before="0" w:after="283"/>
              <w:jc w:val="left"/>
              <w:rPr/>
            </w:pPr>
            <w:r>
              <w:rPr/>
              <w:t>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320" w:type="dxa"/>
            <w:tcBorders/>
            <w:shd w:fill="FFFFFF" w:val="clear"/>
            <w:vAlign w:val="center"/>
          </w:tcPr>
          <w:p>
            <w:pPr>
              <w:pStyle w:val="TableContents"/>
              <w:bidi w:val="0"/>
              <w:spacing w:before="0" w:after="283"/>
              <w:jc w:val="right"/>
              <w:rPr/>
            </w:pPr>
            <w:r>
              <w:rPr/>
              <w:t>2,346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2,346</w:t>
            </w:r>
          </w:p>
        </w:tc>
        <w:tc>
          <w:tcPr>
            <w:tcW w:w="110" w:type="dxa"/>
            <w:tcBorders/>
            <w:shd w:fill="FFFFFF" w:val="clear"/>
            <w:vAlign w:val="center"/>
          </w:tcPr>
          <w:p>
            <w:pPr>
              <w:pStyle w:val="TableContents"/>
              <w:bidi w:val="0"/>
              <w:spacing w:before="0" w:after="283"/>
              <w:jc w:val="left"/>
              <w:rPr/>
            </w:pPr>
            <w:r>
              <w:rPr/>
              <w:t> </w:t>
            </w:r>
            <w:bookmarkStart w:id="252" w:name="xdx_406_ecustom--ReclassificationOfAccum"/>
            <w:bookmarkEnd w:id="252"/>
          </w:p>
        </w:tc>
      </w:tr>
      <w:tr>
        <w:trPr/>
        <w:tc>
          <w:tcPr>
            <w:tcW w:w="1520" w:type="dxa"/>
            <w:tcBorders/>
            <w:shd w:fill="CCEEFF" w:val="clear"/>
            <w:vAlign w:val="center"/>
          </w:tcPr>
          <w:p>
            <w:pPr>
              <w:pStyle w:val="TableContents"/>
              <w:bidi w:val="0"/>
              <w:spacing w:before="0" w:after="283"/>
              <w:jc w:val="left"/>
              <w:rPr/>
            </w:pPr>
            <w:r>
              <w:rPr/>
              <w:t>Reclassification of accumulated translation adjustments upon deconsolidation of subsidiary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(886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53" w:name="xdx_40A_eus-gaap--NetIncomeLoss_zjHyisWw"/>
            <w:bookmarkEnd w:id="253"/>
          </w:p>
        </w:tc>
      </w:tr>
      <w:tr>
        <w:trPr/>
        <w:tc>
          <w:tcPr>
            <w:tcW w:w="152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pPr>
            <w:r>
              <w:rPr/>
              <w:t>(2,998</w:t>
            </w:r>
          </w:p>
        </w:tc>
        <w:tc>
          <w:tcPr>
            <w:tcW w:w="110" w:type="dxa"/>
            <w:tcBorders/>
            <w:shd w:fill="FFFFFF" w:val="clear"/>
            <w:vAlign w:val="center"/>
          </w:tcPr>
          <w:p>
            <w:pPr>
              <w:pStyle w:val="TableContents"/>
              <w:bidi w:val="0"/>
              <w:spacing w:before="0" w:after="283"/>
              <w:jc w:val="left"/>
              <w:rPr/>
            </w:pPr>
            <w:r>
              <w:rPr/>
              <w:t>)</w:t>
            </w:r>
            <w:bookmarkStart w:id="254" w:name="xdx_430_c20250101__20251231_eus-gaap--St"/>
            <w:bookmarkEnd w:id="254"/>
          </w:p>
        </w:tc>
      </w:tr>
      <w:tr>
        <w:trPr/>
        <w:tc>
          <w:tcPr>
            <w:tcW w:w="1520" w:type="dxa"/>
            <w:tcBorders/>
            <w:shd w:fill="CCEEFF" w:val="clear"/>
            <w:vAlign w:val="center"/>
          </w:tcPr>
          <w:p>
            <w:pPr>
              <w:pStyle w:val="TableContents"/>
              <w:bidi w:val="0"/>
              <w:spacing w:before="0" w:after="283"/>
              <w:jc w:val="left"/>
              <w:rPr>
                <w:b/>
              </w:rPr>
            </w:pPr>
            <w:r>
              <w:rPr>
                <w:b/>
              </w:rPr>
              <w:t>Balances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55" w:name="xdx_989_eus-gaap--SharesOutstanding_iE_p"/>
            <w:bookmarkEnd w:id="255"/>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56" w:name="xdx_980_eus-gaap--SharesOutstanding_iE_p"/>
            <w:bookmarkEnd w:id="256"/>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5,400,320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(454,411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4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6,842</w:t>
            </w:r>
          </w:p>
        </w:tc>
        <w:tc>
          <w:tcPr>
            <w:tcW w:w="110" w:type="dxa"/>
            <w:tcBorders/>
            <w:shd w:fill="CCEEFF" w:val="clear"/>
            <w:vAlign w:val="center"/>
          </w:tcPr>
          <w:p>
            <w:pPr>
              <w:pStyle w:val="TableContents"/>
              <w:bidi w:val="0"/>
              <w:spacing w:before="0" w:after="283"/>
              <w:jc w:val="left"/>
              <w:rPr/>
            </w:pPr>
            <w:r>
              <w:rPr/>
              <w:t> </w:t>
            </w:r>
            <w:bookmarkStart w:id="257" w:name="xdx_43C_c20250101__20251231_eus-gaap--St"/>
            <w:bookmarkEnd w:id="257"/>
          </w:p>
        </w:tc>
      </w:tr>
      <w:tr>
        <w:trPr/>
        <w:tc>
          <w:tcPr>
            <w:tcW w:w="1520"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58" w:name="xdx_986_eus-gaap--SharesOutstanding_iE_p"/>
            <w:bookmarkEnd w:id="258"/>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135,537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59" w:name="xdx_98E_eus-gaap--SharesOutstanding_iE_p"/>
            <w:bookmarkEnd w:id="259"/>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5,400,320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461,287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(454,411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4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6,842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0" w:name="sp_006"/>
      <w:bookmarkEnd w:id="260"/>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61" w:name="xdx_301_112_pn3n3_z6dTQCwXijPj"/>
      <w:bookmarkStart w:id="262" w:name="xdx_301_112_pn3n3_z6dTQCwXijPj"/>
      <w:bookmarkEnd w:id="262"/>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63" w:name="xdx_494_20250101__20251231_zlfGzt1JIzcl"/>
            <w:bookmarkEnd w:id="263"/>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64" w:name="xdx_49D_20240101__20241231_zMHMqZfHfGug"/>
            <w:bookmarkEnd w:id="264"/>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265" w:name="xdx_40B_eus-gaap--NetCashProvidedByUsedI"/>
            <w:bookmarkEnd w:id="265"/>
          </w:p>
        </w:tc>
      </w:tr>
      <w:tr>
        <w:trPr/>
        <w:tc>
          <w:tcPr>
            <w:tcW w:w="8090"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6" w:name="xdx_407_eus-gaap--NetIncomeLoss_i01_maNC"/>
            <w:bookmarkEnd w:id="266"/>
          </w:p>
        </w:tc>
      </w:tr>
      <w:tr>
        <w:trPr/>
        <w:tc>
          <w:tcPr>
            <w:tcW w:w="80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bookmarkStart w:id="267" w:name="xdx_401_eus-gaap--AdjustmentsToReconcile"/>
            <w:bookmarkEnd w:id="267"/>
          </w:p>
        </w:tc>
      </w:tr>
      <w:tr>
        <w:trPr/>
        <w:tc>
          <w:tcPr>
            <w:tcW w:w="809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8" w:name="xdx_40E_eus-gaap--Depreciation_i02_maNCP"/>
            <w:bookmarkEnd w:id="268"/>
          </w:p>
        </w:tc>
      </w:tr>
      <w:tr>
        <w:trPr/>
        <w:tc>
          <w:tcPr>
            <w:tcW w:w="809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jc w:val="left"/>
              <w:rPr/>
            </w:pPr>
            <w:r>
              <w:rPr/>
              <w:t> </w:t>
            </w:r>
            <w:bookmarkStart w:id="269" w:name="xdx_402_ecustom--GainOnDeconsolidationOf"/>
            <w:bookmarkEnd w:id="269"/>
          </w:p>
        </w:tc>
      </w:tr>
      <w:tr>
        <w:trPr/>
        <w:tc>
          <w:tcPr>
            <w:tcW w:w="8090" w:type="dxa"/>
            <w:tcBorders/>
            <w:shd w:fill="CCEEFF" w:val="clear"/>
            <w:vAlign w:val="center"/>
          </w:tcPr>
          <w:p>
            <w:pPr>
              <w:pStyle w:val="TableContents"/>
              <w:bidi w:val="0"/>
              <w:spacing w:before="0" w:after="283"/>
              <w:jc w:val="left"/>
              <w:rPr/>
            </w:pPr>
            <w:r>
              <w:rPr/>
              <w:t>Gain on deconsolidation of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70" w:name="xdx_405_eus-gaap--ShareBasedCompensation"/>
            <w:bookmarkEnd w:id="270"/>
          </w:p>
        </w:tc>
      </w:tr>
      <w:tr>
        <w:trPr/>
        <w:tc>
          <w:tcPr>
            <w:tcW w:w="809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592</w:t>
            </w:r>
          </w:p>
        </w:tc>
        <w:tc>
          <w:tcPr>
            <w:tcW w:w="110" w:type="dxa"/>
            <w:tcBorders/>
            <w:shd w:fill="FFFFFF" w:val="clear"/>
            <w:vAlign w:val="center"/>
          </w:tcPr>
          <w:p>
            <w:pPr>
              <w:pStyle w:val="TableContents"/>
              <w:bidi w:val="0"/>
              <w:spacing w:before="0" w:after="283"/>
              <w:jc w:val="left"/>
              <w:rPr/>
            </w:pPr>
            <w:r>
              <w:rPr/>
              <w:t> </w:t>
            </w:r>
            <w:bookmarkStart w:id="271" w:name="xdx_40E_eus-gaap--IncreaseDecreaseInOper"/>
            <w:bookmarkEnd w:id="271"/>
          </w:p>
        </w:tc>
      </w:tr>
      <w:tr>
        <w:trPr/>
        <w:tc>
          <w:tcPr>
            <w:tcW w:w="8090" w:type="dxa"/>
            <w:tcBorders/>
            <w:shd w:fill="CCEEFF" w:val="clear"/>
            <w:vAlign w:val="center"/>
          </w:tcPr>
          <w:p>
            <w:pPr>
              <w:pStyle w:val="TableContents"/>
              <w:bidi w:val="0"/>
              <w:spacing w:before="0" w:after="283"/>
              <w:jc w:val="left"/>
              <w:rPr/>
            </w:pPr>
            <w:r>
              <w:rPr/>
              <w:t>Changes in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w:t>
            </w:r>
          </w:p>
        </w:tc>
        <w:tc>
          <w:tcPr>
            <w:tcW w:w="110" w:type="dxa"/>
            <w:tcBorders/>
            <w:shd w:fill="CCEEFF" w:val="clear"/>
            <w:vAlign w:val="center"/>
          </w:tcPr>
          <w:p>
            <w:pPr>
              <w:pStyle w:val="TableContents"/>
              <w:bidi w:val="0"/>
              <w:spacing w:before="0" w:after="283"/>
              <w:jc w:val="left"/>
              <w:rPr/>
            </w:pPr>
            <w:r>
              <w:rPr/>
              <w:t>)</w:t>
            </w:r>
            <w:bookmarkStart w:id="272" w:name="xdx_40C_eus-gaap--IncreaseDecreaseInOper"/>
            <w:bookmarkEnd w:id="272"/>
          </w:p>
        </w:tc>
      </w:tr>
      <w:tr>
        <w:trPr/>
        <w:tc>
          <w:tcPr>
            <w:tcW w:w="809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73" w:name="xdx_40C_eus-gaap--IncreaseDecreaseInAcco"/>
            <w:bookmarkEnd w:id="273"/>
          </w:p>
        </w:tc>
      </w:tr>
      <w:tr>
        <w:trPr/>
        <w:tc>
          <w:tcPr>
            <w:tcW w:w="8090"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74" w:name="xdx_400_eus-gaap--IncreaseDecreaseInInve"/>
            <w:bookmarkEnd w:id="274"/>
          </w:p>
        </w:tc>
      </w:tr>
      <w:tr>
        <w:trPr/>
        <w:tc>
          <w:tcPr>
            <w:tcW w:w="809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75" w:name="xdx_409_ecustom--IncreaseDecreaseInPrepa"/>
            <w:bookmarkEnd w:id="275"/>
          </w:p>
        </w:tc>
      </w:tr>
      <w:tr>
        <w:trPr/>
        <w:tc>
          <w:tcPr>
            <w:tcW w:w="8090"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4,472</w:t>
            </w:r>
          </w:p>
        </w:tc>
        <w:tc>
          <w:tcPr>
            <w:tcW w:w="110" w:type="dxa"/>
            <w:tcBorders/>
            <w:shd w:fill="CCEEFF" w:val="clear"/>
            <w:vAlign w:val="center"/>
          </w:tcPr>
          <w:p>
            <w:pPr>
              <w:pStyle w:val="TableContents"/>
              <w:bidi w:val="0"/>
              <w:spacing w:before="0" w:after="283"/>
              <w:jc w:val="left"/>
              <w:rPr/>
            </w:pPr>
            <w:r>
              <w:rPr/>
              <w:t> </w:t>
            </w:r>
            <w:bookmarkStart w:id="276" w:name="xdx_40E_eus-gaap--IncreaseDecreaseInAcco"/>
            <w:bookmarkEnd w:id="276"/>
          </w:p>
        </w:tc>
      </w:tr>
      <w:tr>
        <w:trPr/>
        <w:tc>
          <w:tcPr>
            <w:tcW w:w="8090" w:type="dxa"/>
            <w:tcBorders/>
            <w:shd w:fill="FFFFFF" w:val="clear"/>
            <w:vAlign w:val="center"/>
          </w:tcPr>
          <w:p>
            <w:pPr>
              <w:pStyle w:val="TableContents"/>
              <w:bidi w:val="0"/>
              <w:spacing w:before="0" w:after="283"/>
              <w:jc w:val="left"/>
              <w:rPr/>
            </w:pPr>
            <w:r>
              <w:rPr/>
              <w:t>Accounts payable, 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(10,506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(1,811</w:t>
            </w:r>
          </w:p>
        </w:tc>
        <w:tc>
          <w:tcPr>
            <w:tcW w:w="110" w:type="dxa"/>
            <w:tcBorders/>
            <w:shd w:fill="FFFFFF" w:val="clear"/>
            <w:vAlign w:val="center"/>
          </w:tcPr>
          <w:p>
            <w:pPr>
              <w:pStyle w:val="TableContents"/>
              <w:bidi w:val="0"/>
              <w:spacing w:before="0" w:after="283"/>
              <w:jc w:val="left"/>
              <w:rPr/>
            </w:pPr>
            <w:r>
              <w:rPr/>
              <w:t>)</w:t>
            </w:r>
            <w:bookmarkStart w:id="277" w:name="xdx_40A_eus-gaap--NetCashProvidedByUsedI"/>
            <w:bookmarkEnd w:id="277"/>
          </w:p>
        </w:tc>
      </w:tr>
      <w:tr>
        <w:trPr/>
        <w:tc>
          <w:tcPr>
            <w:tcW w:w="80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(4,770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(7,990</w:t>
            </w:r>
          </w:p>
        </w:tc>
        <w:tc>
          <w:tcPr>
            <w:tcW w:w="110" w:type="dxa"/>
            <w:tcBorders/>
            <w:shd w:fill="CCEEFF" w:val="clear"/>
            <w:vAlign w:val="center"/>
          </w:tcPr>
          <w:p>
            <w:pPr>
              <w:pStyle w:val="TableContents"/>
              <w:bidi w:val="0"/>
              <w:spacing w:before="0" w:after="283"/>
              <w:jc w:val="left"/>
              <w:rPr/>
            </w:pPr>
            <w:r>
              <w:rPr/>
              <w:t>)</w:t>
            </w:r>
            <w:bookmarkStart w:id="278" w:name="xdx_401_eus-gaap--NetCashProvidedByUsedI"/>
            <w:bookmarkEnd w:id="278"/>
          </w:p>
        </w:tc>
      </w:tr>
      <w:tr>
        <w:trPr/>
        <w:tc>
          <w:tcPr>
            <w:tcW w:w="8090"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79" w:name="xdx_405_eus-gaap--PaymentsToAcquirePrope"/>
            <w:bookmarkEnd w:id="279"/>
          </w:p>
        </w:tc>
      </w:tr>
      <w:tr>
        <w:trPr/>
        <w:tc>
          <w:tcPr>
            <w:tcW w:w="8090" w:type="dxa"/>
            <w:tcBorders/>
            <w:shd w:fill="CCEEFF" w:val="clear"/>
            <w:vAlign w:val="center"/>
          </w:tcPr>
          <w:p>
            <w:pPr>
              <w:pStyle w:val="TableContents"/>
              <w:bidi w:val="0"/>
              <w:spacing w:before="0" w:after="283"/>
              <w:jc w:val="left"/>
              <w:rPr/>
            </w:pPr>
            <w:r>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80" w:name="xdx_409_eus-gaap--NetCashProvidedByUsedI"/>
            <w:bookmarkEnd w:id="280"/>
          </w:p>
        </w:tc>
      </w:tr>
      <w:tr>
        <w:trPr/>
        <w:tc>
          <w:tcPr>
            <w:tcW w:w="80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81" w:name="xdx_401_eus-gaap--NetCashProvidedByUsedI"/>
            <w:bookmarkEnd w:id="281"/>
          </w:p>
        </w:tc>
      </w:tr>
      <w:tr>
        <w:trPr/>
        <w:tc>
          <w:tcPr>
            <w:tcW w:w="8090"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82" w:name="xdx_406_eus-gaap--ProceedsFromIssuanceOr"/>
            <w:bookmarkEnd w:id="282"/>
          </w:p>
        </w:tc>
      </w:tr>
      <w:tr>
        <w:trPr/>
        <w:tc>
          <w:tcPr>
            <w:tcW w:w="8090" w:type="dxa"/>
            <w:tcBorders/>
            <w:shd w:fill="FFFFFF" w:val="clear"/>
            <w:vAlign w:val="center"/>
          </w:tcPr>
          <w:p>
            <w:pPr>
              <w:pStyle w:val="TableContents"/>
              <w:bidi w:val="0"/>
              <w:spacing w:before="0" w:after="283"/>
              <w:jc w:val="left"/>
              <w:rPr/>
            </w:pPr>
            <w:r>
              <w:rPr/>
              <w:t>Proceeds, net of issuance costs, from issuing common stock and pre-funded warrants,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6,209</w:t>
            </w:r>
          </w:p>
        </w:tc>
        <w:tc>
          <w:tcPr>
            <w:tcW w:w="110" w:type="dxa"/>
            <w:tcBorders/>
            <w:shd w:fill="FFFFFF" w:val="clear"/>
            <w:vAlign w:val="center"/>
          </w:tcPr>
          <w:p>
            <w:pPr>
              <w:pStyle w:val="TableContents"/>
              <w:bidi w:val="0"/>
              <w:spacing w:before="0" w:after="283"/>
              <w:jc w:val="left"/>
              <w:rPr/>
            </w:pPr>
            <w:r>
              <w:rPr/>
              <w:t> </w:t>
            </w:r>
            <w:bookmarkStart w:id="283" w:name="xdx_402_ecustom--PaymentMadeUnderWarrant"/>
            <w:bookmarkEnd w:id="283"/>
          </w:p>
        </w:tc>
      </w:tr>
      <w:tr>
        <w:trPr/>
        <w:tc>
          <w:tcPr>
            <w:tcW w:w="8090" w:type="dxa"/>
            <w:tcBorders/>
            <w:shd w:fill="CCEEFF" w:val="clear"/>
            <w:vAlign w:val="center"/>
          </w:tcPr>
          <w:p>
            <w:pPr>
              <w:pStyle w:val="TableContents"/>
              <w:bidi w:val="0"/>
              <w:spacing w:before="0" w:after="283"/>
              <w:jc w:val="left"/>
              <w:rPr/>
            </w:pPr>
            <w:r>
              <w:rPr/>
              <w:t>Payment made under the Warrant Exchange Amendment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84" w:name="xdx_401_ecustom--ProceedsFromExerciseOfS"/>
            <w:bookmarkEnd w:id="284"/>
          </w:p>
        </w:tc>
      </w:tr>
      <w:tr>
        <w:trPr/>
        <w:tc>
          <w:tcPr>
            <w:tcW w:w="8090" w:type="dxa"/>
            <w:tcBorders/>
            <w:shd w:fill="FFFFFF" w:val="clear"/>
            <w:vAlign w:val="center"/>
          </w:tcPr>
          <w:p>
            <w:pPr>
              <w:pStyle w:val="TableContents"/>
              <w:bidi w:val="0"/>
              <w:spacing w:before="0" w:after="283"/>
              <w:jc w:val="left"/>
              <w:rPr/>
            </w:pPr>
            <w:r>
              <w:rPr/>
              <w:t>Proceeds from the exercise of stock options and warrants, net of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1,613</w:t>
            </w:r>
          </w:p>
        </w:tc>
        <w:tc>
          <w:tcPr>
            <w:tcW w:w="110" w:type="dxa"/>
            <w:tcBorders/>
            <w:shd w:fill="FFFFFF" w:val="clear"/>
            <w:vAlign w:val="center"/>
          </w:tcPr>
          <w:p>
            <w:pPr>
              <w:pStyle w:val="TableContents"/>
              <w:bidi w:val="0"/>
              <w:spacing w:before="0" w:after="283"/>
              <w:jc w:val="left"/>
              <w:rPr/>
            </w:pPr>
            <w:r>
              <w:rPr/>
              <w:t> </w:t>
            </w:r>
            <w:bookmarkStart w:id="285" w:name="xdx_40B_eus-gaap--PaymentsOfDividendsPre"/>
            <w:bookmarkEnd w:id="285"/>
          </w:p>
        </w:tc>
      </w:tr>
      <w:tr>
        <w:trPr/>
        <w:tc>
          <w:tcPr>
            <w:tcW w:w="8090" w:type="dxa"/>
            <w:tcBorders/>
            <w:shd w:fill="CCEEFF" w:val="clear"/>
            <w:vAlign w:val="center"/>
          </w:tcPr>
          <w:p>
            <w:pPr>
              <w:pStyle w:val="TableContents"/>
              <w:bidi w:val="0"/>
              <w:spacing w:before="0" w:after="283"/>
              <w:jc w:val="left"/>
              <w:rPr/>
            </w:pPr>
            <w:r>
              <w:rPr/>
              <w:t>Payment of preferred stock dividend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86" w:name="xdx_408_eus-gaap--NetCashProvidedByUsedI"/>
            <w:bookmarkEnd w:id="286"/>
          </w:p>
        </w:tc>
      </w:tr>
      <w:tr>
        <w:trPr/>
        <w:tc>
          <w:tcPr>
            <w:tcW w:w="8090" w:type="dxa"/>
            <w:tcBorders/>
            <w:shd w:fill="FFFFFF" w:val="clear"/>
            <w:vAlign w:val="center"/>
          </w:tcPr>
          <w:p>
            <w:pPr>
              <w:pStyle w:val="TableContents"/>
              <w:bidi w:val="0"/>
              <w:spacing w:before="0" w:after="283"/>
              <w:jc w:val="left"/>
              <w:rPr/>
            </w:pPr>
            <w:r>
              <w:rPr/>
              <w:t>Net cash provided by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5,264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7,822</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87" w:name="xdx_40E_eus-gaap--EffectOfExchangeRateOn"/>
            <w:bookmarkEnd w:id="287"/>
          </w:p>
        </w:tc>
      </w:tr>
      <w:tr>
        <w:trPr/>
        <w:tc>
          <w:tcPr>
            <w:tcW w:w="8090" w:type="dxa"/>
            <w:tcBorders/>
            <w:shd w:fill="FFFFFF" w:val="clear"/>
            <w:vAlign w:val="center"/>
          </w:tcPr>
          <w:p>
            <w:pPr>
              <w:pStyle w:val="TableContents"/>
              <w:bidi w:val="0"/>
              <w:spacing w:before="0" w:after="283"/>
              <w:jc w:val="left"/>
              <w:rPr/>
            </w:pPr>
            <w:r>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(73</w:t>
            </w:r>
          </w:p>
        </w:tc>
        <w:tc>
          <w:tcPr>
            <w:tcW w:w="110" w:type="dxa"/>
            <w:tcBorders/>
            <w:shd w:fill="FFFFFF" w:val="clear"/>
            <w:vAlign w:val="center"/>
          </w:tcPr>
          <w:p>
            <w:pPr>
              <w:pStyle w:val="TableContents"/>
              <w:bidi w:val="0"/>
              <w:spacing w:before="0" w:after="283"/>
              <w:jc w:val="left"/>
              <w:rPr/>
            </w:pPr>
            <w:r>
              <w:rPr/>
              <w:t>)</w:t>
            </w:r>
            <w:bookmarkStart w:id="288" w:name="xdx_407_eus-gaap--CashCashEquivalentsRes"/>
            <w:bookmarkEnd w:id="288"/>
          </w:p>
        </w:tc>
      </w:tr>
      <w:tr>
        <w:trPr/>
        <w:tc>
          <w:tcPr>
            <w:tcW w:w="8090" w:type="dxa"/>
            <w:tcBorders/>
            <w:shd w:fill="CCEEFF" w:val="clear"/>
            <w:vAlign w:val="center"/>
          </w:tcPr>
          <w:p>
            <w:pPr>
              <w:pStyle w:val="TableContents"/>
              <w:bidi w:val="0"/>
              <w:spacing w:before="0" w:after="283"/>
              <w:jc w:val="left"/>
              <w:rPr/>
            </w:pPr>
            <w:r>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(241</w:t>
            </w:r>
          </w:p>
        </w:tc>
        <w:tc>
          <w:tcPr>
            <w:tcW w:w="110" w:type="dxa"/>
            <w:tcBorders/>
            <w:shd w:fill="CCEEFF" w:val="clear"/>
            <w:vAlign w:val="center"/>
          </w:tcPr>
          <w:p>
            <w:pPr>
              <w:pStyle w:val="TableContents"/>
              <w:bidi w:val="0"/>
              <w:spacing w:before="0" w:after="283"/>
              <w:jc w:val="left"/>
              <w:rPr/>
            </w:pPr>
            <w:r>
              <w:rPr/>
              <w:t>)</w:t>
            </w:r>
            <w:bookmarkStart w:id="289" w:name="xdx_404_eus-gaap--CashCashEquivalentsRes"/>
            <w:bookmarkEnd w:id="289"/>
          </w:p>
        </w:tc>
      </w:tr>
      <w:tr>
        <w:trPr/>
        <w:tc>
          <w:tcPr>
            <w:tcW w:w="8090" w:type="dxa"/>
            <w:tcBorders/>
            <w:shd w:fill="FFFFFF" w:val="clear"/>
            <w:vAlign w:val="center"/>
          </w:tcPr>
          <w:p>
            <w:pPr>
              <w:pStyle w:val="TableContents"/>
              <w:bidi w:val="0"/>
              <w:spacing w:before="0" w:after="283"/>
              <w:jc w:val="left"/>
              <w:rPr/>
            </w:pPr>
            <w:r>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3,378</w:t>
            </w:r>
          </w:p>
        </w:tc>
        <w:tc>
          <w:tcPr>
            <w:tcW w:w="110" w:type="dxa"/>
            <w:tcBorders/>
            <w:shd w:fill="FFFFFF" w:val="clear"/>
            <w:vAlign w:val="center"/>
          </w:tcPr>
          <w:p>
            <w:pPr>
              <w:pStyle w:val="TableContents"/>
              <w:bidi w:val="0"/>
              <w:spacing w:before="0" w:after="283"/>
              <w:jc w:val="left"/>
              <w:rPr/>
            </w:pPr>
            <w:r>
              <w:rPr/>
              <w:t> </w:t>
            </w:r>
            <w:bookmarkStart w:id="290" w:name="xdx_409_eus-gaap--CashCashEquivalentsRes"/>
            <w:bookmarkEnd w:id="290"/>
          </w:p>
        </w:tc>
      </w:tr>
      <w:tr>
        <w:trPr/>
        <w:tc>
          <w:tcPr>
            <w:tcW w:w="8090" w:type="dxa"/>
            <w:tcBorders/>
            <w:shd w:fill="CCEEFF" w:val="clear"/>
            <w:vAlign w:val="center"/>
          </w:tcPr>
          <w:p>
            <w:pPr>
              <w:pStyle w:val="TableContents"/>
              <w:bidi w:val="0"/>
              <w:spacing w:before="0" w:after="283"/>
              <w:jc w:val="left"/>
              <w:rPr/>
            </w:pPr>
            <w:r>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3,137</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91" w:name="xdx_40B_eus-gaap--SupplementalCashFlowIn"/>
            <w:bookmarkEnd w:id="291"/>
          </w:p>
        </w:tc>
      </w:tr>
      <w:tr>
        <w:trPr/>
        <w:tc>
          <w:tcPr>
            <w:tcW w:w="8090" w:type="dxa"/>
            <w:tcBorders/>
            <w:shd w:fill="CCEEFF" w:val="clear"/>
            <w:vAlign w:val="center"/>
          </w:tcPr>
          <w:p>
            <w:pPr>
              <w:pStyle w:val="TableContents"/>
              <w:bidi w:val="0"/>
              <w:spacing w:before="0" w:after="283"/>
              <w:jc w:val="left"/>
              <w:rPr/>
            </w:pPr>
            <w:r>
              <w:rPr/>
              <w:t>Non cash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92" w:name="xdx_400_ecustom--IssuanceOfSharesInAcqui"/>
            <w:bookmarkEnd w:id="292"/>
          </w:p>
        </w:tc>
      </w:tr>
      <w:tr>
        <w:trPr/>
        <w:tc>
          <w:tcPr>
            <w:tcW w:w="8090" w:type="dxa"/>
            <w:tcBorders/>
            <w:shd w:fill="FFFFFF" w:val="clear"/>
            <w:vAlign w:val="center"/>
          </w:tcPr>
          <w:p>
            <w:pPr>
              <w:pStyle w:val="TableContents"/>
              <w:bidi w:val="0"/>
              <w:spacing w:before="0" w:after="283"/>
              <w:jc w:val="left"/>
              <w:rPr/>
            </w:pPr>
            <w:r>
              <w:rPr/>
              <w:t>Issuance of shares in acquisition of Fitters Sdn. Bhd.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4,450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93" w:name="xdx_409_ecustom--WarrantExchange_i01_zow"/>
            <w:bookmarkEnd w:id="293"/>
          </w:p>
        </w:tc>
      </w:tr>
      <w:tr>
        <w:trPr/>
        <w:tc>
          <w:tcPr>
            <w:tcW w:w="8090" w:type="dxa"/>
            <w:tcBorders/>
            <w:shd w:fill="CCEEFF" w:val="clear"/>
            <w:vAlign w:val="center"/>
          </w:tcPr>
          <w:p>
            <w:pPr>
              <w:pStyle w:val="TableContents"/>
              <w:bidi w:val="0"/>
              <w:spacing w:before="0" w:after="283"/>
              <w:jc w:val="left"/>
              <w:rPr/>
            </w:pPr>
            <w:r>
              <w:rPr/>
              <w:t>Warrant Exchange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94" w:name="xdx_400_eus-gaap--IncomeTaxesPaidNetAbst"/>
            <w:bookmarkEnd w:id="294"/>
          </w:p>
        </w:tc>
      </w:tr>
      <w:tr>
        <w:trPr/>
        <w:tc>
          <w:tcPr>
            <w:tcW w:w="8090" w:type="dxa"/>
            <w:tcBorders/>
            <w:shd w:fill="CCEEFF" w:val="clear"/>
            <w:vAlign w:val="center"/>
          </w:tcPr>
          <w:p>
            <w:pPr>
              <w:pStyle w:val="TableContents"/>
              <w:bidi w:val="0"/>
              <w:spacing w:before="0" w:after="283"/>
              <w:jc w:val="left"/>
              <w:rPr/>
            </w:pPr>
            <w:r>
              <w:rPr/>
              <w:t>Cash received during the period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95" w:name="xdx_400_eus-gaap--ProceedsFromInterestRe"/>
            <w:bookmarkEnd w:id="295"/>
          </w:p>
        </w:tc>
      </w:tr>
      <w:tr>
        <w:trPr/>
        <w:tc>
          <w:tcPr>
            <w:tcW w:w="8090"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96</w:t>
            </w:r>
          </w:p>
        </w:tc>
        <w:tc>
          <w:tcPr>
            <w:tcW w:w="110" w:type="dxa"/>
            <w:tcBorders/>
            <w:shd w:fill="FFFFFF" w:val="clear"/>
            <w:vAlign w:val="center"/>
          </w:tcPr>
          <w:p>
            <w:pPr>
              <w:pStyle w:val="TableContents"/>
              <w:bidi w:val="0"/>
              <w:spacing w:before="0" w:after="283"/>
              <w:jc w:val="left"/>
              <w:rPr/>
            </w:pPr>
            <w:r>
              <w:rPr/>
              <w:t> </w:t>
            </w:r>
            <w:bookmarkStart w:id="296" w:name="xdx_403_eus-gaap--ProceedsFromIncomeTaxR"/>
            <w:bookmarkEnd w:id="296"/>
          </w:p>
        </w:tc>
      </w:tr>
      <w:tr>
        <w:trPr/>
        <w:tc>
          <w:tcPr>
            <w:tcW w:w="8090" w:type="dxa"/>
            <w:tcBorders/>
            <w:shd w:fill="CCEEFF" w:val="clear"/>
            <w:vAlign w:val="center"/>
          </w:tcPr>
          <w:p>
            <w:pPr>
              <w:pStyle w:val="TableContents"/>
              <w:bidi w:val="0"/>
              <w:spacing w:before="0" w:after="283"/>
              <w:jc w:val="left"/>
              <w:rPr/>
            </w:pPr>
            <w:r>
              <w:rPr/>
              <w:t>Research &amp; development tax credits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3,715</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97" w:name="xdx_40A_eus-gaap--CashFlowNoncashInvesti"/>
            <w:bookmarkEnd w:id="297"/>
          </w:p>
        </w:tc>
      </w:tr>
      <w:tr>
        <w:trPr/>
        <w:tc>
          <w:tcPr>
            <w:tcW w:w="8090" w:type="dxa"/>
            <w:tcBorders/>
            <w:shd w:fill="CCEEFF" w:val="clear"/>
            <w:vAlign w:val="center"/>
          </w:tcPr>
          <w:p>
            <w:pPr>
              <w:pStyle w:val="TableContents"/>
              <w:bidi w:val="0"/>
              <w:spacing w:before="0" w:after="283"/>
              <w:jc w:val="left"/>
              <w:rPr/>
            </w:pPr>
            <w:r>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98" w:name="xdx_408_eus-gaap--InterestPaidNet_i01_zX"/>
            <w:bookmarkEnd w:id="298"/>
          </w:p>
        </w:tc>
      </w:tr>
      <w:tr>
        <w:trPr/>
        <w:tc>
          <w:tcPr>
            <w:tcW w:w="8090"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99" w:name="xdx_404_eus-gaap--IncomeTaxesPaidNet_i01"/>
            <w:bookmarkEnd w:id="299"/>
          </w:p>
        </w:tc>
      </w:tr>
      <w:tr>
        <w:trPr/>
        <w:tc>
          <w:tcPr>
            <w:tcW w:w="8090" w:type="dxa"/>
            <w:tcBorders/>
            <w:shd w:fill="CCEEFF" w:val="clear"/>
            <w:vAlign w:val="center"/>
          </w:tcPr>
          <w:p>
            <w:pPr>
              <w:pStyle w:val="TableContents"/>
              <w:bidi w:val="0"/>
              <w:spacing w:before="0" w:after="283"/>
              <w:jc w:val="left"/>
              <w:rPr/>
            </w:pPr>
            <w:r>
              <w:rPr/>
              <w:t>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0" w:name="sp_007"/>
      <w:bookmarkEnd w:id="300"/>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1" w:name="xdx_805_eus-gaap--OrganizationConsolidat"/>
      <w:bookmarkEnd w:id="301"/>
      <w:r>
        <w:rPr>
          <w:rFonts w:ascii="Times New Roman;Times;Serif" w:hAnsi="Times New Roman;Times;Serif"/>
          <w:b/>
          <w:i w:val="false"/>
          <w:caps w:val="false"/>
          <w:smallCaps w:val="false"/>
          <w:sz w:val="20"/>
        </w:rPr>
        <w:t xml:space="preserve">1. </w:t>
      </w:r>
      <w:bookmarkStart w:id="302" w:name="xdx_822_zeRPjT4q9PAl"/>
      <w:bookmarkEnd w:id="302"/>
      <w:r>
        <w:rPr>
          <w:rFonts w:ascii="Times New Roman;Times;Serif" w:hAnsi="Times New Roman;Times;Serif"/>
          <w:b/>
          <w:i w:val="false"/>
          <w:caps w:val="false"/>
          <w:smallCaps w:val="false"/>
          <w:sz w:val="20"/>
        </w:rPr>
        <w:t>Organization of the Company and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(“BGMS” or “the Company”) is engaged primarily in the fire safety and protection industry through its wholly owned subsidiary Fitters Sdn. Bhd. (“FITTERS”), a Malaysia-based group specializing in fire protection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December 31, 2025, the Company has funded all of its operations and capital expenditures with proceeds from the issuance of public equity securities, private placements of securities, government grants, research and development tax credits, interest on investments, royalty income, product revenue and licensing revenue. The Company has incurred recurring losses since its inception, including net losses of $</w:t>
      </w:r>
      <w:bookmarkStart w:id="303" w:name="xdx_904_eus-gaap--NetIncomeLoss_iN_pn5n6"/>
      <w:bookmarkEnd w:id="303"/>
      <w:r>
        <w:rPr>
          <w:rFonts w:ascii="Times New Roman;Times;Serif" w:hAnsi="Times New Roman;Times;Serif"/>
          <w:b w:val="false"/>
          <w:i w:val="false"/>
          <w:caps w:val="false"/>
          <w:smallCaps w:val="false"/>
          <w:sz w:val="20"/>
        </w:rPr>
        <w:t>3.0 million and $</w:t>
      </w:r>
      <w:bookmarkStart w:id="304" w:name="xdx_903_eus-gaap--NetIncomeLoss_iN_pn5n6"/>
      <w:bookmarkEnd w:id="304"/>
      <w:r>
        <w:rPr>
          <w:rFonts w:ascii="Times New Roman;Times;Serif" w:hAnsi="Times New Roman;Times;Serif"/>
          <w:b w:val="false"/>
          <w:i w:val="false"/>
          <w:caps w:val="false"/>
          <w:smallCaps w:val="false"/>
          <w:sz w:val="20"/>
        </w:rPr>
        <w:t>11.2 million for the years ended December 31, 2025 and 2024 respectively. As of December 31, 2025, the Company had an accumulated deficit of $</w:t>
      </w:r>
      <w:bookmarkStart w:id="305" w:name="xdx_906_eus-gaap--RetainedEarningsAccumu"/>
      <w:bookmarkEnd w:id="305"/>
      <w:r>
        <w:rPr>
          <w:rFonts w:ascii="Times New Roman;Times;Serif" w:hAnsi="Times New Roman;Times;Serif"/>
          <w:b w:val="false"/>
          <w:i w:val="false"/>
          <w:caps w:val="false"/>
          <w:smallCaps w:val="false"/>
          <w:sz w:val="20"/>
        </w:rPr>
        <w:t>454.4 million. The Company expects to continue to generate operating losses for the near term as it builds and expands its portfolio of businesses and improves operating margins at FITTERS.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risks and uncertainties common to small market capitalization companies. If the Company is unable to obtain the necessary financing to build and expand its asset portfolio, there will be a material adverse impact on the Company’s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Accounting Standard Codification (ASC) 205-40, </w:t>
      </w:r>
      <w:r>
        <w:rPr>
          <w:rFonts w:ascii="Times New Roman;Times;Serif" w:hAnsi="Times New Roman;Times;Serif"/>
          <w:b w:val="false"/>
          <w:i/>
          <w:caps w:val="false"/>
          <w:smallCaps w:val="false"/>
          <w:sz w:val="20"/>
        </w:rPr>
        <w:t>Presentation of Financial Statements-Going Concern</w:t>
      </w:r>
      <w:r>
        <w:rPr>
          <w:rFonts w:ascii="Times New Roman;Times;Serif" w:hAnsi="Times New Roman;Times;Serif"/>
          <w:b w:val="false"/>
          <w:i w:val="false"/>
          <w:caps w:val="false"/>
          <w:smallCaps w:val="false"/>
          <w:sz w:val="20"/>
        </w:rPr>
        <w:t>, management is required at each reporting period to evaluate whether there are conditions or events, considered in the aggregate, that raise substantial doubt about an entity’s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effects of its plans sufficiently alleviate the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for one year after the date that these financial statements are issued. In performing its analysis, management excluded certain elements of its operating plan that cannot be considered probable. Under ASC 205-40, the future receipts of potential funding from future equity or debt issuances or by entering into partnership agreements cannot be considered probable at this time because these plans are not entirely within the Company’s control nor have they been approved by the Board of Directors as of the date of these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Company’s current operating plan, it is anticipated that cash and cash equivalents of $</w:t>
      </w:r>
      <w:bookmarkStart w:id="306" w:name="xdx_90E_eus-gaap--CashAndCashEquivalents"/>
      <w:bookmarkEnd w:id="306"/>
      <w:r>
        <w:rPr>
          <w:rFonts w:ascii="Times New Roman;Times;Serif" w:hAnsi="Times New Roman;Times;Serif"/>
          <w:b w:val="false"/>
          <w:i w:val="false"/>
          <w:caps w:val="false"/>
          <w:smallCaps w:val="false"/>
          <w:sz w:val="20"/>
        </w:rPr>
        <w:t>3.5 million as of December 31, 2025 will allow it to meet liquidity requirements into the third quarter of 2026. The Company continues to work to raise additional capital however as of the date of these financial statements there is no guarantee that the Company will be able to raise additional funds to extend operations beyond the third quarter of 2026. The Company’s history of losses, negative cash flows from operations, liquid resources currently on hand, and dependence on the ability to obtain additional financing to fund its operations, about which there can be no certainty, have resulted in the assessment that there is substantial doubt about the Company’s ability to continue as a going concern for a period of at least twelve months from the issuance date of these financial statements. While the Company has plans in place to mitigate this risk, which primarily consist of raising additional capital through a combination of public or private equity or debt financings or by entering into partnership agreements, there is no guarantee that it will be successful in these mitigation efforts. The accompanying consolidated financial statements have been prepared on a going concern basis, which contemplates realization of assets and the satisfaction of liabilities in the normal course of business.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or GAAP and include the financial statements of Bio Green Med Solution, Inc. and all of the Company’s wholly owned subsidiaries. All intercompany accounts and transactions have been eliminated.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12, 2025, the Company effected a </w:t>
      </w:r>
      <w:bookmarkStart w:id="307" w:name="xdx_906_eus-gaap--StockholdersEquityReve"/>
      <w:bookmarkEnd w:id="307"/>
      <w:r>
        <w:rPr>
          <w:rFonts w:ascii="Times New Roman;Times;Serif" w:hAnsi="Times New Roman;Times;Serif"/>
          <w:b w:val="false"/>
          <w:i w:val="false"/>
          <w:caps w:val="false"/>
          <w:smallCaps w:val="false"/>
          <w:sz w:val="20"/>
        </w:rPr>
        <w:t xml:space="preserve">one-for-sixteen reverse stock split of its common stock and subsequently on July 7, 2025, effected a further </w:t>
      </w:r>
      <w:bookmarkStart w:id="308" w:name="xdx_90B_eus-gaap--StockholdersEquityReve"/>
      <w:bookmarkEnd w:id="308"/>
      <w:r>
        <w:rPr>
          <w:rFonts w:ascii="Times New Roman;Times;Serif" w:hAnsi="Times New Roman;Times;Serif"/>
          <w:b w:val="false"/>
          <w:i w:val="false"/>
          <w:caps w:val="false"/>
          <w:smallCaps w:val="false"/>
          <w:sz w:val="20"/>
        </w:rPr>
        <w:t>one-for-fifteen reverse stock split of its common stock. All share and per share data for all periods presented in the consolidated financial statements have been retrospectively adjusted to give effect to these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9" w:name="xdx_805_eus-gaap--SignificantAccountingP"/>
      <w:bookmarkEnd w:id="309"/>
      <w:r>
        <w:rPr>
          <w:rFonts w:ascii="Times New Roman;Times;Serif" w:hAnsi="Times New Roman;Times;Serif"/>
          <w:b/>
          <w:i w:val="false"/>
          <w:caps w:val="false"/>
          <w:smallCaps w:val="false"/>
          <w:sz w:val="20"/>
        </w:rPr>
        <w:t xml:space="preserve">2. </w:t>
      </w:r>
      <w:bookmarkStart w:id="310" w:name="xdx_827_zhLWaaY98uq1"/>
      <w:bookmarkEnd w:id="310"/>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1" w:name="xdx_841_eus-gaap--UseOfEstimates_z5TenfT"/>
      <w:bookmarkEnd w:id="311"/>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accordance with GAAP requires management to make estimates and assumptions that affect the reported amounts of assets, liabilities and related disclosures of contingent assets and liabilities at the date of the financial statements and the reported expenses during the reporting period. Critical estimates include inputs used to determine clinical trial accruals and stock-based compensation expense. The Company reviews its estimates on an ongoing basis. The estimates are based on historical experience and on various other assumptions that the Company believes to be reasonable under the circumstances. Actual results may differ from these estimates. The Company believes the judgments and estimates required by the following accounting policies to be significant in the preparation of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2" w:name="xdx_84A_eus-gaap--ForeignCurrencyTransac"/>
      <w:bookmarkEnd w:id="312"/>
      <w:r>
        <w:rPr>
          <w:rFonts w:ascii="Times New Roman;Times;Serif" w:hAnsi="Times New Roman;Times;Serif"/>
          <w:b/>
          <w:i/>
          <w:caps w:val="false"/>
          <w:smallCaps w:val="false"/>
          <w:sz w:val="20"/>
        </w:rPr>
        <w:t>Foreign Currency and Currency Translation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that are denominated in a foreign currency are remeasured into the functional currency at the current exchange rate on the date of the transaction. Any foreign currency-denominated monetary assets and liabilities are subsequently remeasured at current exchange rates, with gains or losses recognized as foreign exchange (losses) gains in the statement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and liabilities of the Company’s international subsidiaries are translated from its functional currency into United States dollars at exchange rates prevailing at the balance sheet date. Average rates of exchange during the period are used to translate the statement of operations, while historical rates of exchange are used to translate any equity transactions. Translation adjustments arising on consolidation due to differences between average rates and balance sheet rates, as well as unrealized foreign exchange gains or losses arising from translation of intercompany loans for which settlement is not planned or anticipated in the foreseeable future and that are of a long-term-investment nature, are recorded in other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deconsolidated a foreign operation based in the United Kingdom. Upon loss of control of the foreign subsidiary, the accumulated translation adjustments recorded in other comprehensive income within equity were recycled as part of the gain on deconsolidation of former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3" w:name="xdx_84B_eus-gaap--CashAndCashEquivalents"/>
      <w:bookmarkEnd w:id="313"/>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the Company to concentrations of credit risk consist primarily of cash and cash equivalents. The Company considers all highly liquid investments with an original maturity of three months or less at the time of initial purchase to be cash equivalents. The objectives of the Company’s cash management policy are to safeguard and preserve funds, to maintain sufficient liquidity to meet the Company’s cash flow requirements and to attain a market rate of return. The Company deposits its cash in financial institutions that it believes have high credit quality and has not experienced any losses on such accounts and does not believe it is exposed to any significant credit risk on cash and cash equivalents.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and cash equivalents balance at December 31, 2025 was $</w:t>
      </w:r>
      <w:bookmarkStart w:id="314" w:name="xdx_903_eus-gaap--CashAndCashEquivalents"/>
      <w:bookmarkEnd w:id="314"/>
      <w:r>
        <w:rPr>
          <w:rFonts w:ascii="Times New Roman;Times;Serif" w:hAnsi="Times New Roman;Times;Serif"/>
          <w:b w:val="false"/>
          <w:i w:val="false"/>
          <w:caps w:val="false"/>
          <w:smallCaps w:val="false"/>
          <w:sz w:val="20"/>
        </w:rPr>
        <w:t>3.5 million and it maintains its cash accounts in several entities both within the United States as well as Malaysia and the United Kingdom. The cash balances for amounts held in the United States are insured by the Federal Deposit Insurance Corporation, or FDIC up to $</w:t>
      </w:r>
      <w:bookmarkStart w:id="315" w:name="xdx_901_eus-gaap--CashFDICInsuredAmount_"/>
      <w:bookmarkEnd w:id="315"/>
      <w:r>
        <w:rPr>
          <w:rFonts w:ascii="Times New Roman;Times;Serif" w:hAnsi="Times New Roman;Times;Serif"/>
          <w:b w:val="false"/>
          <w:i w:val="false"/>
          <w:caps w:val="false"/>
          <w:smallCaps w:val="false"/>
          <w:sz w:val="20"/>
        </w:rPr>
        <w:t>250,000 per account. The Company has cash balances exceeding the balance insured by the FDIC that totaled approximately $</w:t>
      </w:r>
      <w:bookmarkStart w:id="316" w:name="xdx_905_eus-gaap--CashUninsuredAmount_iI"/>
      <w:bookmarkEnd w:id="316"/>
      <w:r>
        <w:rPr>
          <w:rFonts w:ascii="Times New Roman;Times;Serif" w:hAnsi="Times New Roman;Times;Serif"/>
          <w:b w:val="false"/>
          <w:i w:val="false"/>
          <w:caps w:val="false"/>
          <w:smallCaps w:val="false"/>
          <w:sz w:val="20"/>
        </w:rPr>
        <w:t>0.1 million at December 31, 2025. The cash balances for amounts held in the United Kingdom are insured by the UK Government Financial Services Compensation Scheme, or FSCS up to £</w:t>
      </w:r>
      <w:bookmarkStart w:id="317" w:name="xdx_90F_ecustom--CashFinancialServicesCo"/>
      <w:bookmarkEnd w:id="317"/>
      <w:r>
        <w:rPr>
          <w:rFonts w:ascii="Times New Roman;Times;Serif" w:hAnsi="Times New Roman;Times;Serif"/>
          <w:b w:val="false"/>
          <w:i w:val="false"/>
          <w:caps w:val="false"/>
          <w:smallCaps w:val="false"/>
          <w:sz w:val="20"/>
        </w:rPr>
        <w:t>85,000 per account. The Company does not have cash balances exceeding the balance insured by the FSCS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8" w:name="xdx_848_eus-gaap--PropertyPlantAndEquipm"/>
      <w:bookmarkEnd w:id="318"/>
      <w:r>
        <w:rPr>
          <w:rFonts w:ascii="Times New Roman;Times;Serif" w:hAnsi="Times New Roman;Times;Serif"/>
          <w:b/>
          <w:i/>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components of property and equipment are stated at cost and depreciated on a straight-line basis over the estimated useful lives of the related assets, which are generally </w:t>
      </w:r>
      <w:bookmarkStart w:id="319" w:name="xdx_908_eus-gaap--PropertyPlantAndEquipm"/>
      <w:bookmarkEnd w:id="319"/>
      <w:r>
        <w:rPr>
          <w:rFonts w:ascii="Times New Roman;Times;Serif" w:hAnsi="Times New Roman;Times;Serif"/>
          <w:b w:val="false"/>
          <w:i w:val="false"/>
          <w:caps w:val="false"/>
          <w:smallCaps w:val="false"/>
          <w:sz w:val="20"/>
        </w:rPr>
        <w:t xml:space="preserve">3three to </w:t>
      </w:r>
      <w:bookmarkStart w:id="320" w:name="xdx_908_eus-gaap--PropertyPlantAndEquipm"/>
      <w:bookmarkEnd w:id="320"/>
      <w:r>
        <w:rPr>
          <w:rFonts w:ascii="Times New Roman;Times;Serif" w:hAnsi="Times New Roman;Times;Serif"/>
          <w:b w:val="false"/>
          <w:i w:val="false"/>
          <w:caps w:val="false"/>
          <w:smallCaps w:val="false"/>
          <w:sz w:val="20"/>
        </w:rPr>
        <w:t>five years. Amortization of leasehold improvements is performed using the straight-line method over the shorter of the remaining lease term or the estimated useful life of the related assets. Upon sale or retirement of assets, the costs and related accumulated depreciation and amortization are removed from the balance sheet and the resulting gain or loss on sale is reflected as a component of operating income or loss. Expenditures for maintenance and repairs are charged to operating expenses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1" w:name="xdx_844_eus-gaap--ImpairmentOrDisposalOf"/>
      <w:bookmarkEnd w:id="321"/>
      <w:r>
        <w:rPr>
          <w:rFonts w:ascii="Times New Roman;Times;Serif" w:hAnsi="Times New Roman;Times;Serif"/>
          <w:b/>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property and equipment for impairment whenever events or changes in business circumstances indicate that the carrying amount of the assets may not be fully recoverable. The Company assesses the recoverability of the potentially affected long-lived assets by determining whether the carrying value of such assets can be recovered through undiscounted future operating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if any, is measured as the amount by which the carrying amount of a long-lived asset or asset group exceeds its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2" w:name="xdx_84C_eus-gaap--GoodwillAndIntangibleA"/>
      <w:bookmarkEnd w:id="322"/>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cost of acquired businesses in excess of the fair value of net identifiable assets acquired. Goodwill is not amortized but is tested for impairment on an annual basis on July 1 of each fiscal year, or more frequently if events or changes in circumstances indicate that the carrying amount of a reporting unit exceeds its fair value. The quantitative goodwill impairment test compares the fair value of a reporting unit with its carrying amount. If the fair value of the reporting unit exceeds its carrying amount, goodwill is considered not impaired. If the carrying amount of a reporting unit exceeds its fair value, an impairment loss is recognized in an amount equal to that excess, not to exceed the total amount of goodwill allocated to that reporting unit.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a single operating segment and has just one reporting unit. The Company did not perform a goodwill impairment test in 2025 as the goodwill recognized in the financial statements resulted from the September 2025 acquisition of FITTERS, and there were no events or changes in circumstances indicating that the carrying amount of the goodwill was not recoverable in the few months post-acquisition.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3" w:name="xdx_844_eus-gaap--FairValueOfFinancialIn"/>
      <w:bookmarkEnd w:id="323"/>
      <w:r>
        <w:rPr>
          <w:rFonts w:ascii="Times New Roman;Times;Serif" w:hAnsi="Times New Roman;Times;Serif"/>
          <w:b/>
          <w:i/>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Assets and liabilities measured at fair value are classified and disclosed in one of the following three levels of the fair value hierarchy, of which the first two are considered observable and the last is considered unobservable: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in active markets for identical assets or liabilities.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that are significant to determining the fair value of the assets or liabilities, including pricing models, discounted cash flow methodologies and similar techniques.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cash and cash equivalents, accounts receivables, accounts payable and accrued expenses approximate their fair values due to the short-term nature of these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4" w:name="xdx_84D_eus-gaap--SegmentReportingPolicy"/>
      <w:bookmarkEnd w:id="324"/>
      <w:r>
        <w:rPr>
          <w:rFonts w:ascii="Times New Roman;Times;Serif" w:hAnsi="Times New Roman;Times;Serif"/>
          <w:b/>
          <w:i/>
          <w:caps w:val="false"/>
          <w:smallCaps w:val="false"/>
          <w:sz w:val="20"/>
        </w:rPr>
        <w:t>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managed and operated as </w:t>
      </w:r>
      <w:bookmarkStart w:id="325" w:name="xdx_907_eus-gaap--NumberOfOperatingSegme"/>
      <w:bookmarkEnd w:id="325"/>
      <w:r>
        <w:rPr>
          <w:rFonts w:ascii="Times New Roman;Times;Serif" w:hAnsi="Times New Roman;Times;Serif"/>
          <w:b w:val="false"/>
          <w:i w:val="false"/>
          <w:caps w:val="false"/>
          <w:smallCaps w:val="false"/>
          <w:sz w:val="20"/>
        </w:rPr>
        <w:t xml:space="preserve">one business which is currently focused on the sale and distribution of fire safety materials, equipment and fire prevention systems. The entire business is managed by a single management team that reports to the Chief Executive Officer. Similarly, the Company’s legacy operations within the biotechnology industry were also managed entirely by a single management team that reported into the Chief Executive Officer. The Company has not operated separate lines of business with respect to any of its operations and the Company did not prepare discrete financial information with respect to separate products or product candidates separate businesses or by location through December 31, 2025. Accordingly, the Company views its current business as </w:t>
      </w:r>
      <w:bookmarkStart w:id="326" w:name="xdx_90C_eus-gaap--NumberOfReportableSegm"/>
      <w:bookmarkEnd w:id="326"/>
      <w:r>
        <w:rPr>
          <w:rFonts w:ascii="Times New Roman;Times;Serif" w:hAnsi="Times New Roman;Times;Serif"/>
          <w:b w:val="false"/>
          <w:i w:val="false"/>
          <w:caps w:val="false"/>
          <w:smallCaps w:val="false"/>
          <w:sz w:val="20"/>
        </w:rPr>
        <w:t xml:space="preserve">one reportable operating segment with operations in </w:t>
      </w:r>
      <w:bookmarkStart w:id="327" w:name="xdx_90A_eus-gaap--NumberOfCountriesInWhi"/>
      <w:bookmarkEnd w:id="327"/>
      <w:r>
        <w:rPr>
          <w:rFonts w:ascii="Times New Roman;Times;Serif" w:hAnsi="Times New Roman;Times;Serif"/>
          <w:b w:val="false"/>
          <w:i w:val="false"/>
          <w:caps w:val="false"/>
          <w:smallCaps w:val="false"/>
          <w:sz w:val="20"/>
        </w:rPr>
        <w:t>one geographic area, namely Malaysia. In 2024, the Company viewed its legacy business also as one reportable operating segment with operations in the United Kingdom and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8" w:name="xdx_842_eus-gaap--RevenueRecognitionPoli"/>
      <w:bookmarkEnd w:id="328"/>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Accounting Standards Codification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The Company derives revenue primarily from the sale of various protective and fire safety equipment.</w:t>
      </w:r>
    </w:p>
    <w:p>
      <w:pPr>
        <w:pStyle w:val="TextBody"/>
        <w:bidi w:val="0"/>
        <w:spacing w:before="0" w:after="0"/>
        <w:ind w:left="0" w:right="0" w:firstLine="73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Goods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generated from the sale of tangible products, including:</w:t>
      </w:r>
    </w:p>
    <w:p>
      <w:pPr>
        <w:pStyle w:val="TextBody"/>
        <w:bidi w:val="0"/>
        <w:spacing w:before="0" w:after="0"/>
        <w:ind w:left="720" w:right="0" w:hanging="36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safety equipment and extinguishers;</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Foam system;</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Fire resistant doors; and</w:t>
            </w:r>
          </w:p>
        </w:tc>
      </w:tr>
      <w:tr>
        <w:trPr/>
        <w:tc>
          <w:tcPr>
            <w:tcW w:w="75" w:type="dxa"/>
            <w:tcBorders/>
            <w:vAlign w:val="center"/>
          </w:tcPr>
          <w:p>
            <w:pPr>
              <w:pStyle w:val="TableContents"/>
              <w:bidi w:val="0"/>
              <w:spacing w:before="0" w:after="283"/>
              <w:ind w:left="0" w:right="0" w:hanging="200"/>
              <w:jc w:val="left"/>
              <w:rPr/>
            </w:pPr>
            <w:r>
              <w:rPr/>
              <w:t> </w:t>
            </w:r>
          </w:p>
        </w:tc>
        <w:tc>
          <w:tcPr>
            <w:tcW w:w="170" w:type="dxa"/>
            <w:tcBorders/>
            <w:vAlign w:val="center"/>
          </w:tcPr>
          <w:p>
            <w:pPr>
              <w:pStyle w:val="TableContents"/>
              <w:bidi w:val="0"/>
              <w:spacing w:before="0" w:after="283"/>
              <w:ind w:left="0" w:right="0" w:hanging="200"/>
              <w:jc w:val="both"/>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Personal Protective Equipment (PPE) and Fire Safety Apparel.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products are sold directly to customers (e.g., municipalities, fire contractors, distributors and individuals).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Disaggregation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revenue by product category, which the Company believes best depicts how the nature, amount, timing, and uncertainty of revenue and cash flows are affected by economic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total revenue by product for the years ended December 31, 2025 and 2024 (in thousands):</w:t>
      </w:r>
    </w:p>
    <w:p>
      <w:pPr>
        <w:pStyle w:val="TextBody"/>
        <w:bidi w:val="0"/>
        <w:spacing w:before="0" w:after="0"/>
        <w:ind w:left="0" w:right="0" w:firstLine="360"/>
        <w:jc w:val="both"/>
        <w:rPr>
          <w:caps w:val="false"/>
          <w:smallCaps w:val="false"/>
        </w:rPr>
      </w:pPr>
      <w:bookmarkStart w:id="329" w:name="xdx_892_eus-gaap--DisaggregationOfRevenu"/>
      <w:bookmarkEnd w:id="329"/>
      <w:r>
        <w:rPr>
          <w:caps w:val="false"/>
          <w:smallCaps w:val="false"/>
        </w:rPr>
        <w:t> </w:t>
      </w:r>
      <w:r>
        <w:rPr>
          <w:rFonts w:ascii="Times New Roman;Times;Serif" w:hAnsi="Times New Roman;Times;Serif"/>
          <w:b w:val="false"/>
          <w:i w:val="false"/>
          <w:caps w:val="false"/>
          <w:smallCaps w:val="false"/>
          <w:sz w:val="20"/>
        </w:rPr>
        <w:t>Schedule of Disaggregation of Revenue</w:t>
      </w:r>
    </w:p>
    <w:p>
      <w:pPr>
        <w:pStyle w:val="TextBody"/>
        <w:bidi w:val="0"/>
        <w:spacing w:before="0" w:after="0"/>
        <w:ind w:left="0" w:right="0" w:firstLine="360"/>
        <w:jc w:val="both"/>
        <w:rPr>
          <w:caps w:val="false"/>
          <w:smallCaps w:val="false"/>
        </w:rPr>
      </w:pPr>
      <w:r>
        <w:rPr>
          <w:caps w:val="false"/>
          <w:smallCaps w:val="false"/>
        </w:rPr>
        <w:t> </w:t>
      </w:r>
    </w:p>
    <w:tbl>
      <w:tblPr>
        <w:tblW w:w="6471" w:type="dxa"/>
        <w:jc w:val="left"/>
        <w:tblInd w:w="0" w:type="dxa"/>
        <w:tblLayout w:type="fixed"/>
        <w:tblCellMar>
          <w:top w:w="0" w:type="dxa"/>
          <w:left w:w="0" w:type="dxa"/>
          <w:bottom w:w="0" w:type="dxa"/>
          <w:right w:w="0" w:type="dxa"/>
        </w:tblCellMar>
      </w:tblPr>
      <w:tblGrid>
        <w:gridCol w:w="2480"/>
        <w:gridCol w:w="60"/>
        <w:gridCol w:w="222"/>
        <w:gridCol w:w="1560"/>
        <w:gridCol w:w="106"/>
        <w:gridCol w:w="106"/>
        <w:gridCol w:w="222"/>
        <w:gridCol w:w="1640"/>
        <w:gridCol w:w="75"/>
      </w:tblGrid>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330" w:name="xdx_491_20250101__20251231_zrFiSN7VNS3g"/>
            <w:bookmarkEnd w:id="330"/>
          </w:p>
        </w:tc>
        <w:tc>
          <w:tcPr>
            <w:tcW w:w="1782" w:type="dxa"/>
            <w:gridSpan w:val="2"/>
            <w:tcBorders/>
            <w:vAlign w:val="center"/>
          </w:tcPr>
          <w:p>
            <w:pPr>
              <w:pStyle w:val="TableContents"/>
              <w:bidi w:val="0"/>
              <w:spacing w:before="0" w:after="283"/>
              <w:jc w:val="center"/>
              <w:rPr>
                <w:b/>
              </w:rPr>
            </w:pPr>
            <w:r>
              <w:rPr>
                <w:b/>
              </w:rPr>
              <w:t>-</w:t>
            </w:r>
          </w:p>
        </w:tc>
        <w:tc>
          <w:tcPr>
            <w:tcW w:w="106"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bookmarkStart w:id="331" w:name="xdx_498_20240101__20241231_zOpk7JyKXvY1"/>
            <w:bookmarkEnd w:id="331"/>
          </w:p>
        </w:tc>
        <w:tc>
          <w:tcPr>
            <w:tcW w:w="1862" w:type="dxa"/>
            <w:gridSpan w:val="2"/>
            <w:tcBorders/>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center"/>
              <w:rPr/>
            </w:pPr>
            <w:r>
              <w:rPr/>
              <w:t> </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85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Product revenue in $000’s for the year ended:</w:t>
            </w:r>
          </w:p>
        </w:tc>
        <w:tc>
          <w:tcPr>
            <w:tcW w:w="75" w:type="dxa"/>
            <w:tcBorders/>
            <w:vAlign w:val="center"/>
          </w:tcPr>
          <w:p>
            <w:pPr>
              <w:pStyle w:val="TableContents"/>
              <w:bidi w:val="0"/>
              <w:spacing w:before="0" w:after="283"/>
              <w:jc w:val="center"/>
              <w:rPr/>
            </w:pPr>
            <w:r>
              <w:rPr/>
              <w:t> </w:t>
            </w:r>
          </w:p>
        </w:tc>
      </w:tr>
      <w:tr>
        <w:trPr/>
        <w:tc>
          <w:tcPr>
            <w:tcW w:w="24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Product</w:t>
            </w:r>
          </w:p>
        </w:tc>
        <w:tc>
          <w:tcPr>
            <w:tcW w:w="60" w:type="dxa"/>
            <w:tcBorders/>
            <w:vAlign w:val="center"/>
          </w:tcPr>
          <w:p>
            <w:pPr>
              <w:pStyle w:val="TableContents"/>
              <w:bidi w:val="0"/>
              <w:spacing w:before="0" w:after="283"/>
              <w:jc w:val="center"/>
              <w:rPr/>
            </w:pPr>
            <w:r>
              <w:rPr/>
              <w:t> </w:t>
            </w:r>
          </w:p>
        </w:tc>
        <w:tc>
          <w:tcPr>
            <w:tcW w:w="178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2025</w:t>
            </w:r>
          </w:p>
        </w:tc>
        <w:tc>
          <w:tcPr>
            <w:tcW w:w="106"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18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2024</w:t>
            </w:r>
          </w:p>
        </w:tc>
        <w:tc>
          <w:tcPr>
            <w:tcW w:w="75" w:type="dxa"/>
            <w:tcBorders/>
            <w:vAlign w:val="center"/>
          </w:tcPr>
          <w:p>
            <w:pPr>
              <w:pStyle w:val="TableContents"/>
              <w:bidi w:val="0"/>
              <w:spacing w:before="0" w:after="283"/>
              <w:jc w:val="center"/>
              <w:rPr/>
            </w:pPr>
            <w:r>
              <w:rPr/>
              <w:t> </w:t>
            </w:r>
          </w:p>
        </w:tc>
      </w:tr>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82" w:type="dxa"/>
            <w:gridSpan w:val="2"/>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center"/>
              <w:rPr/>
            </w:pPr>
            <w:r>
              <w:rPr/>
              <w:t> </w:t>
            </w:r>
          </w:p>
        </w:tc>
        <w:tc>
          <w:tcPr>
            <w:tcW w:w="1862"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center"/>
              <w:rPr/>
            </w:pPr>
            <w:r>
              <w:rPr/>
              <w:t> </w:t>
            </w:r>
            <w:bookmarkStart w:id="332" w:name="xdx_40C_eus-gaap--RevenueFromContractWit"/>
            <w:bookmarkEnd w:id="332"/>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Safety aparel</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119</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bookmarkStart w:id="333" w:name="xdx_401_eus-gaap--RevenueFromContractWit"/>
            <w:bookmarkEnd w:id="333"/>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Fire safety equipment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5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603</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bookmarkStart w:id="334" w:name="xdx_404_eus-gaap--RevenueFromContractWit"/>
            <w:bookmarkEnd w:id="334"/>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&amp; Servicing</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bookmarkStart w:id="335" w:name="xdx_405_eus-gaap--RevenueFromContractWit"/>
            <w:bookmarkEnd w:id="335"/>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Project - supply &amp; installation</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5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6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bookmarkStart w:id="336" w:name="xdx_408_eus-gaap--RevenueFromContractWit"/>
            <w:bookmarkEnd w:id="336"/>
          </w:p>
        </w:tc>
      </w:tr>
      <w:tr>
        <w:trPr/>
        <w:tc>
          <w:tcPr>
            <w:tcW w:w="2480" w:type="dxa"/>
            <w:tcBorders/>
            <w:shd w:fill="CCEEFF" w:val="clear"/>
            <w:vAlign w:val="center"/>
          </w:tcPr>
          <w:p>
            <w:pPr>
              <w:pStyle w:val="TableContents"/>
              <w:bidi w:val="0"/>
              <w:spacing w:before="0" w:after="283"/>
              <w:jc w:val="left"/>
              <w:rPr>
                <w:sz w:val="20"/>
              </w:rPr>
            </w:pPr>
            <w:r>
              <w:rPr>
                <w:sz w:val="20"/>
              </w:rPr>
              <w:t>Clinical trial supply</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sz w:val="20"/>
              </w:rPr>
            </w:pPr>
            <w:r>
              <w:rPr>
                <w:sz w:val="20"/>
              </w:rPr>
              <w:t>-</w:t>
            </w:r>
          </w:p>
        </w:tc>
        <w:tc>
          <w:tcPr>
            <w:tcW w:w="106"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sz w:val="20"/>
              </w:rPr>
            </w:pPr>
            <w:r>
              <w:rPr>
                <w:sz w:val="20"/>
              </w:rPr>
              <w:t>43</w:t>
            </w:r>
          </w:p>
        </w:tc>
        <w:tc>
          <w:tcPr>
            <w:tcW w:w="75" w:type="dxa"/>
            <w:tcBorders/>
            <w:shd w:fill="CCEEFF" w:val="clear"/>
            <w:vAlign w:val="center"/>
          </w:tcPr>
          <w:p>
            <w:pPr>
              <w:pStyle w:val="TableContents"/>
              <w:bidi w:val="0"/>
              <w:spacing w:before="0" w:after="283"/>
              <w:jc w:val="left"/>
              <w:rPr/>
            </w:pPr>
            <w:r>
              <w:rPr/>
              <w:t> </w:t>
            </w:r>
            <w:bookmarkStart w:id="337" w:name="xdx_40F_eus-gaap--RevenueFromContractWit"/>
            <w:bookmarkEnd w:id="337"/>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Revenue</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56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747</w:t>
            </w:r>
          </w:p>
        </w:tc>
        <w:tc>
          <w:tcPr>
            <w:tcW w:w="106"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64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338" w:name="xdx_8AD_zpYV4Oy1hL1g"/>
      <w:bookmarkEnd w:id="33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recognized $</w:t>
      </w:r>
      <w:bookmarkStart w:id="339" w:name="xdx_90C_eus-gaap--Revenues_c20240101__20"/>
      <w:bookmarkEnd w:id="339"/>
      <w:r>
        <w:rPr>
          <w:rFonts w:ascii="Times New Roman;Times;Serif" w:hAnsi="Times New Roman;Times;Serif"/>
          <w:b w:val="false"/>
          <w:i w:val="false"/>
          <w:caps w:val="false"/>
          <w:smallCaps w:val="false"/>
          <w:sz w:val="20"/>
        </w:rPr>
        <w:t>43,000 of revenue for the year ended December 31, 2024. This revenue relates to recovery of clinical manufacturing costs associated with an investigator sponsored study managed by Cedars-Sinai Medical Center (“CSMC”). There were $</w:t>
      </w:r>
      <w:bookmarkStart w:id="340" w:name="xdx_90E_eus-gaap--Revenues_c20250101__20"/>
      <w:bookmarkEnd w:id="340"/>
      <w:r>
        <w:rPr>
          <w:rFonts w:ascii="Times New Roman;Times;Serif" w:hAnsi="Times New Roman;Times;Serif"/>
          <w:b w:val="false"/>
          <w:i w:val="false"/>
          <w:caps w:val="false"/>
          <w:smallCaps w:val="false"/>
          <w:sz w:val="20"/>
        </w:rPr>
        <w:t>0 revenues recognized for the comparative period in 2025. All revenues from this customer were recognized at the point in time that the related clinical supply were transferred to CSMC and CSMC obtains control over the goods. The arrangements with CSMC comprise a single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invoiced CSMC following the transfer of the clinical supply and provided CSMC with typical payment terms. The Company collected all amounts due from CSMC. As of December 31, 2025 and December 31, 2024, the Company has not recognized any accounts receivable from CSMC, credit loss allowances, contract assets, contract liabilities, or warranty provisions. There were no remaining performance obligations outstanding as of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with customers generally include a single performance obligation, which is the promise to transfer the purchased products to the customer.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satisfies its performance obligations at a point in time when control of the products transfers to the customer. Control typically transfers upon delivery, depending on the contractual delivery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1" w:name="xdx_841_eus-gaap--RevenueTransactionPric"/>
      <w:bookmarkEnd w:id="341"/>
      <w:r>
        <w:rPr>
          <w:rFonts w:ascii="Times New Roman;Times;Serif" w:hAnsi="Times New Roman;Times;Serif"/>
          <w:b/>
          <w:i w:val="false"/>
          <w:caps w:val="false"/>
          <w:smallCaps w:val="false"/>
          <w:sz w:val="20"/>
        </w:rPr>
        <w:t>Transaction Price and Variable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generally the stated contract price for the products sold. The Company’s contracts may include variable consideration in the form of discounts, price concessions, or other incentives.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consideration is estimated using the method that best predicts the amount of consideration to which the Company expects to be entitled and is included in revenue only to the extent that it is probable that a significant reversal of cumulative revenue recognized will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2" w:name="xdx_846_eus-gaap--LongDurationContractsP"/>
      <w:bookmarkEnd w:id="342"/>
      <w:r>
        <w:rPr>
          <w:rFonts w:ascii="Times New Roman;Times;Serif" w:hAnsi="Times New Roman;Times;Serif"/>
          <w:b/>
          <w:i w:val="false"/>
          <w:caps w:val="false"/>
          <w:smallCaps w:val="false"/>
          <w:sz w:val="20"/>
        </w:rPr>
        <w:t>Contract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represent the Company’s right to consideration in exchange for goods transferred to customers when that right is conditioned on something other than the passage of time. Contract liabilities represent amounts billed or collected from customers in advance of satisfying performance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and contract liabilities are not material to the business. Accounts receivable as of January 1, 2024 and 2025 was $</w:t>
      </w:r>
      <w:bookmarkStart w:id="343" w:name="xdx_907_eus-gaap--ReceivablesNetCurrent_"/>
      <w:bookmarkStart w:id="344" w:name="xdx_901_eus-gaap--ReceivablesNetCurrent_"/>
      <w:bookmarkEnd w:id="343"/>
      <w:bookmarkEnd w:id="344"/>
      <w:r>
        <w:rPr>
          <w:rFonts w:ascii="Times New Roman;Times;Serif" w:hAnsi="Times New Roman;Times;Serif"/>
          <w:b w:val="false"/>
          <w:i w:val="false"/>
          <w:caps w:val="false"/>
          <w:smallCaps w:val="false"/>
          <w:sz w:val="20"/>
        </w:rPr>
        <w:t>0. Accounts receivable, before allowance for doubtful debt as of December 31, 2025 was $</w:t>
      </w:r>
      <w:bookmarkStart w:id="345" w:name="xdx_907_ecustom--AccountsReceivablesBefo"/>
      <w:bookmarkEnd w:id="345"/>
      <w:r>
        <w:rPr>
          <w:rFonts w:ascii="Times New Roman;Times;Serif" w:hAnsi="Times New Roman;Times;Serif"/>
          <w:b w:val="false"/>
          <w:i w:val="false"/>
          <w:caps w:val="false"/>
          <w:smallCaps w:val="false"/>
          <w:sz w:val="20"/>
        </w:rPr>
        <w:t>1,588,000.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6" w:name="xdx_841_ecustom--SignificantPaymentTerms"/>
      <w:bookmarkEnd w:id="346"/>
      <w:r>
        <w:rPr>
          <w:rFonts w:ascii="Times New Roman;Times;Serif" w:hAnsi="Times New Roman;Times;Serif"/>
          <w:b/>
          <w:i w:val="false"/>
          <w:caps w:val="false"/>
          <w:smallCaps w:val="false"/>
          <w:sz w:val="20"/>
        </w:rPr>
        <w:t>Significant Payment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payment terms vary by customer and contract but generally require payment within 30–60 days from the invoice date. The Company does not have significant financing components in its contracts, as the period between the transfer of goods and customer payment is typically less than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7" w:name="xdx_845_ecustom--WarrantiesPolicyTextBlo"/>
      <w:bookmarkEnd w:id="347"/>
      <w:r>
        <w:rPr>
          <w:rFonts w:ascii="Times New Roman;Times;Serif" w:hAnsi="Times New Roman;Times;Serif"/>
          <w:b/>
          <w:i w:val="false"/>
          <w:caps w:val="false"/>
          <w:smallCaps w:val="false"/>
          <w:sz w:val="20"/>
        </w:rPr>
        <w:t>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assurance-type warranties that its products comply with agreed-upon specifications and are free from defects for a specified period. These warranties do not represent separate performance obligations Such warranty reserves are immaterial.</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8" w:name="xdx_84F_ecustom--ReturnsAndRefundsPolicy"/>
      <w:bookmarkEnd w:id="348"/>
      <w:r>
        <w:rPr>
          <w:rFonts w:ascii="Times New Roman;Times;Serif" w:hAnsi="Times New Roman;Times;Serif"/>
          <w:b/>
          <w:i w:val="false"/>
          <w:caps w:val="false"/>
          <w:smallCaps w:val="false"/>
          <w:sz w:val="20"/>
        </w:rPr>
        <w:t>Returns and Refunds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allow customers to return products if they are deemed faulty or otherwise not fit for purpose. Expected returns are estimated and recorded as a reduction of revenue, with a corresponding refund liability and right-of-return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returns is of an immaterial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9" w:name="xdx_847_ecustom--PracticalExpedientsAndP"/>
      <w:bookmarkEnd w:id="349"/>
      <w:r>
        <w:rPr>
          <w:rFonts w:ascii="Times New Roman;Times;Serif" w:hAnsi="Times New Roman;Times;Serif"/>
          <w:b/>
          <w:i w:val="false"/>
          <w:caps w:val="false"/>
          <w:smallCaps w:val="false"/>
          <w:sz w:val="20"/>
        </w:rPr>
        <w:t>Practical Expedients and Policy Elections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practical expedient to expense incremental costs of obtaining a contract, such as commissions, when the amortization period would have been one year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0" w:name="xdx_849_eus-gaap--RevenueRemainingPerfor"/>
      <w:bookmarkEnd w:id="350"/>
      <w:r>
        <w:rPr>
          <w:rFonts w:ascii="Times New Roman;Times;Serif" w:hAnsi="Times New Roman;Times;Serif"/>
          <w:b/>
          <w:i w:val="false"/>
          <w:caps w:val="false"/>
          <w:smallCaps w:val="false"/>
          <w:sz w:val="20"/>
        </w:rPr>
        <w:t>Remaining Performance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performance obligations are generally satisfied within one year. As a result, the Company has elected the practical expedient not to disclose the value of remaining performance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1" w:name="xdx_84B_ecustom--OtherIncomePolicyTextBl"/>
      <w:bookmarkEnd w:id="351"/>
      <w:r>
        <w:rPr>
          <w:rFonts w:ascii="Times New Roman;Times;Serif" w:hAnsi="Times New Roman;Times;Serif"/>
          <w:b/>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is primarily related to royalty income received under a historical Asset Purchase Agreement for activities which are not part of the Company’s ongoing operations and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2" w:name="xdx_844_eus-gaap--LesseeLeasesPolicyText"/>
      <w:bookmarkEnd w:id="352"/>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lease contracts in accordance with ASC 842. As of December 31, 2025 and 2024, all of the Company’s leases are classified as 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an asset for the right to use an underlying leased asset for the lease term and records lease liabilities based on the present value of the Company’s obligation to make lease payments under the lease. As the Company’s leases do not indicate an implicit rate, the Company uses a best estimate of its incremental borrowing rate to discount the future lease payments. The Company estimates its incremental borrowing rate based on observable information about risk-free interest rates that are the same tenure as the lease term, adjusted for various factors, including the effects of assumed collateral, the nature of how a loan would be repaid (e.g., amortizing versus bullet), and the Company’s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options included in its lease agreements to extend or terminate the lease. The Company will reflect the effects of exercising those options in the lease term when it is reasonably certain that the Company will exercise that option. In assessing whether it is reasonably certain that the Company will exercise an option, the Company considers factors such as:</w:t>
      </w:r>
    </w:p>
    <w:p>
      <w:pPr>
        <w:pStyle w:val="TextBody"/>
        <w:bidi w:val="0"/>
        <w:spacing w:before="0" w:after="0"/>
        <w:ind w:left="0" w:right="0" w:hanging="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payments due in any optional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Penalties for failure to exercise (or not exercise) the option;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factors, such as the availability of similar assets and current rental rates for such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underlying leased asset and its importance to the Company’s operations;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useful lives of any related leasehold improvements.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for the Company’s operating leases is recognized on a straight-line basis over the lease term and is reported as a component of general and administrative expense. Variable lease payments, if any, are recognized in the period when the obligation to make those payments is incurred. Lease incentives received prior to lease commencement are recorded as a reduction in the right-of-use asset. Fixed lease incentives received after lease commencement reduce both the lease liability and the right-of-use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an accounting policy to account for the lease and non-lease components as a single lease component.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3" w:name="xdx_848_eus-gaap--ShareBasedCompensation"/>
      <w:bookmarkEnd w:id="353"/>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all stock options and other stock-based awards granted to employees, consultants, and directors based on the fair value on the date of the grant and recognizes compensation expense of those awards over the requisite service period, which for the Company is the period between the grant date and the date the award vests or becomes exercisable. Many awards granted by the Company vest ratably over three or four years. However, certain awards granted to members of the Company’s Board of Directors vest in their entirety on the one-year anniversary following the date of grant. Generally, the Company issues stock options and restricted stock awards to employees or consultants with only service-based vesting conditions and records the expense for these awards using the straight-line method. However, in certain years, the Company will grant share-based payment awards to employees or consultants that are dependent upon the fulfillment of certain clinical and financial conditions. In such instances where the performance condition must be met for the award to vest, the company only recognizes compensation expense when the award is probable of vesting (See Note 15 —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stock-based compensation expenses in its statement of operations in the same manner in which the award recipient’s payroll costs are classified. The Company accounts for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restricted stock and restricted stock units is determined based on the number of shares granted and the quoted price of the Company’s common stock on the date of grant. The determination of grant-date fair value for stock option awards is estimated using the Black-Scholes model, which includes variables such as the expected volatility of the Company’s share price, expected term of the award, interest rates, and dividend yields.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relies on its historical volatility as an input to the option pricing model as management believes that this rate will be representative of future volatility over the expected term of the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assumption is estimated using past history of early exercise behavior and expectations about future behaviors.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risk-free interest rate represents the interest rate for treasury constant maturities published by the Federal Reserve Board. If the term of available treasury constant maturity instruments is not equal to the expected term of an employee option, Cyclacel interpolates a discount rate based on the two Federal Reserve securities closest to the expected term of the employee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dividend yield is zero, as the Company has never paid cash dividends on common stock and does not expect to pay any cash dividends on common stock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4" w:name="xdx_840_eus-gaap--IncomeTaxPolicyTextBlo"/>
      <w:bookmarkEnd w:id="354"/>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for unrecognized tax benefits that are considered appropriate as well as the related net interest and penalties.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research and development tax credits within income taxes. Credit is taken in the accounting period for research and development tax credits, when claimed from H.M. Revenue &amp; Customs, or HMRC, the United Kingdom’s taxation and customs authority, in respect of qualifying research and development costs incurred in the same accounting period.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5" w:name="xdx_84F_eus-gaap--EarningsPerSharePolicy"/>
      <w:bookmarkEnd w:id="355"/>
      <w:r>
        <w:rPr>
          <w:rFonts w:ascii="Times New Roman;Times;Serif" w:hAnsi="Times New Roman;Times;Serif"/>
          <w:b/>
          <w:i/>
          <w:caps w:val="false"/>
          <w:smallCaps w:val="false"/>
          <w:sz w:val="20"/>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calculates net loss per common share in accordance with ASC 260 “Earnings Per Share”. Basic and diluted net loss per common share was determined by dividing the net loss applicable to common stockholders by the weighted average number of common shares outstanding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in which the Company reports a net loss attributable to common stockholders, diluted net loss per share attributable to common stockholders is the same as basic net loss per share attributable to common stockholders since potentially dilutive common shares are not assumed to have been issued if their effect is anti-dilutive. The Company reported a net loss attributable to common stockholders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6" w:name="xdx_843_eus-gaap--ComprehensiveIncomePol"/>
      <w:bookmarkEnd w:id="356"/>
      <w:r>
        <w:rPr>
          <w:rFonts w:ascii="Times New Roman;Times;Serif" w:hAnsi="Times New Roman;Times;Serif"/>
          <w:b/>
          <w:i/>
          <w:caps w:val="false"/>
          <w:smallCaps w:val="false"/>
          <w:sz w:val="20"/>
        </w:rPr>
        <w:t>Comprehensive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components of comprehensive income (loss), including net income (loss), are reported in the financial statements in the period in which they are recognized. Comprehensive income (loss) is defined as the change in equity during a period from transactions and other events and circumstances from non-owner sources. Net income (loss) and other comprehensive income (loss), including foreign currency translation adjustments, are reported to arrive at comprehensive income (loss). There were </w:t>
      </w:r>
      <w:bookmarkStart w:id="357" w:name="xdx_90D_eus-gaap--ReclassificationFromAc"/>
      <w:bookmarkEnd w:id="357"/>
      <w:r>
        <w:rPr>
          <w:rFonts w:ascii="Times New Roman;Times;Serif" w:hAnsi="Times New Roman;Times;Serif"/>
          <w:b w:val="false"/>
          <w:i w:val="false"/>
          <w:caps w:val="false"/>
          <w:smallCaps w:val="false"/>
          <w:sz w:val="20"/>
        </w:rPr>
        <w:t>no reclassifications out of other comprehensive income (loss) during the year ended December 31, 2024. In 2025, the Company deconsolidated a foreign operation based in the United Kingdom. Upon loss of control of the foreign subsidiary, the accumulated translation adjustments recorded in other comprehensive income within equity were recycled as part of the gain on deconsolidation of former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8" w:name="xdx_84F_eus-gaap--NewAccountingPronounce"/>
      <w:bookmarkEnd w:id="358"/>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FASB has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as amended by ASU 2025-01, “</w:t>
      </w:r>
      <w:r>
        <w:rPr>
          <w:rFonts w:ascii="Times New Roman;Times;Serif" w:hAnsi="Times New Roman;Times;Serif"/>
          <w:b w:val="false"/>
          <w:i/>
          <w:caps w:val="false"/>
          <w:smallCaps w:val="false"/>
          <w:sz w:val="20"/>
        </w:rPr>
        <w:t>Income Statement—Reporting Comprehensive Income—Expense Disaggregation Disclosures (Subtopic 220-40): Clarifying the Effective Date”</w:t>
      </w:r>
      <w:r>
        <w:rPr>
          <w:rFonts w:ascii="Times New Roman;Times;Serif" w:hAnsi="Times New Roman;Times;Serif"/>
          <w:b w:val="false"/>
          <w:i w:val="false"/>
          <w:caps w:val="false"/>
          <w:smallCaps w:val="false"/>
          <w:sz w:val="20"/>
        </w:rPr>
        <w:t>. This standard will require all public entities to disclose additional information about specific expense categories in the notes to financial statements at interim and annual reporting periods. The amendments in ASU 2024-03 are effective for annual reporting periods beginning after December 15, 2026, and interim reporting periods beginning after December 15, 2027. ASU 2024-03 will not change the way in which expenses are recognized or measured. However, the Company is currently evaluating the effects of ASU 2023-07 on its financial statement presentation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Policies Prior to the Disposition of Pharmaceutical Development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59" w:name="xdx_841_eus-gaap--ResearchAndDevelopment"/>
      <w:bookmarkEnd w:id="359"/>
      <w:r>
        <w:rPr>
          <w:rFonts w:ascii="Times New Roman;Times;Serif" w:hAnsi="Times New Roman;Times;Serif"/>
          <w:b/>
          <w:i/>
          <w:caps w:val="false"/>
          <w:smallCaps w:val="false"/>
          <w:sz w:val="20"/>
        </w:rPr>
        <w:t>Research and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costs associated with the development of the Company’s product candidates, including upfront fees, milestones, compensation and other expenses for research and development personnel, supplies and development materials, costs for consultants and related contract research, facility costs and depreciation. Expenditures relating to research and development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0" w:name="xdx_84A_ecustom--ClinicalTrialAccounting"/>
      <w:bookmarkEnd w:id="360"/>
      <w:r>
        <w:rPr>
          <w:rFonts w:ascii="Times New Roman;Times;Serif" w:hAnsi="Times New Roman;Times;Serif"/>
          <w:b/>
          <w:i/>
          <w:caps w:val="false"/>
          <w:smallCaps w:val="false"/>
          <w:sz w:val="20"/>
        </w:rPr>
        <w:t>Clinical Trial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management and monitoring of the Company’s clinical trials are performed with the assistance of contract research organizations, or CROs or clinical research associates, or CRAs in accordance with the Company’s standard operating procedures. Typically, CROs and CRAs bill monthly for services performed, and others bill based upon milestones achieved. The Company accrues unbilled clinical trial expenses based on estimates of the level of services performed each period. Clinical trial costs related to patient enrollment are accrued as patients are entered into and progress through the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61" w:name="xdx_845_ecustom--PatentCostsPolicyTextBl"/>
      <w:bookmarkEnd w:id="361"/>
      <w:r>
        <w:rPr>
          <w:rFonts w:ascii="Times New Roman;Times;Serif" w:hAnsi="Times New Roman;Times;Serif"/>
          <w:b/>
          <w:i/>
          <w:caps w:val="false"/>
          <w:smallCaps w:val="false"/>
          <w:sz w:val="20"/>
        </w:rPr>
        <w:t>Patent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prosecution costs are charged to general and administrative expenses as incurred as recoverability of such expenditure is uncertain.</w:t>
      </w:r>
    </w:p>
    <w:p>
      <w:pPr>
        <w:pStyle w:val="TextBody"/>
        <w:bidi w:val="0"/>
        <w:spacing w:before="0" w:after="0"/>
        <w:ind w:left="0" w:right="0" w:hanging="0"/>
        <w:jc w:val="both"/>
        <w:rPr>
          <w:caps w:val="false"/>
          <w:smallCaps w:val="false"/>
        </w:rPr>
      </w:pPr>
      <w:bookmarkStart w:id="362" w:name="xdx_857_zFzQp6AV30Pd"/>
      <w:bookmarkEnd w:id="36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3" w:name="xdx_803_ecustom--SignificantContractsDis"/>
      <w:bookmarkEnd w:id="363"/>
      <w:r>
        <w:rPr>
          <w:rFonts w:ascii="Times New Roman;Times;Serif" w:hAnsi="Times New Roman;Times;Serif"/>
          <w:b/>
          <w:i w:val="false"/>
          <w:caps w:val="false"/>
          <w:smallCaps w:val="false"/>
          <w:sz w:val="20"/>
        </w:rPr>
        <w:t xml:space="preserve">3. </w:t>
      </w:r>
      <w:bookmarkStart w:id="364" w:name="xdx_82C_zNwuFIZO4eV6"/>
      <w:bookmarkEnd w:id="364"/>
      <w:r>
        <w:rPr>
          <w:rFonts w:ascii="Times New Roman;Times;Serif" w:hAnsi="Times New Roman;Times;Serif"/>
          <w:b/>
          <w:i w:val="false"/>
          <w:caps w:val="false"/>
          <w:smallCaps w:val="false"/>
          <w:sz w:val="20"/>
        </w:rPr>
        <w:t>Significant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currently have any significant contracts in relation to the operations of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5" w:name="xdx_80D_eus-gaap--CashAndCashEquivalents"/>
      <w:bookmarkEnd w:id="365"/>
      <w:r>
        <w:rPr>
          <w:rFonts w:ascii="Times New Roman;Times;Serif" w:hAnsi="Times New Roman;Times;Serif"/>
          <w:b/>
          <w:i w:val="false"/>
          <w:caps w:val="false"/>
          <w:smallCaps w:val="false"/>
          <w:sz w:val="20"/>
        </w:rPr>
        <w:t xml:space="preserve">4. </w:t>
      </w:r>
      <w:bookmarkStart w:id="366" w:name="xdx_821_zjsL6qwy9kc6"/>
      <w:bookmarkEnd w:id="366"/>
      <w:r>
        <w:rPr>
          <w:rFonts w:ascii="Times New Roman;Times;Serif" w:hAnsi="Times New Roman;Times;Serif"/>
          <w:b/>
          <w:i w:val="false"/>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67" w:name="xdx_890_eus-gaap--ScheduleOfCashAndCashE"/>
      <w:bookmarkEnd w:id="367"/>
      <w:r>
        <w:rPr>
          <w:rFonts w:ascii="Times New Roman;Times;Serif" w:hAnsi="Times New Roman;Times;Serif"/>
          <w:b w:val="false"/>
          <w:i w:val="false"/>
          <w:caps w:val="false"/>
          <w:smallCaps w:val="false"/>
          <w:sz w:val="20"/>
        </w:rPr>
        <w:t>The following is a summary of cash and cash equivalents at December 31, 2025 and 2024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68" w:name="xdx_8B6_z4fUqZvLPNc"/>
      <w:bookmarkEnd w:id="368"/>
      <w:r>
        <w:rPr>
          <w:rFonts w:ascii="Times New Roman;Times;Serif" w:hAnsi="Times New Roman;Times;Serif"/>
          <w:b w:val="false"/>
          <w:i w:val="false"/>
          <w:caps w:val="false"/>
          <w:smallCaps w:val="false"/>
          <w:sz w:val="20"/>
        </w:rPr>
        <w:t>Summary of Cash and Cash Equivalents </w:t>
      </w:r>
    </w:p>
    <w:tbl>
      <w:tblPr>
        <w:tblW w:w="4675" w:type="dxa"/>
        <w:jc w:val="left"/>
        <w:tblInd w:w="0" w:type="dxa"/>
        <w:tblLayout w:type="fixed"/>
        <w:tblCellMar>
          <w:top w:w="0" w:type="dxa"/>
          <w:left w:w="0" w:type="dxa"/>
          <w:bottom w:w="0" w:type="dxa"/>
          <w:right w:w="0" w:type="dxa"/>
        </w:tblCellMar>
      </w:tblPr>
      <w:tblGrid>
        <w:gridCol w:w="3020"/>
        <w:gridCol w:w="60"/>
        <w:gridCol w:w="140"/>
        <w:gridCol w:w="560"/>
        <w:gridCol w:w="60"/>
        <w:gridCol w:w="60"/>
        <w:gridCol w:w="140"/>
        <w:gridCol w:w="560"/>
        <w:gridCol w:w="75"/>
      </w:tblGrid>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9" w:name="xdx_499_20251231_zqQlLel8a2J8"/>
            <w:bookmarkEnd w:id="369"/>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0" w:name="xdx_495_20241231_zsgijZKWuS64"/>
            <w:bookmarkEnd w:id="370"/>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371" w:name="xdx_406_eus-gaap--Cash_iI_pn3n3_maCACEAz"/>
            <w:bookmarkEnd w:id="371"/>
          </w:p>
        </w:tc>
      </w:tr>
      <w:tr>
        <w:trPr/>
        <w:tc>
          <w:tcPr>
            <w:tcW w:w="302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93</w:t>
            </w:r>
          </w:p>
        </w:tc>
        <w:tc>
          <w:tcPr>
            <w:tcW w:w="75" w:type="dxa"/>
            <w:tcBorders/>
            <w:shd w:fill="CCEEFF" w:val="clear"/>
            <w:vAlign w:val="center"/>
          </w:tcPr>
          <w:p>
            <w:pPr>
              <w:pStyle w:val="TableContents"/>
              <w:bidi w:val="0"/>
              <w:spacing w:before="0" w:after="283"/>
              <w:jc w:val="left"/>
              <w:rPr/>
            </w:pPr>
            <w:r>
              <w:rPr/>
              <w:t> </w:t>
            </w:r>
            <w:bookmarkStart w:id="372" w:name="xdx_404_eus-gaap--CashEquivalentsAtCarry"/>
            <w:bookmarkEnd w:id="372"/>
          </w:p>
        </w:tc>
      </w:tr>
      <w:tr>
        <w:trPr/>
        <w:tc>
          <w:tcPr>
            <w:tcW w:w="3020"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3,044</w:t>
            </w:r>
          </w:p>
        </w:tc>
        <w:tc>
          <w:tcPr>
            <w:tcW w:w="75" w:type="dxa"/>
            <w:tcBorders/>
            <w:shd w:fill="FFFFFF" w:val="clear"/>
            <w:vAlign w:val="center"/>
          </w:tcPr>
          <w:p>
            <w:pPr>
              <w:pStyle w:val="TableContents"/>
              <w:bidi w:val="0"/>
              <w:spacing w:before="0" w:after="283"/>
              <w:jc w:val="left"/>
              <w:rPr/>
            </w:pPr>
            <w:r>
              <w:rPr/>
              <w:t> </w:t>
            </w:r>
            <w:bookmarkStart w:id="373" w:name="xdx_40E_eus-gaap--CashAndCashEquivalents"/>
            <w:bookmarkEnd w:id="373"/>
          </w:p>
        </w:tc>
      </w:tr>
      <w:tr>
        <w:trPr/>
        <w:tc>
          <w:tcPr>
            <w:tcW w:w="3020" w:type="dxa"/>
            <w:tcBorders/>
            <w:shd w:fill="CCEEFF" w:val="clear"/>
            <w:vAlign w:val="center"/>
          </w:tcPr>
          <w:p>
            <w:pPr>
              <w:pStyle w:val="TableContents"/>
              <w:bidi w:val="0"/>
              <w:spacing w:before="0" w:after="283"/>
              <w:jc w:val="left"/>
              <w:rPr/>
            </w:pPr>
            <w:r>
              <w:rPr/>
              <w:t>Total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3,137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74" w:name="xdx_8AE_zJ5ZmWuMBPcc"/>
      <w:bookmarkEnd w:id="374"/>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are made up entirely of money market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5" w:name="xdx_807_eus-gaap--FairValueDisclosuresTe"/>
      <w:bookmarkEnd w:id="375"/>
      <w:r>
        <w:rPr>
          <w:rFonts w:ascii="Times New Roman;Times;Serif" w:hAnsi="Times New Roman;Times;Serif"/>
          <w:b/>
          <w:i w:val="false"/>
          <w:caps w:val="false"/>
          <w:smallCaps w:val="false"/>
          <w:sz w:val="20"/>
        </w:rPr>
        <w:t xml:space="preserve">5. </w:t>
      </w:r>
      <w:bookmarkStart w:id="376" w:name="xdx_829_zqjEqjtNO6Bc"/>
      <w:bookmarkEnd w:id="376"/>
      <w:r>
        <w:rPr>
          <w:rFonts w:ascii="Times New Roman;Times;Serif" w:hAnsi="Times New Roman;Times;Serif"/>
          <w:b/>
          <w:i w:val="false"/>
          <w:caps w:val="false"/>
          <w:smallCaps w:val="false"/>
          <w:sz w:val="20"/>
        </w:rPr>
        <w:t>Fair Value of Financial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77" w:name="xdx_894_eus-gaap--ScheduleOfFairValueAss"/>
      <w:bookmarkEnd w:id="377"/>
      <w:r>
        <w:rPr>
          <w:rFonts w:ascii="Times New Roman;Times;Serif" w:hAnsi="Times New Roman;Times;Serif"/>
          <w:b w:val="false"/>
          <w:i w:val="false"/>
          <w:caps w:val="false"/>
          <w:smallCaps w:val="false"/>
          <w:sz w:val="20"/>
        </w:rPr>
        <w:t>The following tables present information about the Company’s financial assets and liabilities measured at fair value on a recurring basis and indicate the level of the fair value hierarchy utilized to determine such fair values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378" w:name="xdx_8B9_zXNwA9URMGi1"/>
      <w:bookmarkEnd w:id="378"/>
      <w:r>
        <w:rPr>
          <w:rFonts w:ascii="Times New Roman;Times;Serif" w:hAnsi="Times New Roman;Times;Serif"/>
          <w:b w:val="false"/>
          <w:i w:val="false"/>
          <w:caps w:val="false"/>
          <w:smallCaps w:val="false"/>
          <w:sz w:val="20"/>
        </w:rPr>
        <w:t>Schedule of Financial Assets and Liabilities Measured on a Recurring Basis</w:t>
      </w:r>
    </w:p>
    <w:tbl>
      <w:tblPr>
        <w:tblW w:w="5316" w:type="dxa"/>
        <w:jc w:val="left"/>
        <w:tblInd w:w="0" w:type="dxa"/>
        <w:tblLayout w:type="fixed"/>
        <w:tblCellMar>
          <w:top w:w="0" w:type="dxa"/>
          <w:left w:w="0" w:type="dxa"/>
          <w:bottom w:w="0" w:type="dxa"/>
          <w:right w:w="0" w:type="dxa"/>
        </w:tblCellMar>
      </w:tblPr>
      <w:tblGrid>
        <w:gridCol w:w="1640"/>
        <w:gridCol w:w="60"/>
        <w:gridCol w:w="140"/>
        <w:gridCol w:w="700"/>
        <w:gridCol w:w="64"/>
        <w:gridCol w:w="64"/>
        <w:gridCol w:w="150"/>
        <w:gridCol w:w="700"/>
        <w:gridCol w:w="64"/>
        <w:gridCol w:w="64"/>
        <w:gridCol w:w="150"/>
        <w:gridCol w:w="700"/>
        <w:gridCol w:w="60"/>
        <w:gridCol w:w="60"/>
        <w:gridCol w:w="140"/>
        <w:gridCol w:w="485"/>
        <w:gridCol w:w="75"/>
      </w:tblGrid>
      <w:tr>
        <w:trPr/>
        <w:tc>
          <w:tcPr>
            <w:tcW w:w="16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379" w:name="xdx_496_20251231__us-gaap--FairValueByFa"/>
            <w:bookmarkEnd w:id="379"/>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380" w:name="xdx_492_20251231__us-gaap--FairValueByFa"/>
            <w:bookmarkEnd w:id="380"/>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381" w:name="xdx_496_20251231__us-gaap--FairValueByFa"/>
            <w:bookmarkEnd w:id="381"/>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bookmarkStart w:id="382" w:name="xdx_491_20251231__us-gaap--FairValueByMe"/>
            <w:bookmarkEnd w:id="382"/>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656" w:type="dxa"/>
            <w:gridSpan w:val="9"/>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 Measurements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485"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r>
      <w:tr>
        <w:trPr/>
        <w:tc>
          <w:tcPr>
            <w:tcW w:w="16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2656" w:type="dxa"/>
            <w:gridSpan w:val="9"/>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31, 2025 Using:</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r>
      <w:tr>
        <w:trPr/>
        <w:tc>
          <w:tcPr>
            <w:tcW w:w="164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64" w:type="dxa"/>
            <w:tcBorders/>
            <w:shd w:fill="FFFFFF" w:val="clear"/>
            <w:vAlign w:val="center"/>
          </w:tcPr>
          <w:p>
            <w:pPr>
              <w:pStyle w:val="TableContents"/>
              <w:bidi w:val="0"/>
              <w:spacing w:before="0" w:after="283"/>
              <w:jc w:val="center"/>
              <w:rPr/>
            </w:pPr>
            <w:r>
              <w:rPr/>
              <w:t> </w:t>
            </w:r>
          </w:p>
        </w:tc>
        <w:tc>
          <w:tcPr>
            <w:tcW w:w="64" w:type="dxa"/>
            <w:tcBorders/>
            <w:shd w:fill="FFFFFF" w:val="clear"/>
            <w:vAlign w:val="center"/>
          </w:tcPr>
          <w:p>
            <w:pPr>
              <w:pStyle w:val="TableContents"/>
              <w:bidi w:val="0"/>
              <w:spacing w:before="0" w:after="283"/>
              <w:jc w:val="center"/>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83" w:name="xdx_409_eus-gaap--CashEquivalentsAtCarry"/>
            <w:bookmarkEnd w:id="383"/>
          </w:p>
        </w:tc>
      </w:tr>
      <w:tr>
        <w:trPr/>
        <w:tc>
          <w:tcPr>
            <w:tcW w:w="1640"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84" w:name="xdx_40B_eus-gaap--AssetsFairValueDisclos"/>
            <w:bookmarkEnd w:id="384"/>
          </w:p>
        </w:tc>
      </w:tr>
      <w:tr>
        <w:trPr/>
        <w:tc>
          <w:tcPr>
            <w:tcW w:w="164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788" w:type="dxa"/>
        <w:jc w:val="left"/>
        <w:tblInd w:w="0" w:type="dxa"/>
        <w:tblLayout w:type="fixed"/>
        <w:tblCellMar>
          <w:top w:w="0" w:type="dxa"/>
          <w:left w:w="0" w:type="dxa"/>
          <w:bottom w:w="0" w:type="dxa"/>
          <w:right w:w="0" w:type="dxa"/>
        </w:tblCellMar>
      </w:tblPr>
      <w:tblGrid>
        <w:gridCol w:w="1640"/>
        <w:gridCol w:w="60"/>
        <w:gridCol w:w="192"/>
        <w:gridCol w:w="773"/>
        <w:gridCol w:w="75"/>
        <w:gridCol w:w="75"/>
        <w:gridCol w:w="336"/>
        <w:gridCol w:w="628"/>
        <w:gridCol w:w="75"/>
        <w:gridCol w:w="75"/>
        <w:gridCol w:w="336"/>
        <w:gridCol w:w="628"/>
        <w:gridCol w:w="60"/>
        <w:gridCol w:w="60"/>
        <w:gridCol w:w="140"/>
        <w:gridCol w:w="560"/>
        <w:gridCol w:w="75"/>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5" w:name="xdx_49D_20241231__us-gaap--FairValueByFa"/>
            <w:bookmarkEnd w:id="385"/>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386" w:name="xdx_494_20241231__us-gaap--FairValueByFa"/>
            <w:bookmarkEnd w:id="386"/>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387" w:name="xdx_49E_20241231__us-gaap--FairValueByFa"/>
            <w:bookmarkEnd w:id="387"/>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88" w:name="xdx_49B_20241231__us-gaap--FairValueByMe"/>
            <w:bookmarkEnd w:id="388"/>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3" w:type="dxa"/>
            <w:gridSpan w:val="10"/>
            <w:tcBorders/>
            <w:vAlign w:val="center"/>
          </w:tcPr>
          <w:p>
            <w:pPr>
              <w:pStyle w:val="TableContents"/>
              <w:bidi w:val="0"/>
              <w:spacing w:before="0" w:after="283"/>
              <w:jc w:val="center"/>
              <w:rPr>
                <w:b/>
              </w:rPr>
            </w:pPr>
            <w:r>
              <w:rPr>
                <w:b/>
              </w:rPr>
              <w:t>Fair Value Measurements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3"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December 31, 2024 Using: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965"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964"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964"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0"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89" w:name="xdx_409_eus-gaap--CashEquivalentsAtCarry"/>
            <w:bookmarkEnd w:id="389"/>
          </w:p>
        </w:tc>
      </w:tr>
      <w:tr>
        <w:trPr/>
        <w:tc>
          <w:tcPr>
            <w:tcW w:w="1640" w:type="dxa"/>
            <w:tcBorders/>
            <w:shd w:fill="FFFFFF" w:val="clear"/>
            <w:vAlign w:val="center"/>
          </w:tcPr>
          <w:p>
            <w:pPr>
              <w:pStyle w:val="TableContents"/>
              <w:bidi w:val="0"/>
              <w:spacing w:before="0" w:after="283"/>
              <w:jc w:val="left"/>
              <w:rPr/>
            </w:pPr>
            <w:r>
              <w:rPr/>
              <w:t>Cash equivalents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73" w:type="dxa"/>
            <w:tcBorders>
              <w:bottom w:val="single" w:sz="8" w:space="0" w:color="000000"/>
            </w:tcBorders>
            <w:shd w:fill="FFFFFF" w:val="clear"/>
            <w:tcMar>
              <w:bottom w:w="28" w:type="dxa"/>
            </w:tcMar>
            <w:vAlign w:val="center"/>
          </w:tcPr>
          <w:p>
            <w:pPr>
              <w:pStyle w:val="TableContents"/>
              <w:bidi w:val="0"/>
              <w:spacing w:before="0" w:after="283"/>
              <w:jc w:val="right"/>
              <w:rPr/>
            </w:pPr>
            <w:r>
              <w:rPr/>
              <w:t>3,044</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33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33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3,044</w:t>
            </w:r>
          </w:p>
        </w:tc>
        <w:tc>
          <w:tcPr>
            <w:tcW w:w="75" w:type="dxa"/>
            <w:tcBorders/>
            <w:shd w:fill="FFFFFF" w:val="clear"/>
            <w:vAlign w:val="center"/>
          </w:tcPr>
          <w:p>
            <w:pPr>
              <w:pStyle w:val="TableContents"/>
              <w:bidi w:val="0"/>
              <w:spacing w:before="0" w:after="283"/>
              <w:jc w:val="left"/>
              <w:rPr/>
            </w:pPr>
            <w:r>
              <w:rPr/>
              <w:t> </w:t>
            </w:r>
            <w:bookmarkStart w:id="390" w:name="xdx_404_eus-gaap--AssetsFairValueDisclos"/>
            <w:bookmarkEnd w:id="390"/>
          </w:p>
        </w:tc>
      </w:tr>
      <w:tr>
        <w:trPr/>
        <w:tc>
          <w:tcPr>
            <w:tcW w:w="164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jc w:val="right"/>
              <w:rPr/>
            </w:pPr>
            <w:r>
              <w:rPr/>
              <w:t>3,044</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33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3,044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91" w:name="xdx_8A3_zk5E9IYg6c39"/>
      <w:bookmarkEnd w:id="391"/>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92" w:name="xdx_809_eus-gaap--InventoryDisclosureTex"/>
      <w:bookmarkEnd w:id="392"/>
      <w:r>
        <w:rPr>
          <w:rFonts w:ascii="Times New Roman;Times;Serif" w:hAnsi="Times New Roman;Times;Serif"/>
          <w:b/>
          <w:i w:val="false"/>
          <w:caps w:val="false"/>
          <w:smallCaps w:val="false"/>
          <w:sz w:val="20"/>
        </w:rPr>
        <w:t xml:space="preserve">6. </w:t>
      </w:r>
      <w:bookmarkStart w:id="393" w:name="xdx_821_za5xsI0Ywszc"/>
      <w:bookmarkEnd w:id="393"/>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394" w:name="xdx_894_eus-gaap--ScheduleOfInventoryCur"/>
      <w:bookmarkEnd w:id="394"/>
      <w:r>
        <w:rPr>
          <w:rFonts w:ascii="Times New Roman;Times;Serif" w:hAnsi="Times New Roman;Times;Serif"/>
          <w:b w:val="false"/>
          <w:i w:val="false"/>
          <w:caps w:val="false"/>
          <w:smallCaps w:val="false"/>
          <w:sz w:val="20"/>
        </w:rPr>
        <w:t>The following is a summary of inventory at December 31, 2025 and 2024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395" w:name="xdx_8BC_zMiIxm5hPJvg"/>
      <w:bookmarkEnd w:id="395"/>
      <w:r>
        <w:rPr>
          <w:rFonts w:ascii="Times New Roman;Times;Serif" w:hAnsi="Times New Roman;Times;Serif"/>
          <w:b w:val="false"/>
          <w:i w:val="false"/>
          <w:caps w:val="false"/>
          <w:smallCaps w:val="false"/>
          <w:sz w:val="20"/>
        </w:rPr>
        <w:t>Schedule of Inventory</w:t>
      </w:r>
    </w:p>
    <w:tbl>
      <w:tblPr>
        <w:tblW w:w="4754" w:type="dxa"/>
        <w:jc w:val="left"/>
        <w:tblInd w:w="0" w:type="dxa"/>
        <w:tblLayout w:type="fixed"/>
        <w:tblCellMar>
          <w:top w:w="0" w:type="dxa"/>
          <w:left w:w="0" w:type="dxa"/>
          <w:bottom w:w="0" w:type="dxa"/>
          <w:right w:w="0" w:type="dxa"/>
        </w:tblCellMar>
      </w:tblPr>
      <w:tblGrid>
        <w:gridCol w:w="1670"/>
        <w:gridCol w:w="60"/>
        <w:gridCol w:w="283"/>
        <w:gridCol w:w="1132"/>
        <w:gridCol w:w="60"/>
        <w:gridCol w:w="60"/>
        <w:gridCol w:w="223"/>
        <w:gridCol w:w="1191"/>
        <w:gridCol w:w="75"/>
      </w:tblGrid>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6" w:name="xdx_490_20251231_zGAnbqc1UjPh"/>
            <w:bookmarkEnd w:id="396"/>
          </w:p>
        </w:tc>
        <w:tc>
          <w:tcPr>
            <w:tcW w:w="1415"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7" w:name="xdx_49E_20241231_zvji0Qnl0DV6"/>
            <w:bookmarkEnd w:id="397"/>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398" w:name="xdx_408_eus-gaap--InventoryRawMaterialsA"/>
            <w:bookmarkEnd w:id="398"/>
          </w:p>
        </w:tc>
      </w:tr>
      <w:tr>
        <w:trPr/>
        <w:tc>
          <w:tcPr>
            <w:tcW w:w="167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399" w:name="xdx_40B_eus-gaap--InventoryWorkInProcess"/>
            <w:bookmarkEnd w:id="399"/>
          </w:p>
        </w:tc>
      </w:tr>
      <w:tr>
        <w:trPr/>
        <w:tc>
          <w:tcPr>
            <w:tcW w:w="1670" w:type="dxa"/>
            <w:tcBorders/>
            <w:shd w:fill="FFFFFF" w:val="clear"/>
            <w:vAlign w:val="center"/>
          </w:tcPr>
          <w:p>
            <w:pPr>
              <w:pStyle w:val="TableContents"/>
              <w:bidi w:val="0"/>
              <w:spacing w:before="0" w:after="283"/>
              <w:jc w:val="left"/>
              <w:rPr/>
            </w:pPr>
            <w:r>
              <w:rPr/>
              <w:t>Work in progress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1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00" w:name="xdx_400_eus-gaap--InventoryFinishedGoods"/>
            <w:bookmarkEnd w:id="400"/>
          </w:p>
        </w:tc>
      </w:tr>
      <w:tr>
        <w:trPr/>
        <w:tc>
          <w:tcPr>
            <w:tcW w:w="1670"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1,008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01" w:name="xdx_40E_eus-gaap--InventoryNet_iTI_pn3n3"/>
            <w:bookmarkEnd w:id="401"/>
          </w:p>
        </w:tc>
      </w:tr>
      <w:tr>
        <w:trPr/>
        <w:tc>
          <w:tcPr>
            <w:tcW w:w="16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inventory</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1,384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02" w:name="xdx_8AD_zAxEdoXHGJQ4"/>
      <w:bookmarkEnd w:id="402"/>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recorded at the lower of cost or net realizable value, where cost is measured on a first-in, first-out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3" w:name="xdx_806_eus-gaap--AccountsAndNontradeRec"/>
      <w:bookmarkEnd w:id="403"/>
      <w:r>
        <w:rPr>
          <w:rFonts w:ascii="Times New Roman;Times;Serif" w:hAnsi="Times New Roman;Times;Serif"/>
          <w:b/>
          <w:i w:val="false"/>
          <w:caps w:val="false"/>
          <w:smallCaps w:val="false"/>
          <w:sz w:val="20"/>
        </w:rPr>
        <w:t xml:space="preserve">7. </w:t>
      </w:r>
      <w:bookmarkStart w:id="404" w:name="xdx_823_zxc8lze8rGI4"/>
      <w:bookmarkEnd w:id="404"/>
      <w:r>
        <w:rPr>
          <w:rFonts w:ascii="Times New Roman;Times;Serif" w:hAnsi="Times New Roman;Times;Serif"/>
          <w:b/>
          <w:i w:val="false"/>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05" w:name="xdx_892_eus-gaap--ScheduleOfAccountsNote"/>
      <w:bookmarkEnd w:id="405"/>
      <w:r>
        <w:rPr>
          <w:rFonts w:ascii="Times New Roman;Times;Serif" w:hAnsi="Times New Roman;Times;Serif"/>
          <w:b w:val="false"/>
          <w:i w:val="false"/>
          <w:caps w:val="false"/>
          <w:smallCaps w:val="false"/>
          <w:sz w:val="20"/>
        </w:rPr>
        <w:t>The following is a summary of accounts receivable at December 31, 2025 and 2024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406" w:name="xdx_8B8_zmqsCy2zQdYi"/>
      <w:bookmarkEnd w:id="406"/>
      <w:r>
        <w:rPr>
          <w:rFonts w:ascii="Times New Roman;Times;Serif" w:hAnsi="Times New Roman;Times;Serif"/>
          <w:b w:val="false"/>
          <w:i w:val="false"/>
          <w:caps w:val="false"/>
          <w:smallCaps w:val="false"/>
          <w:sz w:val="20"/>
        </w:rPr>
        <w:t>Schedule of Accounts Receivables</w:t>
      </w:r>
    </w:p>
    <w:tbl>
      <w:tblPr>
        <w:tblW w:w="5279" w:type="dxa"/>
        <w:jc w:val="left"/>
        <w:tblInd w:w="0" w:type="dxa"/>
        <w:tblLayout w:type="fixed"/>
        <w:tblCellMar>
          <w:top w:w="0" w:type="dxa"/>
          <w:left w:w="0" w:type="dxa"/>
          <w:bottom w:w="0" w:type="dxa"/>
          <w:right w:w="0" w:type="dxa"/>
        </w:tblCellMar>
      </w:tblPr>
      <w:tblGrid>
        <w:gridCol w:w="2195"/>
        <w:gridCol w:w="60"/>
        <w:gridCol w:w="283"/>
        <w:gridCol w:w="1132"/>
        <w:gridCol w:w="60"/>
        <w:gridCol w:w="60"/>
        <w:gridCol w:w="210"/>
        <w:gridCol w:w="1204"/>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7" w:name="xdx_491_20251231_zag1MZY4kTwa"/>
            <w:bookmarkEnd w:id="407"/>
          </w:p>
        </w:tc>
        <w:tc>
          <w:tcPr>
            <w:tcW w:w="1415"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8" w:name="xdx_499_20241231_zfVeHN2Q0kSb"/>
            <w:bookmarkEnd w:id="408"/>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409" w:name="xdx_403_eus-gaap--AccountsReceivableGros"/>
            <w:bookmarkEnd w:id="409"/>
          </w:p>
        </w:tc>
      </w:tr>
      <w:tr>
        <w:trPr/>
        <w:tc>
          <w:tcPr>
            <w:tcW w:w="2195" w:type="dxa"/>
            <w:tcBorders/>
            <w:shd w:fill="CCEEFF" w:val="clear"/>
            <w:vAlign w:val="center"/>
          </w:tcPr>
          <w:p>
            <w:pPr>
              <w:pStyle w:val="TableContents"/>
              <w:bidi w:val="0"/>
              <w:spacing w:before="0" w:after="283"/>
              <w:jc w:val="left"/>
              <w:rPr/>
            </w:pPr>
            <w:r>
              <w:rPr/>
              <w:t>Accounts receivables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1,257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10" w:name="xdx_409_eus-gaap--AccountsReceivableNetC"/>
            <w:bookmarkEnd w:id="410"/>
          </w:p>
        </w:tc>
      </w:tr>
      <w:tr>
        <w:trPr/>
        <w:tc>
          <w:tcPr>
            <w:tcW w:w="21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accounts receivables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11" w:name="xdx_8A5_zsLO2FQYqBQi"/>
      <w:bookmarkEnd w:id="41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receivables are net of allowance for doubtful debt, which stood at $</w:t>
      </w:r>
      <w:bookmarkStart w:id="412" w:name="xdx_903_eus-gaap--ProvisionForDoubtfulAc"/>
      <w:bookmarkEnd w:id="412"/>
      <w:r>
        <w:rPr>
          <w:rFonts w:ascii="Times New Roman;Times;Serif" w:hAnsi="Times New Roman;Times;Serif"/>
          <w:b w:val="false"/>
          <w:i w:val="false"/>
          <w:caps w:val="false"/>
          <w:smallCaps w:val="false"/>
          <w:sz w:val="20"/>
        </w:rPr>
        <w:t xml:space="preserve">539,441 as at December 31, 2025, and is determined based on expected credit losses. Losses are provided at </w:t>
      </w:r>
      <w:bookmarkStart w:id="413" w:name="xdx_90F_eus-gaap--IntercompanyLoansDescr"/>
      <w:bookmarkEnd w:id="413"/>
      <w:r>
        <w:rPr>
          <w:rFonts w:ascii="Times New Roman;Times;Serif" w:hAnsi="Times New Roman;Times;Serif"/>
          <w:b w:val="false"/>
          <w:i w:val="false"/>
          <w:caps w:val="false"/>
          <w:smallCaps w:val="false"/>
          <w:sz w:val="20"/>
        </w:rPr>
        <w:t>the rate of 10% against balances greater than 120-149 days, 25% against balances greater than 150-179 days, 35% against balances greater than 180-364 days, and 50% against balances greater than 365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14" w:name="xdx_80A_ecustom--PrepaidExpensesAndOther"/>
      <w:bookmarkEnd w:id="414"/>
      <w:r>
        <w:rPr>
          <w:rFonts w:ascii="Times New Roman;Times;Serif" w:hAnsi="Times New Roman;Times;Serif"/>
          <w:b/>
          <w:i w:val="false"/>
          <w:caps w:val="false"/>
          <w:smallCaps w:val="false"/>
          <w:sz w:val="20"/>
        </w:rPr>
        <w:t xml:space="preserve">8. </w:t>
      </w:r>
      <w:bookmarkStart w:id="415" w:name="xdx_82C_zpzeDdj1adVb"/>
      <w:bookmarkEnd w:id="415"/>
      <w:r>
        <w:rPr>
          <w:rFonts w:ascii="Times New Roman;Times;Serif" w:hAnsi="Times New Roman;Times;Serif"/>
          <w:b/>
          <w:i w:val="false"/>
          <w:caps w:val="false"/>
          <w:smallCaps w:val="false"/>
          <w:sz w:val="20"/>
        </w:rPr>
        <w:t>Prepaid Expenses and Other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16" w:name="xdx_898_eus-gaap--DeferredCostsCapitaliz"/>
      <w:bookmarkEnd w:id="416"/>
      <w:r>
        <w:rPr>
          <w:rFonts w:ascii="Times New Roman;Times;Serif" w:hAnsi="Times New Roman;Times;Serif"/>
          <w:b w:val="false"/>
          <w:i w:val="false"/>
          <w:caps w:val="false"/>
          <w:smallCaps w:val="false"/>
          <w:sz w:val="20"/>
        </w:rPr>
        <w:t>The following is a summary of prepaid expenses and other current assets at December 31, 2025 and 2024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417" w:name="xdx_8B2_zea0cNtbEHO7"/>
      <w:bookmarkEnd w:id="417"/>
      <w:r>
        <w:rPr>
          <w:rFonts w:ascii="Times New Roman;Times;Serif" w:hAnsi="Times New Roman;Times;Serif"/>
          <w:b w:val="false"/>
          <w:i w:val="false"/>
          <w:caps w:val="false"/>
          <w:smallCaps w:val="false"/>
          <w:sz w:val="20"/>
        </w:rPr>
        <w:t>Schedule of Prepaid Expenses and Other Current Assets</w:t>
      </w:r>
    </w:p>
    <w:tbl>
      <w:tblPr>
        <w:tblW w:w="6448" w:type="dxa"/>
        <w:jc w:val="left"/>
        <w:tblInd w:w="0" w:type="dxa"/>
        <w:tblLayout w:type="fixed"/>
        <w:tblCellMar>
          <w:top w:w="0" w:type="dxa"/>
          <w:left w:w="0" w:type="dxa"/>
          <w:bottom w:w="0" w:type="dxa"/>
          <w:right w:w="0" w:type="dxa"/>
        </w:tblCellMar>
      </w:tblPr>
      <w:tblGrid>
        <w:gridCol w:w="3365"/>
        <w:gridCol w:w="60"/>
        <w:gridCol w:w="380"/>
        <w:gridCol w:w="1034"/>
        <w:gridCol w:w="60"/>
        <w:gridCol w:w="60"/>
        <w:gridCol w:w="223"/>
        <w:gridCol w:w="1191"/>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8" w:name="xdx_49B_20251231_zNTu9m9G2Yi8"/>
            <w:bookmarkEnd w:id="418"/>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9" w:name="xdx_49F_20241231_zQIPAgLR09sg"/>
            <w:bookmarkEnd w:id="419"/>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420" w:name="xdx_40B_eus-gaap--DeferredIncomeTaxesAnd"/>
            <w:bookmarkEnd w:id="420"/>
          </w:p>
        </w:tc>
      </w:tr>
      <w:tr>
        <w:trPr/>
        <w:tc>
          <w:tcPr>
            <w:tcW w:w="3365" w:type="dxa"/>
            <w:tcBorders/>
            <w:shd w:fill="CCEEFF" w:val="clear"/>
            <w:vAlign w:val="center"/>
          </w:tcPr>
          <w:p>
            <w:pPr>
              <w:pStyle w:val="TableContents"/>
              <w:bidi w:val="0"/>
              <w:spacing w:before="0" w:after="283"/>
              <w:jc w:val="left"/>
              <w:rPr/>
            </w:pPr>
            <w:r>
              <w:rPr/>
              <w:t>Prepayments</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      </w:t>
            </w:r>
            <w:r>
              <w:rPr/>
              <w:t>212</w:t>
            </w:r>
          </w:p>
        </w:tc>
        <w:tc>
          <w:tcPr>
            <w:tcW w:w="75" w:type="dxa"/>
            <w:tcBorders/>
            <w:shd w:fill="CCEEFF" w:val="clear"/>
            <w:vAlign w:val="center"/>
          </w:tcPr>
          <w:p>
            <w:pPr>
              <w:pStyle w:val="TableContents"/>
              <w:bidi w:val="0"/>
              <w:spacing w:before="0" w:after="283"/>
              <w:jc w:val="left"/>
              <w:rPr/>
            </w:pPr>
            <w:r>
              <w:rPr/>
              <w:t> </w:t>
            </w:r>
            <w:bookmarkStart w:id="421" w:name="xdx_40A_eus-gaap--OtherPrepaidExpenseCur"/>
            <w:bookmarkEnd w:id="421"/>
          </w:p>
        </w:tc>
      </w:tr>
      <w:tr>
        <w:trPr/>
        <w:tc>
          <w:tcPr>
            <w:tcW w:w="336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r>
              <w:rPr/>
              <w:t>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1" w:type="dxa"/>
            <w:tcBorders>
              <w:bottom w:val="single" w:sz="8" w:space="0" w:color="000000"/>
            </w:tcBorders>
            <w:shd w:fill="FFFFFF" w:val="clear"/>
            <w:tcMar>
              <w:bottom w:w="28" w:type="dxa"/>
            </w:tcMar>
            <w:vAlign w:val="center"/>
          </w:tcPr>
          <w:p>
            <w:pPr>
              <w:pStyle w:val="TableContents"/>
              <w:bidi w:val="0"/>
              <w:spacing w:before="0" w:after="283"/>
              <w:jc w:val="right"/>
              <w:rPr/>
            </w:pPr>
            <w:r>
              <w:rPr/>
              <w:t>325</w:t>
            </w:r>
          </w:p>
        </w:tc>
        <w:tc>
          <w:tcPr>
            <w:tcW w:w="75" w:type="dxa"/>
            <w:tcBorders/>
            <w:shd w:fill="FFFFFF" w:val="clear"/>
            <w:vAlign w:val="center"/>
          </w:tcPr>
          <w:p>
            <w:pPr>
              <w:pStyle w:val="TableContents"/>
              <w:bidi w:val="0"/>
              <w:spacing w:before="0" w:after="283"/>
              <w:jc w:val="left"/>
              <w:rPr/>
            </w:pPr>
            <w:r>
              <w:rPr/>
              <w:t> </w:t>
            </w:r>
            <w:bookmarkStart w:id="422" w:name="xdx_40C_eus-gaap--PrepaidExpenseCurrent_"/>
            <w:bookmarkEnd w:id="422"/>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1" w:type="dxa"/>
            <w:tcBorders>
              <w:bottom w:val="double" w:sz="6" w:space="0" w:color="000000"/>
            </w:tcBorders>
            <w:shd w:fill="CCEEFF" w:val="clear"/>
            <w:tcMar>
              <w:bottom w:w="28" w:type="dxa"/>
            </w:tcMar>
            <w:vAlign w:val="center"/>
          </w:tcPr>
          <w:p>
            <w:pPr>
              <w:pStyle w:val="TableContents"/>
              <w:bidi w:val="0"/>
              <w:spacing w:before="0" w:after="283"/>
              <w:jc w:val="right"/>
              <w:rPr/>
            </w:pPr>
            <w:r>
              <w:rPr/>
              <w:t>537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23" w:name="xdx_8A6_zLFVYcou7kv1"/>
      <w:bookmarkEnd w:id="423"/>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24" w:name="xdx_803_eus-gaap--BusinessCombinationDis"/>
      <w:bookmarkEnd w:id="424"/>
      <w:r>
        <w:rPr>
          <w:rFonts w:ascii="Times New Roman;Times;Serif" w:hAnsi="Times New Roman;Times;Serif"/>
          <w:b/>
          <w:i w:val="false"/>
          <w:caps w:val="false"/>
          <w:smallCaps w:val="false"/>
          <w:sz w:val="20"/>
        </w:rPr>
        <w:t xml:space="preserve">9. </w:t>
      </w:r>
      <w:bookmarkStart w:id="425" w:name="xdx_829_zA9FtOPosc1b"/>
      <w:bookmarkEnd w:id="425"/>
      <w:r>
        <w:rPr>
          <w:rFonts w:ascii="Times New Roman;Times;Serif" w:hAnsi="Times New Roman;Times;Serif"/>
          <w:b/>
          <w:i w:val="false"/>
          <w:caps w:val="false"/>
          <w:smallCaps w:val="false"/>
          <w:sz w:val="20"/>
        </w:rPr>
        <w:t>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2025, the Company completed the acquisition of Fitters Sdn. Bhd. (“Fitters Sub”), a Malaysian private limited company and wholly-owned subsidiary of FITTERS Diversified Berhad, a Malaysian publicly listed company (“FITTERS”). Following the closing of the Transaction, Fitters Sub became a wholly-owned subsidiary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26" w:name="xdx_894_eus-gaap--ScheduleOfGoodwillText"/>
      <w:bookmarkEnd w:id="426"/>
      <w:r>
        <w:rPr>
          <w:rFonts w:ascii="Times New Roman;Times;Serif" w:hAnsi="Times New Roman;Times;Serif"/>
          <w:b w:val="false"/>
          <w:i w:val="false"/>
          <w:caps w:val="false"/>
          <w:smallCaps w:val="false"/>
          <w:sz w:val="20"/>
        </w:rPr>
        <w:t>Goodwill primarily represents the value of assembled workforce and other intangible assets that cannot be individually identified and recognized as a separate intangible asset under U.S. generally accepted accounting principles and is fully deductible for tax purposes. Goodwill consisted of the following (in $000s):</w:t>
      </w:r>
    </w:p>
    <w:p>
      <w:pPr>
        <w:pStyle w:val="TextBody"/>
        <w:bidi w:val="0"/>
        <w:spacing w:before="0" w:after="0"/>
        <w:ind w:left="0" w:right="0" w:firstLine="720"/>
        <w:jc w:val="both"/>
        <w:rPr>
          <w:caps w:val="false"/>
          <w:smallCaps w:val="false"/>
        </w:rPr>
      </w:pPr>
      <w:r>
        <w:rPr>
          <w:caps w:val="false"/>
          <w:smallCaps w:val="false"/>
        </w:rPr>
        <w:t> </w:t>
      </w:r>
      <w:bookmarkStart w:id="427" w:name="xdx_8B0_zYr0i5Wc8on9"/>
      <w:bookmarkEnd w:id="427"/>
      <w:r>
        <w:rPr>
          <w:rFonts w:ascii="Times New Roman;Times;Serif" w:hAnsi="Times New Roman;Times;Serif"/>
          <w:b w:val="false"/>
          <w:i w:val="false"/>
          <w:caps w:val="false"/>
          <w:smallCaps w:val="false"/>
          <w:sz w:val="20"/>
        </w:rPr>
        <w:t>Schedule of Goodwill</w:t>
      </w:r>
    </w:p>
    <w:tbl>
      <w:tblPr>
        <w:tblW w:w="5070" w:type="dxa"/>
        <w:jc w:val="left"/>
        <w:tblInd w:w="0" w:type="dxa"/>
        <w:tblLayout w:type="fixed"/>
        <w:tblCellMar>
          <w:top w:w="0" w:type="dxa"/>
          <w:left w:w="0" w:type="dxa"/>
          <w:bottom w:w="0" w:type="dxa"/>
          <w:right w:w="0" w:type="dxa"/>
        </w:tblCellMar>
      </w:tblPr>
      <w:tblGrid>
        <w:gridCol w:w="4235"/>
        <w:gridCol w:w="60"/>
        <w:gridCol w:w="140"/>
        <w:gridCol w:w="560"/>
        <w:gridCol w:w="75"/>
      </w:tblGrid>
      <w:tr>
        <w:trPr/>
        <w:tc>
          <w:tcPr>
            <w:tcW w:w="4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428" w:name="xdx_495_20250101__20251231_zc2KiAGMPFxb"/>
            <w:bookmarkEnd w:id="428"/>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29" w:name="xdx_40A_eus-gaap--Goodwill_iS_pn3n3_zYMI"/>
            <w:bookmarkEnd w:id="429"/>
          </w:p>
        </w:tc>
      </w:tr>
      <w:tr>
        <w:trPr/>
        <w:tc>
          <w:tcPr>
            <w:tcW w:w="4235"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30" w:name="xdx_404_eus-gaap--GoodwillAcquiredDuring"/>
            <w:bookmarkEnd w:id="430"/>
          </w:p>
        </w:tc>
      </w:tr>
      <w:tr>
        <w:trPr/>
        <w:tc>
          <w:tcPr>
            <w:tcW w:w="4235" w:type="dxa"/>
            <w:tcBorders/>
            <w:shd w:fill="FFFFFF" w:val="clear"/>
            <w:vAlign w:val="center"/>
          </w:tcPr>
          <w:p>
            <w:pPr>
              <w:pStyle w:val="TableContents"/>
              <w:bidi w:val="0"/>
              <w:spacing w:before="0" w:after="283"/>
              <w:jc w:val="left"/>
              <w:rPr/>
            </w:pPr>
            <w:r>
              <w:rPr/>
              <w:t>Goodwill on acquisition of Fitters Sdn. Bhd.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1,570</w:t>
            </w:r>
          </w:p>
        </w:tc>
        <w:tc>
          <w:tcPr>
            <w:tcW w:w="75" w:type="dxa"/>
            <w:tcBorders/>
            <w:shd w:fill="FFFFFF" w:val="clear"/>
            <w:vAlign w:val="center"/>
          </w:tcPr>
          <w:p>
            <w:pPr>
              <w:pStyle w:val="TableContents"/>
              <w:bidi w:val="0"/>
              <w:spacing w:before="0" w:after="283"/>
              <w:jc w:val="left"/>
              <w:rPr/>
            </w:pPr>
            <w:r>
              <w:rPr/>
              <w:t> </w:t>
            </w:r>
            <w:bookmarkStart w:id="431" w:name="xdx_400_eus-gaap--Goodwill_iE_pn3n3_zusA"/>
            <w:bookmarkEnd w:id="431"/>
          </w:p>
        </w:tc>
      </w:tr>
      <w:tr>
        <w:trPr/>
        <w:tc>
          <w:tcPr>
            <w:tcW w:w="4235"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1,570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32" w:name="xdx_8AE_zMQq4TU1D7ja"/>
      <w:bookmarkEnd w:id="432"/>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433" w:name="xdx_8B4_zVUV4WNUOuld"/>
      <w:bookmarkStart w:id="434" w:name="xdx_89B_eus-gaap--ScheduleOfRecognizedId"/>
      <w:bookmarkEnd w:id="433"/>
      <w:bookmarkEnd w:id="434"/>
      <w:r>
        <w:rPr>
          <w:rFonts w:ascii="Times New Roman;Times;Serif" w:hAnsi="Times New Roman;Times;Serif"/>
          <w:b w:val="false"/>
          <w:i w:val="false"/>
          <w:caps w:val="false"/>
          <w:smallCaps w:val="false"/>
          <w:sz w:val="20"/>
        </w:rPr>
        <w:t>Schedule of Preliminary Allocation of Purchase Consideration</w:t>
      </w:r>
    </w:p>
    <w:tbl>
      <w:tblPr>
        <w:tblW w:w="7400" w:type="dxa"/>
        <w:jc w:val="left"/>
        <w:tblInd w:w="0" w:type="dxa"/>
        <w:tblLayout w:type="fixed"/>
        <w:tblCellMar>
          <w:top w:w="0" w:type="dxa"/>
          <w:left w:w="0" w:type="dxa"/>
          <w:bottom w:w="0" w:type="dxa"/>
          <w:right w:w="0" w:type="dxa"/>
        </w:tblCellMar>
      </w:tblPr>
      <w:tblGrid>
        <w:gridCol w:w="6110"/>
        <w:gridCol w:w="60"/>
        <w:gridCol w:w="140"/>
        <w:gridCol w:w="980"/>
        <w:gridCol w:w="110"/>
      </w:tblGrid>
      <w:tr>
        <w:trPr/>
        <w:tc>
          <w:tcPr>
            <w:tcW w:w="6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35" w:name="xdx_496_20250911_zsnsNJOQeDGe"/>
            <w:bookmarkEnd w:id="435"/>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r>
      <w:tr>
        <w:trPr/>
        <w:tc>
          <w:tcPr>
            <w:tcW w:w="7400" w:type="dxa"/>
            <w:gridSpan w:val="5"/>
            <w:tcBorders>
              <w:bottom w:val="single" w:sz="8" w:space="0" w:color="000000"/>
            </w:tcBorders>
            <w:tcMar>
              <w:bottom w:w="28" w:type="dxa"/>
            </w:tcMar>
            <w:vAlign w:val="center"/>
          </w:tcPr>
          <w:p>
            <w:pPr>
              <w:pStyle w:val="TableContents"/>
              <w:bidi w:val="0"/>
              <w:spacing w:before="0" w:after="283"/>
              <w:jc w:val="left"/>
              <w:rPr>
                <w:b/>
              </w:rPr>
            </w:pPr>
            <w:r>
              <w:rPr>
                <w:b/>
              </w:rPr>
              <w:t>Allocation of purchase consideration</w:t>
            </w:r>
          </w:p>
        </w:tc>
      </w:tr>
      <w:tr>
        <w:trPr/>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pPr>
            <w:r>
              <w:rPr/>
              <w:t>Common Stock of CYCC Shares O/S as of September 11,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36" w:name="xdx_985_ecustom--BusinessCombinationCons"/>
            <w:bookmarkEnd w:id="436"/>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2,798,379</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pPr>
            <w:bookmarkStart w:id="437" w:name="xdx_908_ecustom--BusinessAcquisitionOfPa"/>
            <w:bookmarkEnd w:id="437"/>
            <w:r>
              <w:rPr/>
              <w:t>19.99% of CYCC Shares issued as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38" w:name="xdx_98E_ecustom--BusinessCombinationCons"/>
            <w:bookmarkEnd w:id="438"/>
          </w:p>
        </w:tc>
        <w:tc>
          <w:tcPr>
            <w:tcW w:w="980" w:type="dxa"/>
            <w:tcBorders/>
            <w:shd w:fill="FFFFFF" w:val="clear"/>
            <w:vAlign w:val="center"/>
          </w:tcPr>
          <w:p>
            <w:pPr>
              <w:pStyle w:val="TableContents"/>
              <w:bidi w:val="0"/>
              <w:spacing w:before="0" w:after="283"/>
              <w:jc w:val="right"/>
              <w:rPr/>
            </w:pPr>
            <w:r>
              <w:rPr/>
              <w:t>699,158</w:t>
            </w:r>
          </w:p>
        </w:tc>
        <w:tc>
          <w:tcPr>
            <w:tcW w:w="110" w:type="dxa"/>
            <w:tcBorders/>
            <w:shd w:fill="FFFFFF" w:val="clear"/>
            <w:vAlign w:val="center"/>
          </w:tcPr>
          <w:p>
            <w:pPr>
              <w:pStyle w:val="TableContents"/>
              <w:bidi w:val="0"/>
              <w:spacing w:before="0" w:after="283"/>
              <w:jc w:val="left"/>
              <w:rPr/>
            </w:pPr>
            <w:r>
              <w:rPr/>
              <w:t> </w:t>
            </w:r>
            <w:bookmarkStart w:id="439" w:name="xdx_40A_ecustom--BusinessAcquisitionStoc"/>
            <w:bookmarkEnd w:id="439"/>
          </w:p>
        </w:tc>
      </w:tr>
      <w:tr>
        <w:trPr/>
        <w:tc>
          <w:tcPr>
            <w:tcW w:w="6110" w:type="dxa"/>
            <w:tcBorders/>
            <w:shd w:fill="CCEEFF" w:val="clear"/>
            <w:vAlign w:val="center"/>
          </w:tcPr>
          <w:p>
            <w:pPr>
              <w:pStyle w:val="TableContents"/>
              <w:bidi w:val="0"/>
              <w:spacing w:before="0" w:after="283"/>
              <w:jc w:val="left"/>
              <w:rPr/>
            </w:pPr>
            <w:r>
              <w:rPr/>
              <w:t>Stock Price as of September 11,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6.3650</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pPr>
            <w:r>
              <w:rPr/>
              <w:t>Cash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440" w:name="xdx_983_eus-gaap--PaymentsToAcquireBusin"/>
            <w:bookmarkEnd w:id="440"/>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110" w:type="dxa"/>
            <w:tcBorders/>
            <w:shd w:fill="CCEEFF" w:val="clear"/>
            <w:vAlign w:val="center"/>
          </w:tcPr>
          <w:p>
            <w:pPr>
              <w:pStyle w:val="TableContents"/>
              <w:bidi w:val="0"/>
              <w:spacing w:before="0" w:after="283"/>
              <w:jc w:val="left"/>
              <w:rPr>
                <w:b/>
              </w:rPr>
            </w:pPr>
            <w:r>
              <w:rPr>
                <w:b/>
              </w:rPr>
              <w:t>Total Estimated Purchase Consideration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41" w:name="xdx_98B_ecustom--TotalEstimatedPurchaseC"/>
            <w:bookmarkEnd w:id="441"/>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4,450,138</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42" w:name="xdx_40E_eus-gaap--BusinessCombinationRec"/>
            <w:bookmarkEnd w:id="442"/>
          </w:p>
        </w:tc>
      </w:tr>
      <w:tr>
        <w:trPr/>
        <w:tc>
          <w:tcPr>
            <w:tcW w:w="611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784,090</w:t>
            </w:r>
          </w:p>
        </w:tc>
        <w:tc>
          <w:tcPr>
            <w:tcW w:w="110" w:type="dxa"/>
            <w:tcBorders/>
            <w:shd w:fill="CCEEFF" w:val="clear"/>
            <w:vAlign w:val="center"/>
          </w:tcPr>
          <w:p>
            <w:pPr>
              <w:pStyle w:val="TableContents"/>
              <w:bidi w:val="0"/>
              <w:spacing w:before="0" w:after="283"/>
              <w:jc w:val="left"/>
              <w:rPr/>
            </w:pPr>
            <w:r>
              <w:rPr/>
              <w:t> </w:t>
            </w:r>
            <w:bookmarkStart w:id="443" w:name="xdx_40D_eus-gaap--BusinessCombinationRec"/>
            <w:bookmarkEnd w:id="443"/>
          </w:p>
        </w:tc>
      </w:tr>
      <w:tr>
        <w:trPr/>
        <w:tc>
          <w:tcPr>
            <w:tcW w:w="611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1,284,447</w:t>
            </w:r>
          </w:p>
        </w:tc>
        <w:tc>
          <w:tcPr>
            <w:tcW w:w="110" w:type="dxa"/>
            <w:tcBorders/>
            <w:shd w:fill="FFFFFF" w:val="clear"/>
            <w:vAlign w:val="center"/>
          </w:tcPr>
          <w:p>
            <w:pPr>
              <w:pStyle w:val="TableContents"/>
              <w:bidi w:val="0"/>
              <w:spacing w:before="0" w:after="283"/>
              <w:jc w:val="left"/>
              <w:rPr/>
            </w:pPr>
            <w:r>
              <w:rPr/>
              <w:t> </w:t>
            </w:r>
            <w:bookmarkStart w:id="444" w:name="xdx_400_eus-gaap--BusinessCombinationRec"/>
            <w:bookmarkEnd w:id="444"/>
          </w:p>
        </w:tc>
      </w:tr>
      <w:tr>
        <w:trPr/>
        <w:tc>
          <w:tcPr>
            <w:tcW w:w="6110" w:type="dxa"/>
            <w:tcBorders/>
            <w:shd w:fill="CCEEFF" w:val="clear"/>
            <w:vAlign w:val="center"/>
          </w:tcPr>
          <w:p>
            <w:pPr>
              <w:pStyle w:val="TableContents"/>
              <w:bidi w:val="0"/>
              <w:spacing w:before="0" w:after="283"/>
              <w:jc w:val="left"/>
              <w:rPr/>
            </w:pPr>
            <w:r>
              <w:rPr/>
              <w:t>Accounts receivables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715,173</w:t>
            </w:r>
          </w:p>
        </w:tc>
        <w:tc>
          <w:tcPr>
            <w:tcW w:w="110" w:type="dxa"/>
            <w:tcBorders/>
            <w:shd w:fill="CCEEFF" w:val="clear"/>
            <w:vAlign w:val="center"/>
          </w:tcPr>
          <w:p>
            <w:pPr>
              <w:pStyle w:val="TableContents"/>
              <w:bidi w:val="0"/>
              <w:spacing w:before="0" w:after="283"/>
              <w:jc w:val="left"/>
              <w:rPr/>
            </w:pPr>
            <w:r>
              <w:rPr/>
              <w:t> </w:t>
            </w:r>
            <w:bookmarkStart w:id="445" w:name="xdx_405_eus-gaap--BusinessCombinationRec"/>
            <w:bookmarkEnd w:id="445"/>
          </w:p>
        </w:tc>
      </w:tr>
      <w:tr>
        <w:trPr/>
        <w:tc>
          <w:tcPr>
            <w:tcW w:w="6110" w:type="dxa"/>
            <w:tcBorders/>
            <w:shd w:fill="FFFFFF" w:val="clear"/>
            <w:vAlign w:val="center"/>
          </w:tcPr>
          <w:p>
            <w:pPr>
              <w:pStyle w:val="TableContents"/>
              <w:bidi w:val="0"/>
              <w:spacing w:before="0" w:after="283"/>
              <w:jc w:val="left"/>
              <w:rPr/>
            </w:pPr>
            <w:r>
              <w:rPr/>
              <w:t>Prepaid &amp;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464,129</w:t>
            </w:r>
          </w:p>
        </w:tc>
        <w:tc>
          <w:tcPr>
            <w:tcW w:w="110" w:type="dxa"/>
            <w:tcBorders/>
            <w:shd w:fill="FFFFFF" w:val="clear"/>
            <w:vAlign w:val="center"/>
          </w:tcPr>
          <w:p>
            <w:pPr>
              <w:pStyle w:val="TableContents"/>
              <w:bidi w:val="0"/>
              <w:spacing w:before="0" w:after="283"/>
              <w:jc w:val="left"/>
              <w:rPr/>
            </w:pPr>
            <w:r>
              <w:rPr/>
              <w:t> </w:t>
            </w:r>
            <w:bookmarkStart w:id="446" w:name="xdx_40A_eus-gaap--BusinessCombinationRec"/>
            <w:bookmarkEnd w:id="446"/>
          </w:p>
        </w:tc>
      </w:tr>
      <w:tr>
        <w:trPr/>
        <w:tc>
          <w:tcPr>
            <w:tcW w:w="6110"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129,423</w:t>
            </w:r>
          </w:p>
        </w:tc>
        <w:tc>
          <w:tcPr>
            <w:tcW w:w="110" w:type="dxa"/>
            <w:tcBorders/>
            <w:shd w:fill="CCEEFF" w:val="clear"/>
            <w:vAlign w:val="center"/>
          </w:tcPr>
          <w:p>
            <w:pPr>
              <w:pStyle w:val="TableContents"/>
              <w:bidi w:val="0"/>
              <w:spacing w:before="0" w:after="283"/>
              <w:jc w:val="left"/>
              <w:rPr/>
            </w:pPr>
            <w:r>
              <w:rPr/>
              <w:t> </w:t>
            </w:r>
            <w:bookmarkStart w:id="447" w:name="xdx_404_ecustom--BusinessCombinationReco"/>
            <w:bookmarkEnd w:id="447"/>
          </w:p>
        </w:tc>
      </w:tr>
      <w:tr>
        <w:trPr/>
        <w:tc>
          <w:tcPr>
            <w:tcW w:w="6110" w:type="dxa"/>
            <w:tcBorders/>
            <w:shd w:fill="FFFFFF" w:val="clear"/>
            <w:vAlign w:val="center"/>
          </w:tcPr>
          <w:p>
            <w:pPr>
              <w:pStyle w:val="TableContents"/>
              <w:bidi w:val="0"/>
              <w:spacing w:before="0" w:after="283"/>
              <w:jc w:val="left"/>
              <w:rPr/>
            </w:pPr>
            <w:r>
              <w:rPr/>
              <w:t>Trade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(416,470</w:t>
            </w:r>
          </w:p>
        </w:tc>
        <w:tc>
          <w:tcPr>
            <w:tcW w:w="110" w:type="dxa"/>
            <w:tcBorders/>
            <w:shd w:fill="FFFFFF" w:val="clear"/>
            <w:vAlign w:val="center"/>
          </w:tcPr>
          <w:p>
            <w:pPr>
              <w:pStyle w:val="TableContents"/>
              <w:bidi w:val="0"/>
              <w:spacing w:before="0" w:after="283"/>
              <w:jc w:val="left"/>
              <w:rPr/>
            </w:pPr>
            <w:r>
              <w:rPr/>
              <w:t>)</w:t>
            </w:r>
            <w:bookmarkStart w:id="448" w:name="xdx_40E_ecustom--BusinessCombinationReco"/>
            <w:bookmarkEnd w:id="448"/>
          </w:p>
        </w:tc>
      </w:tr>
      <w:tr>
        <w:trPr/>
        <w:tc>
          <w:tcPr>
            <w:tcW w:w="6110" w:type="dxa"/>
            <w:tcBorders/>
            <w:shd w:fill="CCEEFF" w:val="clear"/>
            <w:vAlign w:val="center"/>
          </w:tcPr>
          <w:p>
            <w:pPr>
              <w:pStyle w:val="TableContents"/>
              <w:bidi w:val="0"/>
              <w:spacing w:before="0" w:after="283"/>
              <w:jc w:val="left"/>
              <w:rPr/>
            </w:pPr>
            <w:r>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(31,571</w:t>
            </w:r>
          </w:p>
        </w:tc>
        <w:tc>
          <w:tcPr>
            <w:tcW w:w="110" w:type="dxa"/>
            <w:tcBorders/>
            <w:shd w:fill="CCEEFF" w:val="clear"/>
            <w:vAlign w:val="center"/>
          </w:tcPr>
          <w:p>
            <w:pPr>
              <w:pStyle w:val="TableContents"/>
              <w:bidi w:val="0"/>
              <w:spacing w:before="0" w:after="283"/>
              <w:jc w:val="left"/>
              <w:rPr/>
            </w:pPr>
            <w:r>
              <w:rPr/>
              <w:t>)</w:t>
            </w:r>
            <w:bookmarkStart w:id="449" w:name="xdx_404_eus-gaap--BusinessCombinationRec"/>
            <w:bookmarkEnd w:id="449"/>
          </w:p>
        </w:tc>
      </w:tr>
      <w:tr>
        <w:trPr/>
        <w:tc>
          <w:tcPr>
            <w:tcW w:w="6110" w:type="dxa"/>
            <w:tcBorders/>
            <w:shd w:fill="FFFFFF" w:val="clear"/>
            <w:vAlign w:val="center"/>
          </w:tcPr>
          <w:p>
            <w:pPr>
              <w:pStyle w:val="TableContents"/>
              <w:bidi w:val="0"/>
              <w:spacing w:before="0" w:after="283"/>
              <w:jc w:val="left"/>
              <w:rPr/>
            </w:pPr>
            <w:r>
              <w:rPr/>
              <w:t>Non-current liabilities - deferred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(48,739</w:t>
            </w:r>
          </w:p>
        </w:tc>
        <w:tc>
          <w:tcPr>
            <w:tcW w:w="110" w:type="dxa"/>
            <w:tcBorders/>
            <w:shd w:fill="FFFFFF" w:val="clear"/>
            <w:vAlign w:val="center"/>
          </w:tcPr>
          <w:p>
            <w:pPr>
              <w:pStyle w:val="TableContents"/>
              <w:bidi w:val="0"/>
              <w:spacing w:before="0" w:after="283"/>
              <w:jc w:val="left"/>
              <w:rPr/>
            </w:pPr>
            <w:r>
              <w:rPr/>
              <w:t>)</w:t>
            </w:r>
            <w:bookmarkStart w:id="450" w:name="xdx_40C_eus-gaap--Goodwill_iI_zuh6C3BdCl"/>
            <w:bookmarkEnd w:id="450"/>
          </w:p>
        </w:tc>
      </w:tr>
      <w:tr>
        <w:trPr/>
        <w:tc>
          <w:tcPr>
            <w:tcW w:w="611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1,569,656</w:t>
            </w:r>
          </w:p>
        </w:tc>
        <w:tc>
          <w:tcPr>
            <w:tcW w:w="110" w:type="dxa"/>
            <w:tcBorders/>
            <w:shd w:fill="CCEEFF" w:val="clear"/>
            <w:vAlign w:val="center"/>
          </w:tcPr>
          <w:p>
            <w:pPr>
              <w:pStyle w:val="TableContents"/>
              <w:bidi w:val="0"/>
              <w:spacing w:before="0" w:after="283"/>
              <w:jc w:val="left"/>
              <w:rPr/>
            </w:pPr>
            <w:r>
              <w:rPr/>
              <w:t> </w:t>
            </w:r>
          </w:p>
        </w:tc>
      </w:tr>
      <w:tr>
        <w:trPr/>
        <w:tc>
          <w:tcPr>
            <w:tcW w:w="6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51" w:name="xdx_400_ecustom--TotalEstimatedFairValue"/>
            <w:bookmarkEnd w:id="451"/>
          </w:p>
        </w:tc>
      </w:tr>
      <w:tr>
        <w:trPr/>
        <w:tc>
          <w:tcPr>
            <w:tcW w:w="6110" w:type="dxa"/>
            <w:tcBorders/>
            <w:shd w:fill="CCEEFF" w:val="clear"/>
            <w:vAlign w:val="center"/>
          </w:tcPr>
          <w:p>
            <w:pPr>
              <w:pStyle w:val="TableContents"/>
              <w:bidi w:val="0"/>
              <w:spacing w:before="0" w:after="283"/>
              <w:jc w:val="left"/>
              <w:rPr>
                <w:b/>
              </w:rPr>
            </w:pPr>
            <w:r>
              <w:rPr>
                <w:b/>
              </w:rPr>
              <w:t>Total Net Assets Acquired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4,450,138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452" w:name="xdx_8AF_zjfWxakZVQmh"/>
      <w:bookmarkEnd w:id="45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receivables, and other short-term assets and liabilities have been valued at their historical carrying amounts, as the Company believes there are no material differences between those amounts and fair value. The Company similarly determined that fair value of the acquired property, plant, and equipment is materially the same as its historical carrying value as of the acquisition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information for the years ended December 31, 2025 and December 31, 2024 gives effect to the Transaction as if it took place as of January 1, 2024, and combines the historical results of Fitters and the Company for each period. The pro forma results do not include any anticipated cost synergies or other effects of the combined Company. Accordingly, pro forma amounts are not necessarily indicative of the results that actually would have occurred had the acquisitions been completed on the dates indicated, nor are they indicative of the Company’s future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SUPPLEMENTAL PRO FORMA INFORMATION FOR REVENUE AND EARNINGS </w:t>
      </w:r>
    </w:p>
    <w:p>
      <w:pPr>
        <w:pStyle w:val="TextBody"/>
        <w:bidi w:val="0"/>
        <w:spacing w:before="0" w:after="0"/>
        <w:ind w:left="0" w:right="0" w:hanging="0"/>
        <w:jc w:val="left"/>
        <w:rPr>
          <w:caps w:val="false"/>
          <w:smallCaps w:val="false"/>
        </w:rPr>
      </w:pPr>
      <w:bookmarkStart w:id="453" w:name="xdx_898_eus-gaap--BusinessAcquisitionPro"/>
      <w:bookmarkEnd w:id="453"/>
      <w:r>
        <w:rPr>
          <w:caps w:val="false"/>
          <w:smallCaps w:val="false"/>
        </w:rPr>
        <w:t> </w:t>
      </w:r>
      <w:bookmarkStart w:id="454" w:name="xdx_8BF_zD1FM2PDyp71"/>
      <w:bookmarkEnd w:id="454"/>
      <w:r>
        <w:rPr>
          <w:rFonts w:ascii="Times New Roman;Times;Serif" w:hAnsi="Times New Roman;Times;Serif"/>
          <w:b/>
          <w:i w:val="false"/>
          <w:caps w:val="false"/>
          <w:smallCaps w:val="false"/>
          <w:sz w:val="20"/>
        </w:rPr>
        <w:t>Schedule of Business Acquisitions Pro Forma Information</w:t>
      </w:r>
    </w:p>
    <w:tbl>
      <w:tblPr>
        <w:tblW w:w="8968" w:type="dxa"/>
        <w:jc w:val="left"/>
        <w:tblInd w:w="0" w:type="dxa"/>
        <w:tblLayout w:type="fixed"/>
        <w:tblCellMar>
          <w:top w:w="0" w:type="dxa"/>
          <w:left w:w="0" w:type="dxa"/>
          <w:bottom w:w="0" w:type="dxa"/>
          <w:right w:w="0" w:type="dxa"/>
        </w:tblCellMar>
      </w:tblPr>
      <w:tblGrid>
        <w:gridCol w:w="6140"/>
        <w:gridCol w:w="60"/>
        <w:gridCol w:w="204"/>
        <w:gridCol w:w="925"/>
        <w:gridCol w:w="138"/>
        <w:gridCol w:w="87"/>
        <w:gridCol w:w="204"/>
        <w:gridCol w:w="1100"/>
        <w:gridCol w:w="110"/>
      </w:tblGrid>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5" w:name="xdx_49E_20250101__20251231_z59AkAWQWIli"/>
            <w:bookmarkEnd w:id="455"/>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bookmarkStart w:id="456" w:name="xdx_49C_20240101__20241231_zPILMSFDtOCc"/>
            <w:bookmarkEnd w:id="456"/>
          </w:p>
        </w:tc>
        <w:tc>
          <w:tcPr>
            <w:tcW w:w="13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3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30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457" w:name="xdx_408_eus-gaap--BusinessAcquisitionsPr"/>
            <w:bookmarkEnd w:id="457"/>
          </w:p>
        </w:tc>
      </w:tr>
      <w:tr>
        <w:trPr/>
        <w:tc>
          <w:tcPr>
            <w:tcW w:w="6140" w:type="dxa"/>
            <w:tcBorders/>
            <w:shd w:fill="CCEEFF" w:val="clear"/>
            <w:vAlign w:val="center"/>
          </w:tcPr>
          <w:p>
            <w:pPr>
              <w:pStyle w:val="TableContents"/>
              <w:bidi w:val="0"/>
              <w:spacing w:before="0" w:after="283"/>
              <w:jc w:val="left"/>
              <w:rPr/>
            </w:pPr>
            <w:r>
              <w:rPr/>
              <w:t>Pro forma revenue</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r>
              <w:rPr/>
              <w:t>2,080</w:t>
            </w:r>
          </w:p>
        </w:tc>
        <w:tc>
          <w:tcPr>
            <w:tcW w:w="13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2,053</w:t>
            </w:r>
          </w:p>
        </w:tc>
        <w:tc>
          <w:tcPr>
            <w:tcW w:w="110" w:type="dxa"/>
            <w:tcBorders/>
            <w:shd w:fill="CCEEFF" w:val="clear"/>
            <w:vAlign w:val="center"/>
          </w:tcPr>
          <w:p>
            <w:pPr>
              <w:pStyle w:val="TableContents"/>
              <w:bidi w:val="0"/>
              <w:spacing w:before="0" w:after="283"/>
              <w:jc w:val="left"/>
              <w:rPr/>
            </w:pPr>
            <w:r>
              <w:rPr/>
              <w:t> </w:t>
            </w:r>
            <w:bookmarkStart w:id="458" w:name="xdx_40E_eus-gaap--BusinessAcquisitionsPr"/>
            <w:bookmarkEnd w:id="458"/>
          </w:p>
        </w:tc>
      </w:tr>
      <w:tr>
        <w:trPr/>
        <w:tc>
          <w:tcPr>
            <w:tcW w:w="6140" w:type="dxa"/>
            <w:tcBorders/>
            <w:shd w:fill="FFFFFF" w:val="clear"/>
            <w:vAlign w:val="center"/>
          </w:tcPr>
          <w:p>
            <w:pPr>
              <w:pStyle w:val="TableContents"/>
              <w:bidi w:val="0"/>
              <w:spacing w:before="0" w:after="283"/>
              <w:jc w:val="left"/>
              <w:rPr/>
            </w:pPr>
            <w:r>
              <w:rPr/>
              <w:t>Pro forma net loss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p>
        </w:tc>
        <w:tc>
          <w:tcPr>
            <w:tcW w:w="925" w:type="dxa"/>
            <w:tcBorders/>
            <w:shd w:fill="FFFFFF" w:val="clear"/>
            <w:vAlign w:val="center"/>
          </w:tcPr>
          <w:p>
            <w:pPr>
              <w:pStyle w:val="TableContents"/>
              <w:bidi w:val="0"/>
              <w:spacing w:before="0" w:after="283"/>
              <w:jc w:val="right"/>
              <w:rPr/>
            </w:pPr>
            <w:r>
              <w:rPr/>
              <w:t>(3,191</w:t>
            </w:r>
          </w:p>
        </w:tc>
        <w:tc>
          <w:tcPr>
            <w:tcW w:w="138" w:type="dxa"/>
            <w:tcBorders/>
            <w:shd w:fill="FFFFFF" w:val="clear"/>
            <w:vAlign w:val="center"/>
          </w:tcPr>
          <w:p>
            <w:pPr>
              <w:pStyle w:val="TableContents"/>
              <w:bidi w:val="0"/>
              <w:spacing w:before="0" w:after="283"/>
              <w:jc w:val="left"/>
              <w:rPr/>
            </w:pPr>
            <w:r>
              <w:rPr/>
              <w:t>)</w:t>
            </w:r>
          </w:p>
        </w:tc>
        <w:tc>
          <w:tcPr>
            <w:tcW w:w="87"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(13,333</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left"/>
              <w:rPr/>
            </w:pPr>
            <w:r>
              <w:rPr/>
              <w:t>Pro forma net loss per share attributable to common shareholders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925" w:type="dxa"/>
            <w:tcBorders/>
            <w:shd w:fill="CCEEFF" w:val="clear"/>
            <w:vAlign w:val="center"/>
          </w:tcPr>
          <w:p>
            <w:pPr>
              <w:pStyle w:val="TableContents"/>
              <w:bidi w:val="0"/>
              <w:spacing w:before="0" w:after="283"/>
              <w:jc w:val="right"/>
              <w:rPr/>
            </w:pPr>
            <w:bookmarkStart w:id="459" w:name="xdx_90F_eus-gaap--BusinessAcquisitionPro"/>
            <w:bookmarkStart w:id="460" w:name="xdx_902_eus-gaap--BusinessAcquisitionPro"/>
            <w:bookmarkEnd w:id="459"/>
            <w:bookmarkEnd w:id="460"/>
            <w:r>
              <w:rPr/>
              <w:t>(6.57</w:t>
            </w:r>
          </w:p>
        </w:tc>
        <w:tc>
          <w:tcPr>
            <w:tcW w:w="138" w:type="dxa"/>
            <w:tcBorders/>
            <w:shd w:fill="CCEEFF" w:val="clear"/>
            <w:vAlign w:val="center"/>
          </w:tcPr>
          <w:p>
            <w:pPr>
              <w:pStyle w:val="TableContents"/>
              <w:bidi w:val="0"/>
              <w:spacing w:before="0" w:after="283"/>
              <w:jc w:val="left"/>
              <w:rPr/>
            </w:pPr>
            <w:r>
              <w:rPr/>
              <w:t>)</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bookmarkStart w:id="461" w:name="xdx_904_eus-gaap--BusinessAcquisitionPro"/>
            <w:bookmarkStart w:id="462" w:name="xdx_904_eus-gaap--BusinessAcquisitionPro"/>
            <w:bookmarkEnd w:id="461"/>
            <w:bookmarkEnd w:id="462"/>
            <w:r>
              <w:rPr/>
              <w:t>(602.02</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463" w:name="xdx_8A0_zUMF7LowOQzd"/>
      <w:bookmarkEnd w:id="463"/>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64" w:name="xdx_80A_ecustom--NonCurrentAssetsTextBlo"/>
      <w:bookmarkEnd w:id="464"/>
      <w:r>
        <w:rPr>
          <w:rFonts w:ascii="Times New Roman;Times;Serif" w:hAnsi="Times New Roman;Times;Serif"/>
          <w:b/>
          <w:i w:val="false"/>
          <w:caps w:val="false"/>
          <w:smallCaps w:val="false"/>
          <w:sz w:val="20"/>
        </w:rPr>
        <w:t xml:space="preserve">10. </w:t>
      </w:r>
      <w:bookmarkStart w:id="465" w:name="xdx_821_zNydE7SgbPx6"/>
      <w:bookmarkEnd w:id="465"/>
      <w:r>
        <w:rPr>
          <w:rFonts w:ascii="Times New Roman;Times;Serif" w:hAnsi="Times New Roman;Times;Serif"/>
          <w:b/>
          <w:i w:val="false"/>
          <w:caps w:val="false"/>
          <w:smallCaps w:val="false"/>
          <w:sz w:val="20"/>
        </w:rPr>
        <w:t>Non-Current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w:t>
      </w:r>
      <w:bookmarkStart w:id="466" w:name="xdx_90E_eus-gaap--NoncurrentAssets_iI_pn"/>
      <w:bookmarkEnd w:id="466"/>
      <w:r>
        <w:rPr>
          <w:rFonts w:ascii="Times New Roman;Times;Serif" w:hAnsi="Times New Roman;Times;Serif"/>
          <w:b w:val="false"/>
          <w:i w:val="false"/>
          <w:caps w:val="false"/>
          <w:smallCaps w:val="false"/>
          <w:sz w:val="20"/>
        </w:rPr>
        <w:t>0.2 million of non-current assets as of December 31, 2025 and $</w:t>
      </w:r>
      <w:bookmarkStart w:id="467" w:name="xdx_90C_eus-gaap--NoncurrentAssets_iI_pn"/>
      <w:bookmarkEnd w:id="467"/>
      <w:r>
        <w:rPr>
          <w:rFonts w:ascii="Times New Roman;Times;Serif" w:hAnsi="Times New Roman;Times;Serif"/>
          <w:b w:val="false"/>
          <w:i w:val="false"/>
          <w:caps w:val="false"/>
          <w:smallCaps w:val="false"/>
          <w:sz w:val="20"/>
        </w:rPr>
        <w:t xml:space="preserve">0.4 million as of December 31, 2024. The balance at December 31, 2025 relates to a </w:t>
      </w:r>
      <w:bookmarkStart w:id="468" w:name="xdx_90A_eus-gaap--NoncurrentAssets_iI_pn"/>
      <w:bookmarkEnd w:id="468"/>
      <w:r>
        <w:rPr>
          <w:rFonts w:ascii="Times New Roman;Times;Serif" w:hAnsi="Times New Roman;Times;Serif"/>
          <w:b w:val="false"/>
          <w:i w:val="false"/>
          <w:caps w:val="false"/>
          <w:smallCaps w:val="false"/>
          <w:sz w:val="20"/>
        </w:rPr>
        <w:t>1.7 million Malaysian Ringgit (approximately $</w:t>
      </w:r>
      <w:bookmarkStart w:id="469" w:name="xdx_90C_eus-gaap--NoncurrentAssets_iI_pn"/>
      <w:bookmarkEnd w:id="469"/>
      <w:r>
        <w:rPr>
          <w:rFonts w:ascii="Times New Roman;Times;Serif" w:hAnsi="Times New Roman;Times;Serif"/>
          <w:b w:val="false"/>
          <w:i w:val="false"/>
          <w:caps w:val="false"/>
          <w:smallCaps w:val="false"/>
          <w:sz w:val="20"/>
        </w:rPr>
        <w:t xml:space="preserve">0.4M) loan to an unrelated customer. The loan is interest bearing at a rate of </w:t>
      </w:r>
      <w:bookmarkStart w:id="470" w:name="xdx_906_eus-gaap--DebtInstrumentInterest"/>
      <w:bookmarkEnd w:id="470"/>
      <w:r>
        <w:rPr>
          <w:rFonts w:ascii="Times New Roman;Times;Serif" w:hAnsi="Times New Roman;Times;Serif"/>
          <w:b w:val="false"/>
          <w:i w:val="false"/>
          <w:caps w:val="false"/>
          <w:smallCaps w:val="false"/>
          <w:sz w:val="20"/>
        </w:rPr>
        <w:t>8% per annum, and is recorded as a component of interest income.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at December 31, 2024 primarily comprised of deposits held by a contract research organization in relation to the Company’s 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71" w:name="xdx_80B_eus-gaap--PropertyPlantAndEquipm"/>
      <w:bookmarkEnd w:id="471"/>
      <w:r>
        <w:rPr>
          <w:rFonts w:ascii="Times New Roman;Times;Serif" w:hAnsi="Times New Roman;Times;Serif"/>
          <w:b/>
          <w:i w:val="false"/>
          <w:caps w:val="false"/>
          <w:smallCaps w:val="false"/>
          <w:sz w:val="20"/>
        </w:rPr>
        <w:t xml:space="preserve">11. </w:t>
      </w:r>
      <w:bookmarkStart w:id="472" w:name="xdx_82D_zDFYoH6gXozb"/>
      <w:bookmarkEnd w:id="472"/>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73" w:name="xdx_891_eus-gaap--PropertyPlantAndEquipm"/>
      <w:bookmarkEnd w:id="473"/>
      <w:r>
        <w:rPr>
          <w:rFonts w:ascii="Times New Roman;Times;Serif" w:hAnsi="Times New Roman;Times;Serif"/>
          <w:b w:val="false"/>
          <w:i w:val="false"/>
          <w:caps w:val="false"/>
          <w:smallCaps w:val="false"/>
          <w:sz w:val="20"/>
        </w:rPr>
        <w:t>Property and equipment consisted of the following at December 31, 2025 and 2024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474" w:name="xdx_8BB_zVY3rSWVCn81"/>
      <w:bookmarkEnd w:id="474"/>
      <w:r>
        <w:rPr>
          <w:rFonts w:ascii="Times New Roman;Times;Serif" w:hAnsi="Times New Roman;Times;Serif"/>
          <w:b w:val="false"/>
          <w:i w:val="false"/>
          <w:caps w:val="false"/>
          <w:smallCaps w:val="false"/>
          <w:sz w:val="20"/>
        </w:rPr>
        <w:t xml:space="preserve">Schedule of Property and Equipment </w:t>
      </w:r>
    </w:p>
    <w:tbl>
      <w:tblPr>
        <w:tblW w:w="7682" w:type="dxa"/>
        <w:jc w:val="left"/>
        <w:tblInd w:w="0" w:type="dxa"/>
        <w:tblLayout w:type="fixed"/>
        <w:tblCellMar>
          <w:top w:w="0" w:type="dxa"/>
          <w:left w:w="0" w:type="dxa"/>
          <w:bottom w:w="0" w:type="dxa"/>
          <w:right w:w="0" w:type="dxa"/>
        </w:tblCellMar>
      </w:tblPr>
      <w:tblGrid>
        <w:gridCol w:w="4625"/>
        <w:gridCol w:w="60"/>
        <w:gridCol w:w="1415"/>
        <w:gridCol w:w="60"/>
        <w:gridCol w:w="147"/>
        <w:gridCol w:w="478"/>
        <w:gridCol w:w="99"/>
        <w:gridCol w:w="63"/>
        <w:gridCol w:w="147"/>
        <w:gridCol w:w="478"/>
        <w:gridCol w:w="110"/>
      </w:tblGrid>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center"/>
              <w:rPr>
                <w:b/>
              </w:rPr>
            </w:pPr>
            <w:r>
              <w:rPr>
                <w:b/>
              </w:rPr>
              <w:t>Lives in years</w:t>
            </w:r>
          </w:p>
        </w:tc>
        <w:tc>
          <w:tcPr>
            <w:tcW w:w="60" w:type="dxa"/>
            <w:tcBorders/>
            <w:vAlign w:val="center"/>
          </w:tcPr>
          <w:p>
            <w:pPr>
              <w:pStyle w:val="TableContents"/>
              <w:bidi w:val="0"/>
              <w:spacing w:before="0" w:after="283"/>
              <w:jc w:val="left"/>
              <w:rPr/>
            </w:pPr>
            <w:r>
              <w:rPr/>
              <w:t> </w:t>
            </w:r>
            <w:bookmarkStart w:id="475" w:name="xdx_496_20251231_zYyVRkCk5ZJj"/>
            <w:bookmarkEnd w:id="475"/>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476" w:name="xdx_49E_20241231_zv7RI4Agr2pc"/>
            <w:bookmarkEnd w:id="476"/>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tcBorders>
              <w:bottom w:val="single" w:sz="8" w:space="0" w:color="000000"/>
            </w:tcBorders>
            <w:tcMar>
              <w:bottom w:w="28" w:type="dxa"/>
            </w:tcMar>
            <w:vAlign w:val="center"/>
          </w:tcPr>
          <w:p>
            <w:pPr>
              <w:pStyle w:val="TableContents"/>
              <w:bidi w:val="0"/>
              <w:spacing w:before="0" w:after="283"/>
              <w:jc w:val="center"/>
              <w:rPr>
                <w:b/>
              </w:rPr>
            </w:pPr>
            <w:r>
              <w:rPr>
                <w:b/>
              </w:rPr>
              <w:t>Lives in years</w:t>
            </w:r>
          </w:p>
        </w:tc>
        <w:tc>
          <w:tcPr>
            <w:tcW w:w="60" w:type="dxa"/>
            <w:tcBorders/>
            <w:vAlign w:val="center"/>
          </w:tcPr>
          <w:p>
            <w:pPr>
              <w:pStyle w:val="TableContents"/>
              <w:bidi w:val="0"/>
              <w:spacing w:before="0" w:after="283"/>
              <w:jc w:val="left"/>
              <w:rPr/>
            </w:pPr>
            <w:r>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9"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477" w:name="xdx_40B_eus-gaap--PropertyPlantAndEquipm"/>
            <w:bookmarkEnd w:id="477"/>
          </w:p>
        </w:tc>
      </w:tr>
      <w:tr>
        <w:trPr/>
        <w:tc>
          <w:tcPr>
            <w:tcW w:w="462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bookmarkStart w:id="478" w:name="xdx_90E_eus-gaap--PropertyPlantAndEquipm"/>
            <w:bookmarkEnd w:id="478"/>
            <w:r>
              <w:rPr/>
              <w:t xml:space="preserve">1 to </w:t>
            </w:r>
            <w:bookmarkStart w:id="479" w:name="xdx_909_eus-gaap--PropertyPlantAndEquipm"/>
            <w:bookmarkEnd w:id="479"/>
            <w:r>
              <w:rPr/>
              <w:t>2</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78" w:type="dxa"/>
            <w:tcBorders/>
            <w:shd w:fill="CCEEFF" w:val="clear"/>
            <w:vAlign w:val="center"/>
          </w:tcPr>
          <w:p>
            <w:pPr>
              <w:pStyle w:val="TableContents"/>
              <w:bidi w:val="0"/>
              <w:spacing w:before="0" w:after="283"/>
              <w:jc w:val="right"/>
              <w:rPr/>
            </w:pPr>
            <w:r>
              <w:rPr/>
              <w:t>138</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78" w:type="dxa"/>
            <w:tcBorders/>
            <w:shd w:fill="CCEEFF" w:val="clear"/>
            <w:vAlign w:val="center"/>
          </w:tcPr>
          <w:p>
            <w:pPr>
              <w:pStyle w:val="TableContents"/>
              <w:bidi w:val="0"/>
              <w:spacing w:before="0" w:after="283"/>
              <w:jc w:val="right"/>
              <w:rPr/>
            </w:pPr>
            <w:r>
              <w:rPr/>
              <w:t>6</w:t>
            </w:r>
          </w:p>
        </w:tc>
        <w:tc>
          <w:tcPr>
            <w:tcW w:w="110" w:type="dxa"/>
            <w:tcBorders/>
            <w:shd w:fill="CCEEFF" w:val="clear"/>
            <w:vAlign w:val="center"/>
          </w:tcPr>
          <w:p>
            <w:pPr>
              <w:pStyle w:val="TableContents"/>
              <w:bidi w:val="0"/>
              <w:spacing w:before="0" w:after="283"/>
              <w:jc w:val="left"/>
              <w:rPr/>
            </w:pPr>
            <w:r>
              <w:rPr/>
              <w:t> </w:t>
            </w:r>
            <w:bookmarkStart w:id="480" w:name="xdx_401_eus-gaap--PropertyPlantAndEquipm"/>
            <w:bookmarkEnd w:id="480"/>
          </w:p>
        </w:tc>
      </w:tr>
      <w:tr>
        <w:trPr/>
        <w:tc>
          <w:tcPr>
            <w:tcW w:w="4625" w:type="dxa"/>
            <w:tcBorders/>
            <w:shd w:fill="FFFFFF" w:val="clear"/>
            <w:vAlign w:val="center"/>
          </w:tcPr>
          <w:p>
            <w:pPr>
              <w:pStyle w:val="TableContents"/>
              <w:bidi w:val="0"/>
              <w:spacing w:before="0" w:after="283"/>
              <w:jc w:val="left"/>
              <w:rPr/>
            </w:pPr>
            <w:r>
              <w:rPr/>
              <w:t>Plant &amp; Equipment</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bookmarkStart w:id="481" w:name="xdx_90B_eus-gaap--PropertyPlantAndEquipm"/>
            <w:bookmarkEnd w:id="481"/>
            <w:r>
              <w:rPr/>
              <w:t xml:space="preserve">3 to </w:t>
            </w:r>
            <w:bookmarkStart w:id="482" w:name="xdx_90D_eus-gaap--PropertyPlantAndEquipm"/>
            <w:bookmarkEnd w:id="482"/>
            <w:r>
              <w:rPr/>
              <w:t>5</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1</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83" w:name="xdx_403_eus-gaap--PropertyPlantAndEquipm"/>
            <w:bookmarkEnd w:id="483"/>
          </w:p>
        </w:tc>
      </w:tr>
      <w:tr>
        <w:trPr/>
        <w:tc>
          <w:tcPr>
            <w:tcW w:w="4625" w:type="dxa"/>
            <w:tcBorders/>
            <w:shd w:fill="CCEEFF" w:val="clear"/>
            <w:vAlign w:val="center"/>
          </w:tcPr>
          <w:p>
            <w:pPr>
              <w:pStyle w:val="TableContents"/>
              <w:bidi w:val="0"/>
              <w:spacing w:before="0" w:after="283"/>
              <w:jc w:val="left"/>
              <w:rPr/>
            </w:pPr>
            <w:r>
              <w:rPr/>
              <w:t>Office equipment and furniture</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bookmarkStart w:id="484" w:name="xdx_90C_eus-gaap--PropertyPlantAndEquipm"/>
            <w:bookmarkEnd w:id="484"/>
            <w:r>
              <w:rPr/>
              <w:t xml:space="preserve">3 to </w:t>
            </w:r>
            <w:bookmarkStart w:id="485" w:name="xdx_90F_eus-gaap--PropertyPlantAndEquipm"/>
            <w:bookmarkEnd w:id="485"/>
            <w:r>
              <w:rPr/>
              <w:t>5</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CCEEFF" w:val="clear"/>
            <w:tcMar>
              <w:bottom w:w="28" w:type="dxa"/>
            </w:tcMar>
            <w:vAlign w:val="center"/>
          </w:tcPr>
          <w:p>
            <w:pPr>
              <w:pStyle w:val="TableContents"/>
              <w:bidi w:val="0"/>
              <w:spacing w:before="0" w:after="283"/>
              <w:jc w:val="right"/>
              <w:rPr/>
            </w:pPr>
            <w:r>
              <w:rPr/>
              <w:t>282</w:t>
            </w:r>
          </w:p>
        </w:tc>
        <w:tc>
          <w:tcPr>
            <w:tcW w:w="99"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CCEEFF" w:val="clear"/>
            <w:tcMar>
              <w:bottom w:w="28" w:type="dxa"/>
            </w:tcMar>
            <w:vAlign w:val="center"/>
          </w:tcPr>
          <w:p>
            <w:pPr>
              <w:pStyle w:val="TableContents"/>
              <w:bidi w:val="0"/>
              <w:spacing w:before="0" w:after="283"/>
              <w:jc w:val="right"/>
              <w:rPr/>
            </w:pPr>
            <w:r>
              <w:rPr/>
              <w:t>420</w:t>
            </w:r>
          </w:p>
        </w:tc>
        <w:tc>
          <w:tcPr>
            <w:tcW w:w="110" w:type="dxa"/>
            <w:tcBorders/>
            <w:shd w:fill="CCEEFF" w:val="clear"/>
            <w:vAlign w:val="center"/>
          </w:tcPr>
          <w:p>
            <w:pPr>
              <w:pStyle w:val="TableContents"/>
              <w:bidi w:val="0"/>
              <w:spacing w:before="0" w:after="283"/>
              <w:jc w:val="left"/>
              <w:rPr/>
            </w:pPr>
            <w:r>
              <w:rPr/>
              <w:t> </w:t>
            </w:r>
            <w:bookmarkStart w:id="486" w:name="xdx_405_eus-gaap--PropertyPlantAndEquipm"/>
            <w:bookmarkEnd w:id="486"/>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gross</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421</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right"/>
              <w:rPr/>
            </w:pPr>
            <w:r>
              <w:rPr/>
              <w:t>427</w:t>
            </w:r>
          </w:p>
        </w:tc>
        <w:tc>
          <w:tcPr>
            <w:tcW w:w="110" w:type="dxa"/>
            <w:tcBorders/>
            <w:shd w:fill="FFFFFF" w:val="clear"/>
            <w:vAlign w:val="center"/>
          </w:tcPr>
          <w:p>
            <w:pPr>
              <w:pStyle w:val="TableContents"/>
              <w:bidi w:val="0"/>
              <w:spacing w:before="0" w:after="283"/>
              <w:jc w:val="left"/>
              <w:rPr/>
            </w:pPr>
            <w:r>
              <w:rPr/>
              <w:t> </w:t>
            </w:r>
            <w:bookmarkStart w:id="487" w:name="xdx_40A_eus-gaap--AccumulatedDepreciatio"/>
            <w:bookmarkEnd w:id="487"/>
          </w:p>
        </w:tc>
      </w:tr>
      <w:tr>
        <w:trPr/>
        <w:tc>
          <w:tcPr>
            <w:tcW w:w="4625" w:type="dxa"/>
            <w:tcBorders/>
            <w:shd w:fill="CCEEFF" w:val="clear"/>
            <w:vAlign w:val="center"/>
          </w:tcPr>
          <w:p>
            <w:pPr>
              <w:pStyle w:val="TableContents"/>
              <w:bidi w:val="0"/>
              <w:spacing w:before="0" w:after="283"/>
              <w:jc w:val="left"/>
              <w:rPr/>
            </w:pPr>
            <w:r>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41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CCEEFF" w:val="clear"/>
            <w:tcMar>
              <w:bottom w:w="28" w:type="dxa"/>
            </w:tcMar>
            <w:vAlign w:val="center"/>
          </w:tcPr>
          <w:p>
            <w:pPr>
              <w:pStyle w:val="TableContents"/>
              <w:bidi w:val="0"/>
              <w:spacing w:before="0" w:after="283"/>
              <w:jc w:val="right"/>
              <w:rPr/>
            </w:pPr>
            <w:r>
              <w:rPr/>
              <w:t>(284</w:t>
            </w:r>
          </w:p>
        </w:tc>
        <w:tc>
          <w:tcPr>
            <w:tcW w:w="99"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78" w:type="dxa"/>
            <w:tcBorders>
              <w:bottom w:val="single" w:sz="8" w:space="0" w:color="000000"/>
            </w:tcBorders>
            <w:shd w:fill="CCEEFF" w:val="clear"/>
            <w:tcMar>
              <w:bottom w:w="28" w:type="dxa"/>
            </w:tcMar>
            <w:vAlign w:val="center"/>
          </w:tcPr>
          <w:p>
            <w:pPr>
              <w:pStyle w:val="TableContents"/>
              <w:bidi w:val="0"/>
              <w:spacing w:before="0" w:after="283"/>
              <w:jc w:val="right"/>
              <w:rPr/>
            </w:pPr>
            <w:r>
              <w:rPr/>
              <w:t>(424</w:t>
            </w:r>
          </w:p>
        </w:tc>
        <w:tc>
          <w:tcPr>
            <w:tcW w:w="110" w:type="dxa"/>
            <w:tcBorders/>
            <w:shd w:fill="CCEEFF" w:val="clear"/>
            <w:vAlign w:val="center"/>
          </w:tcPr>
          <w:p>
            <w:pPr>
              <w:pStyle w:val="TableContents"/>
              <w:bidi w:val="0"/>
              <w:spacing w:before="0" w:after="283"/>
              <w:jc w:val="left"/>
              <w:rPr/>
            </w:pPr>
            <w:r>
              <w:rPr/>
              <w:t>)</w:t>
            </w:r>
            <w:bookmarkStart w:id="488" w:name="xdx_409_eus-gaap--PropertyPlantAndEquipm"/>
            <w:bookmarkEnd w:id="488"/>
          </w:p>
        </w:tc>
      </w:tr>
      <w:tr>
        <w:trPr/>
        <w:tc>
          <w:tcPr>
            <w:tcW w:w="46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78" w:type="dxa"/>
            <w:tcBorders>
              <w:bottom w:val="double" w:sz="6" w:space="0" w:color="000000"/>
            </w:tcBorders>
            <w:shd w:fill="FFFFFF" w:val="clear"/>
            <w:tcMar>
              <w:bottom w:w="28" w:type="dxa"/>
            </w:tcMar>
            <w:vAlign w:val="center"/>
          </w:tcPr>
          <w:p>
            <w:pPr>
              <w:pStyle w:val="TableContents"/>
              <w:bidi w:val="0"/>
              <w:spacing w:before="0" w:after="283"/>
              <w:jc w:val="right"/>
              <w:rPr/>
            </w:pPr>
            <w:r>
              <w:rPr/>
              <w:t>137</w:t>
            </w:r>
          </w:p>
        </w:tc>
        <w:tc>
          <w:tcPr>
            <w:tcW w:w="99"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78" w:type="dxa"/>
            <w:tcBorders>
              <w:bottom w:val="double" w:sz="6" w:space="0" w:color="000000"/>
            </w:tcBorders>
            <w:shd w:fill="FFFFFF" w:val="clear"/>
            <w:tcMar>
              <w:bottom w:w="28" w:type="dxa"/>
            </w:tcM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89" w:name="xdx_8A7_zOiwTGg34FFj"/>
      <w:bookmarkEnd w:id="489"/>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90" w:name="xdx_801_eus-gaap--AccountsPayableAccrued"/>
      <w:bookmarkEnd w:id="490"/>
      <w:r>
        <w:rPr>
          <w:rFonts w:ascii="Times New Roman;Times;Serif" w:hAnsi="Times New Roman;Times;Serif"/>
          <w:b/>
          <w:i w:val="false"/>
          <w:caps w:val="false"/>
          <w:smallCaps w:val="false"/>
          <w:sz w:val="20"/>
        </w:rPr>
        <w:t xml:space="preserve">12. </w:t>
      </w:r>
      <w:bookmarkStart w:id="491" w:name="xdx_82A_zZZ0COFfXOi"/>
      <w:bookmarkEnd w:id="491"/>
      <w:r>
        <w:rPr>
          <w:rFonts w:ascii="Times New Roman;Times;Serif" w:hAnsi="Times New Roman;Times;Serif"/>
          <w:b/>
          <w:i w:val="false"/>
          <w:caps w:val="false"/>
          <w:smallCaps w:val="false"/>
          <w:sz w:val="20"/>
        </w:rPr>
        <w:t>Accrued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492" w:name="xdx_898_eus-gaap--ScheduleOfAccruedLiabi"/>
      <w:bookmarkEnd w:id="492"/>
      <w:r>
        <w:rPr>
          <w:rFonts w:ascii="Times New Roman;Times;Serif" w:hAnsi="Times New Roman;Times;Serif"/>
          <w:b w:val="false"/>
          <w:i w:val="false"/>
          <w:caps w:val="false"/>
          <w:smallCaps w:val="false"/>
          <w:sz w:val="20"/>
        </w:rPr>
        <w:t>Accrued and other current liabilities consisted of the following items as of December 31, 2025 and 2024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493" w:name="xdx_8B5_zWDktbgl6Ppa"/>
      <w:bookmarkEnd w:id="493"/>
      <w:r>
        <w:rPr>
          <w:rFonts w:ascii="Times New Roman;Times;Serif" w:hAnsi="Times New Roman;Times;Serif"/>
          <w:b w:val="false"/>
          <w:i w:val="false"/>
          <w:caps w:val="false"/>
          <w:smallCaps w:val="false"/>
          <w:sz w:val="20"/>
        </w:rPr>
        <w:t>Schedule of Accrued and Other Current Liabilities</w:t>
      </w:r>
    </w:p>
    <w:tbl>
      <w:tblPr>
        <w:tblW w:w="6479" w:type="dxa"/>
        <w:jc w:val="left"/>
        <w:tblInd w:w="0" w:type="dxa"/>
        <w:tblLayout w:type="fixed"/>
        <w:tblCellMar>
          <w:top w:w="0" w:type="dxa"/>
          <w:left w:w="0" w:type="dxa"/>
          <w:bottom w:w="0" w:type="dxa"/>
          <w:right w:w="0" w:type="dxa"/>
        </w:tblCellMar>
      </w:tblPr>
      <w:tblGrid>
        <w:gridCol w:w="3395"/>
        <w:gridCol w:w="60"/>
        <w:gridCol w:w="241"/>
        <w:gridCol w:w="1173"/>
        <w:gridCol w:w="60"/>
        <w:gridCol w:w="60"/>
        <w:gridCol w:w="283"/>
        <w:gridCol w:w="1132"/>
        <w:gridCol w:w="75"/>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4" w:name="xdx_49B_20251231_z5bSKa0lRf6g"/>
            <w:bookmarkEnd w:id="494"/>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95" w:name="xdx_493_20241231_zCaYWEOkBede"/>
            <w:bookmarkEnd w:id="495"/>
          </w:p>
        </w:tc>
        <w:tc>
          <w:tcPr>
            <w:tcW w:w="1415"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496" w:name="xdx_40D_ecustom--AccruedResearchAndDevel"/>
            <w:bookmarkEnd w:id="496"/>
          </w:p>
        </w:tc>
      </w:tr>
      <w:tr>
        <w:trPr/>
        <w:tc>
          <w:tcPr>
            <w:tcW w:w="3395" w:type="dxa"/>
            <w:tcBorders/>
            <w:shd w:fill="CCEEFF" w:val="clear"/>
            <w:vAlign w:val="center"/>
          </w:tcPr>
          <w:p>
            <w:pPr>
              <w:pStyle w:val="TableContents"/>
              <w:bidi w:val="0"/>
              <w:spacing w:before="0" w:after="283"/>
              <w:jc w:val="left"/>
              <w:rPr/>
            </w:pPr>
            <w:r>
              <w:rPr/>
              <w:t>Accrued research and development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1,299</w:t>
            </w:r>
          </w:p>
        </w:tc>
        <w:tc>
          <w:tcPr>
            <w:tcW w:w="75" w:type="dxa"/>
            <w:tcBorders/>
            <w:shd w:fill="CCEEFF" w:val="clear"/>
            <w:vAlign w:val="center"/>
          </w:tcPr>
          <w:p>
            <w:pPr>
              <w:pStyle w:val="TableContents"/>
              <w:bidi w:val="0"/>
              <w:spacing w:before="0" w:after="283"/>
              <w:jc w:val="left"/>
              <w:rPr/>
            </w:pPr>
            <w:r>
              <w:rPr/>
              <w:t> </w:t>
            </w:r>
            <w:bookmarkStart w:id="497" w:name="xdx_407_eus-gaap--AccruedProfessionalFee"/>
            <w:bookmarkEnd w:id="497"/>
          </w:p>
        </w:tc>
      </w:tr>
      <w:tr>
        <w:trPr/>
        <w:tc>
          <w:tcPr>
            <w:tcW w:w="3395" w:type="dxa"/>
            <w:tcBorders/>
            <w:shd w:fill="FFFFFF" w:val="clear"/>
            <w:vAlign w:val="center"/>
          </w:tcPr>
          <w:p>
            <w:pPr>
              <w:pStyle w:val="TableContents"/>
              <w:bidi w:val="0"/>
              <w:spacing w:before="0" w:after="283"/>
              <w:jc w:val="left"/>
              <w:rPr/>
            </w:pPr>
            <w:r>
              <w:rPr/>
              <w:t>Accrued legal and professional fees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87</w:t>
            </w:r>
          </w:p>
        </w:tc>
        <w:tc>
          <w:tcPr>
            <w:tcW w:w="75" w:type="dxa"/>
            <w:tcBorders/>
            <w:shd w:fill="FFFFFF" w:val="clear"/>
            <w:vAlign w:val="center"/>
          </w:tcPr>
          <w:p>
            <w:pPr>
              <w:pStyle w:val="TableContents"/>
              <w:bidi w:val="0"/>
              <w:spacing w:before="0" w:after="283"/>
              <w:jc w:val="left"/>
              <w:rPr/>
            </w:pPr>
            <w:r>
              <w:rPr/>
              <w:t> </w:t>
            </w:r>
            <w:bookmarkStart w:id="498" w:name="xdx_40D_eus-gaap--OtherAccruedLiabilitie"/>
            <w:bookmarkEnd w:id="498"/>
          </w:p>
        </w:tc>
      </w:tr>
      <w:tr>
        <w:trPr/>
        <w:tc>
          <w:tcPr>
            <w:tcW w:w="3395"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283</w:t>
            </w:r>
          </w:p>
        </w:tc>
        <w:tc>
          <w:tcPr>
            <w:tcW w:w="75" w:type="dxa"/>
            <w:tcBorders/>
            <w:shd w:fill="CCEEFF" w:val="clear"/>
            <w:vAlign w:val="center"/>
          </w:tcPr>
          <w:p>
            <w:pPr>
              <w:pStyle w:val="TableContents"/>
              <w:bidi w:val="0"/>
              <w:spacing w:before="0" w:after="283"/>
              <w:jc w:val="left"/>
              <w:rPr/>
            </w:pPr>
            <w:r>
              <w:rPr/>
              <w:t> </w:t>
            </w:r>
            <w:bookmarkStart w:id="499" w:name="xdx_401_eus-gaap--AccruedLiabilitiesCurr"/>
            <w:bookmarkEnd w:id="499"/>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and other current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r>
              <w:rPr/>
              <w:t>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1,669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0" w:name="xdx_805_eus-gaap--CommitmentsAndContinge"/>
      <w:bookmarkEnd w:id="500"/>
      <w:r>
        <w:rPr>
          <w:rFonts w:ascii="Times New Roman;Times;Serif" w:hAnsi="Times New Roman;Times;Serif"/>
          <w:b/>
          <w:i w:val="false"/>
          <w:caps w:val="false"/>
          <w:smallCaps w:val="false"/>
          <w:sz w:val="20"/>
        </w:rPr>
        <w:t xml:space="preserve">13. </w:t>
      </w:r>
      <w:bookmarkStart w:id="501" w:name="xdx_82D_zq1bqfdTlkLi"/>
      <w:bookmarkEnd w:id="501"/>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March 1, 2025, the Company entered into a </w:t>
      </w:r>
      <w:bookmarkStart w:id="502" w:name="xdx_908_eus-gaap--LesseeOperatingLeaseTe"/>
      <w:bookmarkEnd w:id="502"/>
      <w:r>
        <w:rPr>
          <w:rFonts w:ascii="Times New Roman;Times;Serif" w:hAnsi="Times New Roman;Times;Serif"/>
          <w:b w:val="false"/>
          <w:i w:val="false"/>
          <w:caps w:val="false"/>
          <w:smallCaps w:val="false"/>
          <w:sz w:val="20"/>
        </w:rPr>
        <w:t>two year lease agreement for our corporate headquarters at Level 10, Tower 11, Avenue 5, No. 8, Jalan Kerinchi, 59200 Kuala Lumpur, Malaysia, which we believe is adequate to accommodate our business needs. The Company terminated its lease agreement for its previous headquarters in Berkely Heights, New Jersey, effective January 31, 2025. Following the acquisition of Fitters Sub on September 12, 2025, the Company has three additional facilities in Malaysia, all on short term lease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December 31, 2024, the Company recognized operating lease expenses of $</w:t>
      </w:r>
      <w:bookmarkStart w:id="503" w:name="xdx_903_eus-gaap--OperatingLeaseExpense_"/>
      <w:bookmarkEnd w:id="503"/>
      <w:r>
        <w:rPr>
          <w:rFonts w:ascii="Times New Roman;Times;Serif" w:hAnsi="Times New Roman;Times;Serif"/>
          <w:b w:val="false"/>
          <w:i w:val="false"/>
          <w:caps w:val="false"/>
          <w:smallCaps w:val="false"/>
          <w:sz w:val="20"/>
        </w:rPr>
        <w:t>22,335 and $</w:t>
      </w:r>
      <w:bookmarkStart w:id="504" w:name="xdx_901_eus-gaap--OperatingLeaseExpense_"/>
      <w:bookmarkEnd w:id="504"/>
      <w:r>
        <w:rPr>
          <w:rFonts w:ascii="Times New Roman;Times;Serif" w:hAnsi="Times New Roman;Times;Serif"/>
          <w:b w:val="false"/>
          <w:i w:val="false"/>
          <w:caps w:val="false"/>
          <w:smallCaps w:val="false"/>
          <w:sz w:val="20"/>
        </w:rPr>
        <w:t>82,830 respectively, including $</w:t>
      </w:r>
      <w:bookmarkStart w:id="505" w:name="xdx_904_eus-gaap--OperatingLeaseExpense_"/>
      <w:bookmarkEnd w:id="505"/>
      <w:r>
        <w:rPr>
          <w:rFonts w:ascii="Times New Roman;Times;Serif" w:hAnsi="Times New Roman;Times;Serif"/>
          <w:b w:val="false"/>
          <w:i w:val="false"/>
          <w:caps w:val="false"/>
          <w:smallCaps w:val="false"/>
          <w:sz w:val="20"/>
        </w:rPr>
        <w:t>12,813 and $</w:t>
      </w:r>
      <w:bookmarkStart w:id="506" w:name="xdx_90B_eus-gaap--OperatingLeaseExpense_"/>
      <w:bookmarkEnd w:id="506"/>
      <w:r>
        <w:rPr>
          <w:rFonts w:ascii="Times New Roman;Times;Serif" w:hAnsi="Times New Roman;Times;Serif"/>
          <w:b w:val="false"/>
          <w:i w:val="false"/>
          <w:caps w:val="false"/>
          <w:smallCaps w:val="false"/>
          <w:sz w:val="20"/>
        </w:rPr>
        <w:t xml:space="preserve">9,104 respectively relating to short term lease agreements for facilities in Scotland and Malaysia. The remaining lease term as of December 31, 2025 is approximately </w:t>
      </w:r>
      <w:bookmarkStart w:id="507" w:name="xdx_90C_eus-gaap--LesseeOperatingLeaseRe"/>
      <w:bookmarkEnd w:id="507"/>
      <w:r>
        <w:rPr>
          <w:rFonts w:ascii="Times New Roman;Times;Serif" w:hAnsi="Times New Roman;Times;Serif"/>
          <w:b w:val="false"/>
          <w:i w:val="false"/>
          <w:caps w:val="false"/>
          <w:smallCaps w:val="false"/>
          <w:sz w:val="20"/>
        </w:rPr>
        <w:t xml:space="preserve">1.2 years for the Kuala Lumpur, Malaysia facility. The discount rate used by the Company in determining the lease liability was </w:t>
      </w:r>
      <w:bookmarkStart w:id="508" w:name="xdx_908_eus-gaap--LesseeOperatingLeaseDi"/>
      <w:bookmarkEnd w:id="508"/>
      <w:r>
        <w:rPr>
          <w:rFonts w:ascii="Times New Roman;Times;Serif" w:hAnsi="Times New Roman;Times;Serif"/>
          <w:b w:val="false"/>
          <w:i w:val="false"/>
          <w:caps w:val="false"/>
          <w:smallCaps w:val="false"/>
          <w:sz w:val="20"/>
        </w:rPr>
        <w:t>12%.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509" w:name="xdx_899_eus-gaap--LesseeOperatingLeaseLi"/>
      <w:bookmarkEnd w:id="509"/>
      <w:r>
        <w:rPr>
          <w:rFonts w:ascii="Times New Roman;Times;Serif" w:hAnsi="Times New Roman;Times;Serif"/>
          <w:b w:val="false"/>
          <w:i w:val="false"/>
          <w:caps w:val="false"/>
          <w:smallCaps w:val="false"/>
          <w:sz w:val="20"/>
        </w:rPr>
        <w:t>The following is a summary of the Company’s future contractual obligations and commitments relating to its facilities lease as at December 31, 2025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510" w:name="xdx_8B1_ztkXl87hwJL7"/>
      <w:bookmarkEnd w:id="510"/>
      <w:r>
        <w:rPr>
          <w:rFonts w:ascii="Times New Roman;Times;Serif" w:hAnsi="Times New Roman;Times;Serif"/>
          <w:b w:val="false"/>
          <w:i w:val="false"/>
          <w:caps w:val="false"/>
          <w:smallCaps w:val="false"/>
          <w:sz w:val="20"/>
        </w:rPr>
        <w:t>Schedule of the Company’s Future Contractual Obligations and Commitments Relating to Its Facilities Leases </w:t>
      </w:r>
    </w:p>
    <w:tbl>
      <w:tblPr>
        <w:tblW w:w="5469" w:type="dxa"/>
        <w:jc w:val="left"/>
        <w:tblInd w:w="0" w:type="dxa"/>
        <w:tblLayout w:type="fixed"/>
        <w:tblCellMar>
          <w:top w:w="0" w:type="dxa"/>
          <w:left w:w="0" w:type="dxa"/>
          <w:bottom w:w="0" w:type="dxa"/>
          <w:right w:w="0" w:type="dxa"/>
        </w:tblCellMar>
      </w:tblPr>
      <w:tblGrid>
        <w:gridCol w:w="3635"/>
        <w:gridCol w:w="60"/>
        <w:gridCol w:w="269"/>
        <w:gridCol w:w="1430"/>
        <w:gridCol w:w="7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1" w:name="xdx_497_20251231_z1eTTnzP7yz3"/>
            <w:bookmarkEnd w:id="511"/>
          </w:p>
        </w:tc>
        <w:tc>
          <w:tcPr>
            <w:tcW w:w="1699" w:type="dxa"/>
            <w:gridSpan w:val="2"/>
            <w:tcBorders/>
            <w:vAlign w:val="center"/>
          </w:tcPr>
          <w:p>
            <w:pPr>
              <w:pStyle w:val="TableContents"/>
              <w:bidi w:val="0"/>
              <w:spacing w:before="0" w:after="283"/>
              <w:jc w:val="center"/>
              <w:rPr>
                <w:b/>
              </w:rPr>
            </w:pPr>
            <w:r>
              <w:rPr>
                <w:b/>
              </w:rPr>
              <w:t>Operating Lease</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Obligation</w:t>
            </w:r>
          </w:p>
        </w:tc>
        <w:tc>
          <w:tcPr>
            <w:tcW w:w="75" w:type="dxa"/>
            <w:tcBorders/>
            <w:vAlign w:val="center"/>
          </w:tcPr>
          <w:p>
            <w:pPr>
              <w:pStyle w:val="TableContents"/>
              <w:bidi w:val="0"/>
              <w:spacing w:before="0" w:after="283"/>
              <w:jc w:val="left"/>
              <w:rPr/>
            </w:pPr>
            <w:r>
              <w:rPr/>
              <w:t> </w:t>
            </w:r>
            <w:bookmarkStart w:id="512" w:name="xdx_40D_eus-gaap--LesseeOperatingLeaseLi"/>
            <w:bookmarkEnd w:id="512"/>
          </w:p>
        </w:tc>
      </w:tr>
      <w:tr>
        <w:trPr/>
        <w:tc>
          <w:tcPr>
            <w:tcW w:w="3635" w:type="dxa"/>
            <w:tcBorders/>
            <w:shd w:fill="CCEEFF" w:val="clear"/>
            <w:vAlign w:val="center"/>
          </w:tcPr>
          <w:p>
            <w:pPr>
              <w:pStyle w:val="TableContents"/>
              <w:bidi w:val="0"/>
              <w:spacing w:before="0" w:after="283"/>
              <w:jc w:val="both"/>
              <w:rPr/>
            </w:pPr>
            <w:r>
              <w:rPr/>
              <w:t>2026</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        </w:t>
            </w:r>
            <w:r>
              <w:rPr/>
              <w:t>18</w:t>
            </w:r>
          </w:p>
        </w:tc>
        <w:tc>
          <w:tcPr>
            <w:tcW w:w="75" w:type="dxa"/>
            <w:tcBorders/>
            <w:shd w:fill="CCEEFF" w:val="clear"/>
            <w:vAlign w:val="center"/>
          </w:tcPr>
          <w:p>
            <w:pPr>
              <w:pStyle w:val="TableContents"/>
              <w:bidi w:val="0"/>
              <w:spacing w:before="0" w:after="283"/>
              <w:jc w:val="left"/>
              <w:rPr/>
            </w:pPr>
            <w:r>
              <w:rPr/>
              <w:t> </w:t>
            </w:r>
            <w:bookmarkStart w:id="513" w:name="xdx_40F_eus-gaap--LesseeOperatingLeaseLi"/>
            <w:bookmarkEnd w:id="513"/>
          </w:p>
        </w:tc>
      </w:tr>
      <w:tr>
        <w:trPr/>
        <w:tc>
          <w:tcPr>
            <w:tcW w:w="3635" w:type="dxa"/>
            <w:tcBorders/>
            <w:shd w:fill="FFFFFF" w:val="clear"/>
            <w:vAlign w:val="center"/>
          </w:tcPr>
          <w:p>
            <w:pPr>
              <w:pStyle w:val="TableContents"/>
              <w:bidi w:val="0"/>
              <w:spacing w:before="0" w:after="283"/>
              <w:jc w:val="both"/>
              <w:rPr/>
            </w:pPr>
            <w:r>
              <w:rPr/>
              <w:t>2027</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2</w:t>
            </w:r>
          </w:p>
        </w:tc>
        <w:tc>
          <w:tcPr>
            <w:tcW w:w="75" w:type="dxa"/>
            <w:tcBorders/>
            <w:shd w:fill="FFFFFF" w:val="clear"/>
            <w:vAlign w:val="center"/>
          </w:tcPr>
          <w:p>
            <w:pPr>
              <w:pStyle w:val="TableContents"/>
              <w:bidi w:val="0"/>
              <w:spacing w:before="0" w:after="283"/>
              <w:jc w:val="left"/>
              <w:rPr/>
            </w:pPr>
            <w:r>
              <w:rPr/>
              <w:t> </w:t>
            </w:r>
            <w:bookmarkStart w:id="514" w:name="xdx_40A_ecustom--LesseeOperatingLeaseLia"/>
            <w:bookmarkEnd w:id="514"/>
          </w:p>
        </w:tc>
      </w:tr>
      <w:tr>
        <w:trPr/>
        <w:tc>
          <w:tcPr>
            <w:tcW w:w="3635" w:type="dxa"/>
            <w:tcBorders/>
            <w:shd w:fill="CCEEFF" w:val="clear"/>
            <w:vAlign w:val="center"/>
          </w:tcPr>
          <w:p>
            <w:pPr>
              <w:pStyle w:val="TableContents"/>
              <w:bidi w:val="0"/>
              <w:spacing w:before="0" w:after="283"/>
              <w:jc w:val="left"/>
              <w:rPr/>
            </w:pPr>
            <w:r>
              <w:rPr/>
              <w:t>Thereafter</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15" w:name="xdx_404_eus-gaap--LesseeOperatingLeaseLi"/>
            <w:bookmarkEnd w:id="515"/>
          </w:p>
        </w:tc>
      </w:tr>
      <w:tr>
        <w:trPr/>
        <w:tc>
          <w:tcPr>
            <w:tcW w:w="3635" w:type="dxa"/>
            <w:tcBorders/>
            <w:shd w:fill="FFFFFF" w:val="clear"/>
            <w:vAlign w:val="center"/>
          </w:tcPr>
          <w:p>
            <w:pPr>
              <w:pStyle w:val="TableContents"/>
              <w:bidi w:val="0"/>
              <w:spacing w:before="0" w:after="283"/>
              <w:jc w:val="left"/>
              <w:rPr/>
            </w:pPr>
            <w:r>
              <w:rPr/>
              <w:t>Total future minimum lease obligation</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w:t>
            </w:r>
          </w:p>
        </w:tc>
        <w:tc>
          <w:tcPr>
            <w:tcW w:w="1430" w:type="dxa"/>
            <w:tcBorders/>
            <w:shd w:fill="FFFFFF" w:val="clear"/>
            <w:vAlign w:val="center"/>
          </w:tcPr>
          <w:p>
            <w:pPr>
              <w:pStyle w:val="TableContents"/>
              <w:bidi w:val="0"/>
              <w:spacing w:before="0" w:after="283"/>
              <w:jc w:val="right"/>
              <w:rPr/>
            </w:pPr>
            <w:r>
              <w:rPr/>
              <w:t>20</w:t>
            </w:r>
          </w:p>
        </w:tc>
        <w:tc>
          <w:tcPr>
            <w:tcW w:w="75" w:type="dxa"/>
            <w:tcBorders/>
            <w:shd w:fill="FFFFFF" w:val="clear"/>
            <w:vAlign w:val="center"/>
          </w:tcPr>
          <w:p>
            <w:pPr>
              <w:pStyle w:val="TableContents"/>
              <w:bidi w:val="0"/>
              <w:spacing w:before="0" w:after="283"/>
              <w:jc w:val="left"/>
              <w:rPr/>
            </w:pPr>
            <w:r>
              <w:rPr/>
              <w:t> </w:t>
            </w:r>
            <w:bookmarkStart w:id="516" w:name="xdx_404_eus-gaap--LesseeOperatingLeaseLi"/>
            <w:bookmarkEnd w:id="516"/>
          </w:p>
        </w:tc>
      </w:tr>
      <w:tr>
        <w:trPr/>
        <w:tc>
          <w:tcPr>
            <w:tcW w:w="3635" w:type="dxa"/>
            <w:tcBorders/>
            <w:shd w:fill="CCEEFF" w:val="clear"/>
            <w:vAlign w:val="center"/>
          </w:tcPr>
          <w:p>
            <w:pPr>
              <w:pStyle w:val="TableContents"/>
              <w:bidi w:val="0"/>
              <w:spacing w:before="0" w:after="283"/>
              <w:jc w:val="left"/>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17" w:name="xdx_40D_eus-gaap--OperatingLeaseLiabilit"/>
            <w:bookmarkEnd w:id="517"/>
          </w:p>
        </w:tc>
      </w:tr>
      <w:tr>
        <w:trPr/>
        <w:tc>
          <w:tcPr>
            <w:tcW w:w="363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30" w:type="dxa"/>
            <w:tcBorders>
              <w:bottom w:val="double" w:sz="6" w:space="0" w:color="000000"/>
            </w:tcBorders>
            <w:shd w:fill="FFFFFF" w:val="clear"/>
            <w:tcMar>
              <w:bottom w:w="28" w:type="dxa"/>
            </w:tcMar>
            <w:vAlign w:val="center"/>
          </w:tcPr>
          <w:p>
            <w:pPr>
              <w:pStyle w:val="TableContents"/>
              <w:bidi w:val="0"/>
              <w:spacing w:before="0" w:after="283"/>
              <w:jc w:val="right"/>
              <w:rPr/>
            </w:pPr>
            <w:r>
              <w:rPr/>
              <w:t>20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18" w:name="xdx_8AD_z4xy83FKOtRb"/>
      <w:bookmarkEnd w:id="51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9" w:name="xdx_806_eus-gaap--StockholdersEquityNote"/>
      <w:bookmarkEnd w:id="519"/>
      <w:r>
        <w:rPr>
          <w:rFonts w:ascii="Times New Roman;Times;Serif" w:hAnsi="Times New Roman;Times;Serif"/>
          <w:b/>
          <w:i w:val="false"/>
          <w:caps w:val="false"/>
          <w:smallCaps w:val="false"/>
          <w:sz w:val="20"/>
        </w:rPr>
        <w:t xml:space="preserve">14. </w:t>
      </w:r>
      <w:bookmarkStart w:id="520" w:name="xdx_822_z1JbkrLKt3v2"/>
      <w:bookmarkEnd w:id="520"/>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completed the following equity issuances during the periods presented in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Preferred Stock Equity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20, 2025, Bio Green Med Solution, Inc. (the “Company”) entered into a Securities Purchase Agreement (the “Purchase Agreement”) with certain accredited investors (the “Investors”), pursuant to which the Investors agreed to purchase an aggregate of </w:t>
      </w:r>
      <w:bookmarkStart w:id="521" w:name="xdx_90B_eus-gaap--SaleOfStockNumberOfSha"/>
      <w:bookmarkEnd w:id="521"/>
      <w:r>
        <w:rPr>
          <w:rFonts w:ascii="Times New Roman;Times;Serif" w:hAnsi="Times New Roman;Times;Serif"/>
          <w:b w:val="false"/>
          <w:i w:val="false"/>
          <w:caps w:val="false"/>
          <w:smallCaps w:val="false"/>
          <w:sz w:val="20"/>
        </w:rPr>
        <w:t>3,000,000 shares of Series F Convertible Preferred Stock (the “Series F Preferred Stock”) of the Company at a purchase price of $</w:t>
      </w:r>
      <w:bookmarkStart w:id="522" w:name="xdx_907_eus-gaap--SharePrice_iI_c2025062"/>
      <w:bookmarkEnd w:id="522"/>
      <w:r>
        <w:rPr>
          <w:rFonts w:ascii="Times New Roman;Times;Serif" w:hAnsi="Times New Roman;Times;Serif"/>
          <w:b w:val="false"/>
          <w:i w:val="false"/>
          <w:caps w:val="false"/>
          <w:smallCaps w:val="false"/>
          <w:sz w:val="20"/>
        </w:rPr>
        <w:t>1.00 per share for aggregate gross proceeds of $</w:t>
      </w:r>
      <w:bookmarkStart w:id="523" w:name="xdx_90A_eus-gaap--ProceedsFromIssuanceOf"/>
      <w:bookmarkEnd w:id="523"/>
      <w:r>
        <w:rPr>
          <w:rFonts w:ascii="Times New Roman;Times;Serif" w:hAnsi="Times New Roman;Times;Serif"/>
          <w:b w:val="false"/>
          <w:i w:val="false"/>
          <w:caps w:val="false"/>
          <w:smallCaps w:val="false"/>
          <w:sz w:val="20"/>
        </w:rPr>
        <w:t>3,000,000, subject to the terms and conditions of the Purchase Agreement. In connection with the transaction, the Company issued a series A common stock purchase warrant, series B common stock purchase warrant and series C common stock purchase warrant to each Investor (collectively, the “Warrants”). The proceeds of the transaction will be used for general corporate and operating purposes.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sum, the Investors agreed to invest a total of $</w:t>
      </w:r>
      <w:bookmarkStart w:id="524" w:name="xdx_900_eus-gaap--Investments_iI_c202506"/>
      <w:bookmarkEnd w:id="524"/>
      <w:r>
        <w:rPr>
          <w:rFonts w:ascii="Times New Roman;Times;Serif" w:hAnsi="Times New Roman;Times;Serif"/>
          <w:b w:val="false"/>
          <w:i w:val="false"/>
          <w:caps w:val="false"/>
          <w:smallCaps w:val="false"/>
          <w:sz w:val="20"/>
        </w:rPr>
        <w:t xml:space="preserve">3,000,000 at the closing of the transactions under the Purchase Agreement in exchange for an aggregate of </w:t>
      </w:r>
      <w:bookmarkStart w:id="525" w:name="xdx_907_eus-gaap--SaleOfStockNumberOfSha"/>
      <w:bookmarkEnd w:id="525"/>
      <w:r>
        <w:rPr>
          <w:rFonts w:ascii="Times New Roman;Times;Serif" w:hAnsi="Times New Roman;Times;Serif"/>
          <w:b w:val="false"/>
          <w:i w:val="false"/>
          <w:caps w:val="false"/>
          <w:smallCaps w:val="false"/>
          <w:sz w:val="20"/>
        </w:rPr>
        <w:t xml:space="preserve">3,000,000 shares of Series F Preferred Stock and </w:t>
      </w:r>
      <w:bookmarkStart w:id="526" w:name="xdx_907_eus-gaap--SaleOfStockNumberOfSha"/>
      <w:bookmarkEnd w:id="526"/>
      <w:r>
        <w:rPr>
          <w:rFonts w:ascii="Times New Roman;Times;Serif" w:hAnsi="Times New Roman;Times;Serif"/>
          <w:b w:val="false"/>
          <w:i w:val="false"/>
          <w:caps w:val="false"/>
          <w:smallCaps w:val="false"/>
          <w:sz w:val="20"/>
        </w:rPr>
        <w:t>1,962,000 Warrants, which occurred on or about June 20, 2025 (the “Closing”).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share of Series F Preferred Stock was convertible into </w:t>
      </w:r>
      <w:bookmarkStart w:id="527" w:name="xdx_90E_eus-gaap--StockIssuedDuringPerio"/>
      <w:bookmarkEnd w:id="527"/>
      <w:r>
        <w:rPr>
          <w:rFonts w:ascii="Times New Roman;Times;Serif" w:hAnsi="Times New Roman;Times;Serif"/>
          <w:b w:val="false"/>
          <w:i w:val="false"/>
          <w:caps w:val="false"/>
          <w:smallCaps w:val="false"/>
          <w:sz w:val="20"/>
        </w:rPr>
        <w:t>0.218 shares of the Company’s common stock, par value $</w:t>
      </w:r>
      <w:bookmarkStart w:id="528" w:name="xdx_908_eus-gaap--CommonStockParOrStated"/>
      <w:bookmarkEnd w:id="528"/>
      <w:r>
        <w:rPr>
          <w:rFonts w:ascii="Times New Roman;Times;Serif" w:hAnsi="Times New Roman;Times;Serif"/>
          <w:b w:val="false"/>
          <w:i w:val="false"/>
          <w:caps w:val="false"/>
          <w:smallCaps w:val="false"/>
          <w:sz w:val="20"/>
        </w:rPr>
        <w:t xml:space="preserve">0.001 per share (“Common Stock”). All </w:t>
      </w:r>
      <w:bookmarkStart w:id="529" w:name="xdx_901_eus-gaap--SaleOfStockNumberOfSha"/>
      <w:bookmarkEnd w:id="529"/>
      <w:r>
        <w:rPr>
          <w:rFonts w:ascii="Times New Roman;Times;Serif" w:hAnsi="Times New Roman;Times;Serif"/>
          <w:b w:val="false"/>
          <w:i w:val="false"/>
          <w:caps w:val="false"/>
          <w:smallCaps w:val="false"/>
          <w:sz w:val="20"/>
        </w:rPr>
        <w:t xml:space="preserve">3,000,000 shares of Series F Preferred Stock were converted into </w:t>
      </w:r>
      <w:bookmarkStart w:id="530" w:name="xdx_903_eus-gaap--ConvertiblePreferredSt"/>
      <w:bookmarkEnd w:id="530"/>
      <w:r>
        <w:rPr>
          <w:rFonts w:ascii="Times New Roman;Times;Serif" w:hAnsi="Times New Roman;Times;Serif"/>
          <w:b w:val="false"/>
          <w:i w:val="false"/>
          <w:caps w:val="false"/>
          <w:smallCaps w:val="false"/>
          <w:sz w:val="20"/>
        </w:rPr>
        <w:t>654,000 shares of Common Stock during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series A common stock purchase warrants entitle each Investor to purchase </w:t>
      </w:r>
      <w:bookmarkStart w:id="531" w:name="xdx_909_eus-gaap--ClassOfWarrantOrRightN"/>
      <w:bookmarkEnd w:id="531"/>
      <w:r>
        <w:rPr>
          <w:rFonts w:ascii="Times New Roman;Times;Serif" w:hAnsi="Times New Roman;Times;Serif"/>
          <w:b w:val="false"/>
          <w:i w:val="false"/>
          <w:caps w:val="false"/>
          <w:smallCaps w:val="false"/>
          <w:sz w:val="20"/>
        </w:rPr>
        <w:t>218,000 shares of Common Stock of the Company at an exercise price of $</w:t>
      </w:r>
      <w:bookmarkStart w:id="532" w:name="xdx_907_eus-gaap--ClassOfWarrantOrRightE"/>
      <w:bookmarkEnd w:id="532"/>
      <w:r>
        <w:rPr>
          <w:rFonts w:ascii="Times New Roman;Times;Serif" w:hAnsi="Times New Roman;Times;Serif"/>
          <w:b w:val="false"/>
          <w:i w:val="false"/>
          <w:caps w:val="false"/>
          <w:smallCaps w:val="false"/>
          <w:sz w:val="20"/>
        </w:rPr>
        <w:t xml:space="preserve">7.65 per share with an expiration date five years from the date of issuance. The series B common stock purchase warrants entitle each Investor to purchase </w:t>
      </w:r>
      <w:bookmarkStart w:id="533" w:name="xdx_90A_eus-gaap--ClassOfWarrantOrRightN"/>
      <w:bookmarkEnd w:id="533"/>
      <w:r>
        <w:rPr>
          <w:rFonts w:ascii="Times New Roman;Times;Serif" w:hAnsi="Times New Roman;Times;Serif"/>
          <w:b w:val="false"/>
          <w:i w:val="false"/>
          <w:caps w:val="false"/>
          <w:smallCaps w:val="false"/>
          <w:sz w:val="20"/>
        </w:rPr>
        <w:t>218,000 shares of Common Stock of the Company at an exercise price of $</w:t>
      </w:r>
      <w:bookmarkStart w:id="534" w:name="xdx_90F_eus-gaap--ClassOfWarrantOrRightE"/>
      <w:bookmarkEnd w:id="534"/>
      <w:r>
        <w:rPr>
          <w:rFonts w:ascii="Times New Roman;Times;Serif" w:hAnsi="Times New Roman;Times;Serif"/>
          <w:b w:val="false"/>
          <w:i w:val="false"/>
          <w:caps w:val="false"/>
          <w:smallCaps w:val="false"/>
          <w:sz w:val="20"/>
        </w:rPr>
        <w:t xml:space="preserve">9.00 per share with an expiration date five years from the date of issuance. The series C common stock purchase warrants entitle each Investor to purchase </w:t>
      </w:r>
      <w:bookmarkStart w:id="535" w:name="xdx_90F_eus-gaap--ClassOfWarrantOrRightN"/>
      <w:bookmarkEnd w:id="535"/>
      <w:r>
        <w:rPr>
          <w:rFonts w:ascii="Times New Roman;Times;Serif" w:hAnsi="Times New Roman;Times;Serif"/>
          <w:b w:val="false"/>
          <w:i w:val="false"/>
          <w:caps w:val="false"/>
          <w:smallCaps w:val="false"/>
          <w:sz w:val="20"/>
        </w:rPr>
        <w:t>218,000 shares of Common Stock of the Company at an exercise price of $</w:t>
      </w:r>
      <w:bookmarkStart w:id="536" w:name="xdx_90E_eus-gaap--ClassOfWarrantOrRightE"/>
      <w:bookmarkEnd w:id="536"/>
      <w:r>
        <w:rPr>
          <w:rFonts w:ascii="Times New Roman;Times;Serif" w:hAnsi="Times New Roman;Times;Serif"/>
          <w:b w:val="false"/>
          <w:i w:val="false"/>
          <w:caps w:val="false"/>
          <w:smallCaps w:val="false"/>
          <w:sz w:val="20"/>
        </w:rPr>
        <w:t>10.20 per share with an expiration date five years from the date of issuance.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E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537" w:name="xdx_90F_eus-gaap--SaleOfStockNumberOfSha"/>
      <w:bookmarkEnd w:id="537"/>
      <w:r>
        <w:rPr>
          <w:rFonts w:ascii="Times New Roman;Times;Serif" w:hAnsi="Times New Roman;Times;Serif"/>
          <w:b w:val="false"/>
          <w:i w:val="false"/>
          <w:caps w:val="false"/>
          <w:smallCaps w:val="false"/>
          <w:sz w:val="20"/>
        </w:rPr>
        <w:t>1,000,000 shares of the Company’s Series E Preferred Stock were issued pursuant to a March 2025 Securities Purchase Agreement with certain accredited investors (the “Investors”). The Company received proceeds of $</w:t>
      </w:r>
      <w:bookmarkStart w:id="538" w:name="xdx_908_eus-gaap--ProceedsFromIssuanceOf"/>
      <w:bookmarkEnd w:id="538"/>
      <w:r>
        <w:rPr>
          <w:rFonts w:ascii="Times New Roman;Times;Serif" w:hAnsi="Times New Roman;Times;Serif"/>
          <w:b w:val="false"/>
          <w:i w:val="false"/>
          <w:caps w:val="false"/>
          <w:smallCaps w:val="false"/>
          <w:sz w:val="20"/>
        </w:rPr>
        <w:t xml:space="preserve">1.0 million, net of issuance costs. During the year ended December 31, 2025, all of the Series E preferred shares were converted into </w:t>
      </w:r>
      <w:bookmarkStart w:id="539" w:name="xdx_905_eus-gaap--ConvertiblePreferredSt"/>
      <w:bookmarkEnd w:id="539"/>
      <w:r>
        <w:rPr>
          <w:rFonts w:ascii="Times New Roman;Times;Serif" w:hAnsi="Times New Roman;Times;Serif"/>
          <w:b w:val="false"/>
          <w:i w:val="false"/>
          <w:caps w:val="false"/>
          <w:smallCaps w:val="false"/>
          <w:sz w:val="20"/>
        </w:rPr>
        <w:t>458,333 shares of Common Stock. As of December 31, 2025, there were no remaining shares of the Series E Preferred Stock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C and Series D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540" w:name="xdx_902_eus-gaap--SaleOfStockNumberOfSha"/>
      <w:bookmarkEnd w:id="540"/>
      <w:r>
        <w:rPr>
          <w:rFonts w:ascii="Times New Roman;Times;Serif" w:hAnsi="Times New Roman;Times;Serif"/>
          <w:b w:val="false"/>
          <w:i w:val="false"/>
          <w:caps w:val="false"/>
          <w:smallCaps w:val="false"/>
          <w:sz w:val="20"/>
        </w:rPr>
        <w:t xml:space="preserve">1,000,000 shares of the Company’s Series C Preferred Stock and </w:t>
      </w:r>
      <w:bookmarkStart w:id="541" w:name="xdx_90E_eus-gaap--SaleOfStockNumberOfSha"/>
      <w:bookmarkEnd w:id="541"/>
      <w:r>
        <w:rPr>
          <w:rFonts w:ascii="Times New Roman;Times;Serif" w:hAnsi="Times New Roman;Times;Serif"/>
          <w:b w:val="false"/>
          <w:i w:val="false"/>
          <w:caps w:val="false"/>
          <w:smallCaps w:val="false"/>
          <w:sz w:val="20"/>
        </w:rPr>
        <w:t xml:space="preserve">2,100,000 shares of the Company’s Series D Preferred Stock were issued pursuant to a January 2025 Securities Purchase Agreement with David E. Lazar, pursuant to which he agreed to purchase from the Company </w:t>
      </w:r>
      <w:bookmarkStart w:id="542" w:name="xdx_90B_eus-gaap--SaleOfStockNumberOfSha"/>
      <w:bookmarkEnd w:id="542"/>
      <w:r>
        <w:rPr>
          <w:rFonts w:ascii="Times New Roman;Times;Serif" w:hAnsi="Times New Roman;Times;Serif"/>
          <w:b w:val="false"/>
          <w:i w:val="false"/>
          <w:caps w:val="false"/>
          <w:smallCaps w:val="false"/>
          <w:sz w:val="20"/>
        </w:rPr>
        <w:t xml:space="preserve">1,000,000 shares of Series C Convertible Preferred Stock (the “Series C Preferred Stock”) and </w:t>
      </w:r>
      <w:bookmarkStart w:id="543" w:name="xdx_909_eus-gaap--SaleOfStockNumberOfSha"/>
      <w:bookmarkEnd w:id="543"/>
      <w:r>
        <w:rPr>
          <w:rFonts w:ascii="Times New Roman;Times;Serif" w:hAnsi="Times New Roman;Times;Serif"/>
          <w:b w:val="false"/>
          <w:i w:val="false"/>
          <w:caps w:val="false"/>
          <w:smallCaps w:val="false"/>
          <w:sz w:val="20"/>
        </w:rPr>
        <w:t>2,100,000 shares of Series D Convertible Preferred Stock (the “Series D Preferred Stock” and, together with the Series C Preferred Stock, the “Preferred Stock”) of the Company at a purchase price of $</w:t>
      </w:r>
      <w:bookmarkStart w:id="544" w:name="xdx_90B_eus-gaap--SharePrice_iI_c2025123"/>
      <w:bookmarkEnd w:id="544"/>
      <w:r>
        <w:rPr>
          <w:rFonts w:ascii="Times New Roman;Times;Serif" w:hAnsi="Times New Roman;Times;Serif"/>
          <w:b w:val="false"/>
          <w:i w:val="false"/>
          <w:caps w:val="false"/>
          <w:smallCaps w:val="false"/>
          <w:sz w:val="20"/>
        </w:rPr>
        <w:t>1.00 per share for aggregate gross proceeds of $</w:t>
      </w:r>
      <w:bookmarkStart w:id="545" w:name="xdx_90C_eus-gaap--ProceedsFromIssuanceOf"/>
      <w:bookmarkEnd w:id="545"/>
      <w:r>
        <w:rPr>
          <w:rFonts w:ascii="Times New Roman;Times;Serif" w:hAnsi="Times New Roman;Times;Serif"/>
          <w:b w:val="false"/>
          <w:i w:val="false"/>
          <w:caps w:val="false"/>
          <w:smallCaps w:val="false"/>
          <w:sz w:val="20"/>
        </w:rPr>
        <w:t>3.1 million, subject to the terms and conditions of the Purchase Agreement. The proceeds of the transaction were used to repay and settle outstanding liabilities of the Company and for other general corporate and operating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share of Series C Preferred Stock was convertible into </w:t>
      </w:r>
      <w:bookmarkStart w:id="546" w:name="xdx_90C_eus-gaap--SharesIssuedPricePerSh"/>
      <w:bookmarkEnd w:id="546"/>
      <w:r>
        <w:rPr>
          <w:rFonts w:ascii="Times New Roman;Times;Serif" w:hAnsi="Times New Roman;Times;Serif"/>
          <w:b w:val="false"/>
          <w:i w:val="false"/>
          <w:caps w:val="false"/>
          <w:smallCaps w:val="false"/>
          <w:sz w:val="20"/>
        </w:rPr>
        <w:t>0.011042 shares of the Company’s common stock, par value $</w:t>
      </w:r>
      <w:bookmarkStart w:id="547" w:name="xdx_90B_eus-gaap--CommonStockParOrStated"/>
      <w:bookmarkEnd w:id="547"/>
      <w:r>
        <w:rPr>
          <w:rFonts w:ascii="Times New Roman;Times;Serif" w:hAnsi="Times New Roman;Times;Serif"/>
          <w:b w:val="false"/>
          <w:i w:val="false"/>
          <w:caps w:val="false"/>
          <w:smallCaps w:val="false"/>
          <w:sz w:val="20"/>
        </w:rPr>
        <w:t xml:space="preserve">0.001 per share (“Common Stock”), and each share of Series D Preferred Stock was convertible into </w:t>
      </w:r>
      <w:bookmarkStart w:id="548" w:name="xdx_908_eus-gaap--StockIssuedDuringPerio"/>
      <w:bookmarkEnd w:id="548"/>
      <w:r>
        <w:rPr>
          <w:rFonts w:ascii="Times New Roman;Times;Serif" w:hAnsi="Times New Roman;Times;Serif"/>
          <w:b w:val="false"/>
          <w:i w:val="false"/>
          <w:caps w:val="false"/>
          <w:smallCaps w:val="false"/>
          <w:sz w:val="20"/>
        </w:rPr>
        <w:t>0.4583 shares of Common Stock. On February 24, 2025, all of the Series C preferred shares were converted in conjunction with the Purchase Agreement. As of December 31, 2025, there were no remaining shares of the Series C Preferred Stock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24, 2025, </w:t>
      </w:r>
      <w:bookmarkStart w:id="549" w:name="xdx_90F_eus-gaap--ConvertiblePreferredSt"/>
      <w:bookmarkEnd w:id="549"/>
      <w:r>
        <w:rPr>
          <w:rFonts w:ascii="Times New Roman;Times;Serif" w:hAnsi="Times New Roman;Times;Serif"/>
          <w:b w:val="false"/>
          <w:i w:val="false"/>
          <w:caps w:val="false"/>
          <w:smallCaps w:val="false"/>
          <w:sz w:val="20"/>
        </w:rPr>
        <w:t xml:space="preserve">1,745,262 of the Series D preferred shares were converted in conjunction with the Purchase Agreement. On April 2, 2025, the remaining </w:t>
      </w:r>
      <w:bookmarkStart w:id="550" w:name="xdx_90B_eus-gaap--ConvertiblePreferredSt"/>
      <w:bookmarkEnd w:id="550"/>
      <w:r>
        <w:rPr>
          <w:rFonts w:ascii="Times New Roman;Times;Serif" w:hAnsi="Times New Roman;Times;Serif"/>
          <w:b w:val="false"/>
          <w:i w:val="false"/>
          <w:caps w:val="false"/>
          <w:smallCaps w:val="false"/>
          <w:sz w:val="20"/>
        </w:rPr>
        <w:t xml:space="preserve">354,738 Series D preferred shares were converted in conjunction with the Purchase Agreement. As of December 31, 2025, there were </w:t>
      </w:r>
      <w:bookmarkStart w:id="551" w:name="xdx_906_eus-gaap--ConvertiblePreferredSt"/>
      <w:bookmarkEnd w:id="551"/>
      <w:r>
        <w:rPr>
          <w:rFonts w:ascii="Times New Roman;Times;Serif" w:hAnsi="Times New Roman;Times;Serif"/>
          <w:b w:val="false"/>
          <w:i w:val="false"/>
          <w:caps w:val="false"/>
          <w:smallCaps w:val="false"/>
          <w:sz w:val="20"/>
        </w:rPr>
        <w:t>no remaining shares of the Series D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30, 2024, the Company entered into a securities purchase agreement (the “Purchase Agreement”) with an institutional investor (the “Purchaser”) for the issuance and sale in a private placement (the “Private Placement”) of (i) </w:t>
      </w:r>
      <w:bookmarkStart w:id="552" w:name="xdx_90C_eus-gaap--StockIssuedDuringPerio"/>
      <w:bookmarkEnd w:id="552"/>
      <w:r>
        <w:rPr>
          <w:rFonts w:ascii="Times New Roman;Times;Serif" w:hAnsi="Times New Roman;Times;Serif"/>
          <w:b w:val="false"/>
          <w:i w:val="false"/>
          <w:caps w:val="false"/>
          <w:smallCaps w:val="false"/>
          <w:sz w:val="20"/>
        </w:rPr>
        <w:t xml:space="preserve">604 shares of the Company’s common stock, (ii) pre-funded warrants to purchase up to </w:t>
      </w:r>
      <w:bookmarkStart w:id="553" w:name="xdx_907_eus-gaap--ClassOfWarrantOrRightN"/>
      <w:bookmarkEnd w:id="553"/>
      <w:r>
        <w:rPr>
          <w:rFonts w:ascii="Times New Roman;Times;Serif" w:hAnsi="Times New Roman;Times;Serif"/>
          <w:b w:val="false"/>
          <w:i w:val="false"/>
          <w:caps w:val="false"/>
          <w:smallCaps w:val="false"/>
          <w:sz w:val="20"/>
        </w:rPr>
        <w:t xml:space="preserve">20,099 shares of common stock (the “Pre-Funded Warrants”), (iii) series A warrants to purchase up to </w:t>
      </w:r>
      <w:bookmarkStart w:id="554" w:name="xdx_908_eus-gaap--ClassOfWarrantOrRightN"/>
      <w:bookmarkEnd w:id="554"/>
      <w:r>
        <w:rPr>
          <w:rFonts w:ascii="Times New Roman;Times;Serif" w:hAnsi="Times New Roman;Times;Serif"/>
          <w:b w:val="false"/>
          <w:i w:val="false"/>
          <w:caps w:val="false"/>
          <w:smallCaps w:val="false"/>
          <w:sz w:val="20"/>
        </w:rPr>
        <w:t xml:space="preserve">20,703 shares of common stock (the “Series A Warrants”), and (iv) series B warrants to purchase up to </w:t>
      </w:r>
      <w:bookmarkStart w:id="555" w:name="xdx_901_eus-gaap--ClassOfWarrantOrRightN"/>
      <w:bookmarkEnd w:id="555"/>
      <w:r>
        <w:rPr>
          <w:rFonts w:ascii="Times New Roman;Times;Serif" w:hAnsi="Times New Roman;Times;Serif"/>
          <w:b w:val="false"/>
          <w:i w:val="false"/>
          <w:caps w:val="false"/>
          <w:smallCaps w:val="false"/>
          <w:sz w:val="20"/>
        </w:rPr>
        <w:t>20,703 shares of common stock (the “Series B Warrants” and together with the Series A Warrants, the “Common Warrants”). The purchase price of each share of common stock and associated Common Warrants was $</w:t>
      </w:r>
      <w:bookmarkStart w:id="556" w:name="xdx_905_eus-gaap--ClassOfWarrantOrRightN"/>
      <w:bookmarkEnd w:id="556"/>
      <w:r>
        <w:rPr>
          <w:rFonts w:ascii="Times New Roman;Times;Serif" w:hAnsi="Times New Roman;Times;Serif"/>
          <w:b w:val="false"/>
          <w:i w:val="false"/>
          <w:caps w:val="false"/>
          <w:smallCaps w:val="false"/>
          <w:sz w:val="20"/>
        </w:rPr>
        <w:t>386.40 and the purchase price of each Pre-Funded Warrant and associated Common Warrants was $</w:t>
      </w:r>
      <w:bookmarkStart w:id="557" w:name="xdx_909_eus-gaap--ClassOfWarrantOrRightN"/>
      <w:bookmarkEnd w:id="557"/>
      <w:r>
        <w:rPr>
          <w:rFonts w:ascii="Times New Roman;Times;Serif" w:hAnsi="Times New Roman;Times;Serif"/>
          <w:b w:val="false"/>
          <w:i w:val="false"/>
          <w:caps w:val="false"/>
          <w:smallCaps w:val="false"/>
          <w:sz w:val="20"/>
        </w:rPr>
        <w:t>386.38.</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are exercisable immediately upon issuance at an exercise price of $</w:t>
      </w:r>
      <w:bookmarkStart w:id="558" w:name="xdx_904_eus-gaap--ClassOfWarrantOrRightE"/>
      <w:bookmarkEnd w:id="558"/>
      <w:r>
        <w:rPr>
          <w:rFonts w:ascii="Times New Roman;Times;Serif" w:hAnsi="Times New Roman;Times;Serif"/>
          <w:b w:val="false"/>
          <w:i w:val="false"/>
          <w:caps w:val="false"/>
          <w:smallCaps w:val="false"/>
          <w:sz w:val="20"/>
        </w:rPr>
        <w:t xml:space="preserve">326.40 per share. The Series A Warrants will expire five and one-half years from the date of issuance and the Series B Warrants will expire </w:t>
      </w:r>
      <w:bookmarkStart w:id="559" w:name="xdx_900_eus-gaap--WarrantsAndRightsOutst"/>
      <w:bookmarkEnd w:id="559"/>
      <w:r>
        <w:rPr>
          <w:rFonts w:ascii="Times New Roman;Times;Serif" w:hAnsi="Times New Roman;Times;Serif"/>
          <w:b w:val="false"/>
          <w:i w:val="false"/>
          <w:caps w:val="false"/>
          <w:smallCaps w:val="false"/>
          <w:sz w:val="20"/>
        </w:rPr>
        <w:t>18eighteen months from the date of issuance. The Pre-Funded Warrants were exercisable immediately upon issuance at an exercise price of $</w:t>
      </w:r>
      <w:bookmarkStart w:id="560" w:name="xdx_90C_eus-gaap--ClassOfWarrantOrRightE"/>
      <w:bookmarkEnd w:id="560"/>
      <w:r>
        <w:rPr>
          <w:rFonts w:ascii="Times New Roman;Times;Serif" w:hAnsi="Times New Roman;Times;Serif"/>
          <w:b w:val="false"/>
          <w:i w:val="false"/>
          <w:caps w:val="false"/>
          <w:smallCaps w:val="false"/>
          <w:sz w:val="20"/>
        </w:rPr>
        <w:t xml:space="preserve">0.024 per share and were fully exercised in 2024. A holder of Pre-Funded Warrants or Common Warrants (together with its affiliates) may not exercise any portion of such warrants to the extent that the holder would own more than </w:t>
      </w:r>
      <w:bookmarkStart w:id="561" w:name="xdx_90A_ecustom--PercentageOfOutstanding"/>
      <w:bookmarkEnd w:id="561"/>
      <w:r>
        <w:rPr>
          <w:rFonts w:ascii="Times New Roman;Times;Serif" w:hAnsi="Times New Roman;Times;Serif"/>
          <w:b w:val="false"/>
          <w:i w:val="false"/>
          <w:caps w:val="false"/>
          <w:smallCaps w:val="false"/>
          <w:sz w:val="20"/>
        </w:rPr>
        <w:t xml:space="preserve">4.99% (or, at the election of the holder </w:t>
      </w:r>
      <w:bookmarkStart w:id="562" w:name="xdx_907_ecustom--PercentageOfOutstanding"/>
      <w:bookmarkEnd w:id="562"/>
      <w:r>
        <w:rPr>
          <w:rFonts w:ascii="Times New Roman;Times;Serif" w:hAnsi="Times New Roman;Times;Serif"/>
          <w:b w:val="false"/>
          <w:i w:val="false"/>
          <w:caps w:val="false"/>
          <w:smallCaps w:val="false"/>
          <w:sz w:val="20"/>
        </w:rPr>
        <w:t>9.99%) of the Company’s outstanding common stock immediately after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Company entered into a registration rights agreement (the “Registration Rights Agreement”), dated as of April 30, 2024, with the Purchaser, pursuant to which the Company agreed to prepare and file a registration statement with the Securities and Exchange Commission (the “SEC”) registering the resale of the securities issued in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closed on May 2, 2024. The gross proceeds to the Company from the Private Placement were approximately $</w:t>
      </w:r>
      <w:bookmarkStart w:id="563" w:name="xdx_90B_eus-gaap--ProceedsFromIssuanceOr"/>
      <w:bookmarkEnd w:id="563"/>
      <w:r>
        <w:rPr>
          <w:rFonts w:ascii="Times New Roman;Times;Serif" w:hAnsi="Times New Roman;Times;Serif"/>
          <w:b w:val="false"/>
          <w:i w:val="false"/>
          <w:caps w:val="false"/>
          <w:smallCaps w:val="false"/>
          <w:sz w:val="20"/>
        </w:rPr>
        <w:t>8.0 million, before deducting placement agent fees and estimated offering expenses payable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H.C. Wainwright &amp; Co., LLC (“Wainwright”) acted as the Company’s exclusive placement agent in connection with the Private Placement, pursuant to that certain engagement letter, dated as of April 29, 2024, between the Company and Wainwright (as amended, the “Engagement Letter”). Pursuant to the Engagement Letter, the Company paid Wainwright (i) a cash fee equal to </w:t>
      </w:r>
      <w:bookmarkStart w:id="564" w:name="xdx_900_ecustom--CashPlacementFeePercent"/>
      <w:bookmarkEnd w:id="564"/>
      <w:r>
        <w:rPr>
          <w:rFonts w:ascii="Times New Roman;Times;Serif" w:hAnsi="Times New Roman;Times;Serif"/>
          <w:b w:val="false"/>
          <w:i w:val="false"/>
          <w:caps w:val="false"/>
          <w:smallCaps w:val="false"/>
          <w:sz w:val="20"/>
        </w:rPr>
        <w:t xml:space="preserve">7.0% of the aggregate gross proceeds of the Private Placement and (ii) a management fee of </w:t>
      </w:r>
      <w:bookmarkStart w:id="565" w:name="xdx_90C_ecustom--ManagementFeePercentage"/>
      <w:bookmarkEnd w:id="565"/>
      <w:r>
        <w:rPr>
          <w:rFonts w:ascii="Times New Roman;Times;Serif" w:hAnsi="Times New Roman;Times;Serif"/>
          <w:b w:val="false"/>
          <w:i w:val="false"/>
          <w:caps w:val="false"/>
          <w:smallCaps w:val="false"/>
          <w:sz w:val="20"/>
        </w:rPr>
        <w:t xml:space="preserve">1.0% of the aggregate gross proceeds of the Private Placement. In addition, the Company agreed to pay Wainwright certain expenses and issued to Wainwright or its designees warrants (the “Placement Agent Warrants”) to purchase up to an aggregate of </w:t>
      </w:r>
      <w:bookmarkStart w:id="566" w:name="xdx_90A_eus-gaap--ClassOfWarrantOrRightN"/>
      <w:bookmarkEnd w:id="566"/>
      <w:r>
        <w:rPr>
          <w:rFonts w:ascii="Times New Roman;Times;Serif" w:hAnsi="Times New Roman;Times;Serif"/>
          <w:b w:val="false"/>
          <w:i w:val="false"/>
          <w:caps w:val="false"/>
          <w:smallCaps w:val="false"/>
          <w:sz w:val="20"/>
        </w:rPr>
        <w:t>1,242 shares of common stock at an exercise price equal to $</w:t>
      </w:r>
      <w:bookmarkStart w:id="567" w:name="xdx_902_eus-gaap--ClassOfWarrantOrRightE"/>
      <w:bookmarkEnd w:id="567"/>
      <w:r>
        <w:rPr>
          <w:rFonts w:ascii="Times New Roman;Times;Serif" w:hAnsi="Times New Roman;Times;Serif"/>
          <w:b w:val="false"/>
          <w:i w:val="false"/>
          <w:caps w:val="false"/>
          <w:smallCaps w:val="false"/>
          <w:sz w:val="20"/>
        </w:rPr>
        <w:t xml:space="preserve">483.00 per share. The Placement Agent Warrants are exercisable immediately upon issuance and have a term of exercise equal to </w:t>
      </w:r>
      <w:bookmarkStart w:id="568" w:name="xdx_90C_ecustom--WarrantsAndRightsOutsta"/>
      <w:bookmarkEnd w:id="568"/>
      <w:r>
        <w:rPr>
          <w:rFonts w:ascii="Times New Roman;Times;Serif" w:hAnsi="Times New Roman;Times;Serif"/>
          <w:b w:val="false"/>
          <w:i w:val="false"/>
          <w:caps w:val="false"/>
          <w:smallCaps w:val="false"/>
          <w:sz w:val="20"/>
        </w:rPr>
        <w:t>five and a half years from the date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this transaction, the Company was required to compensate Roth Capital Partners, LLC, pursuant to a tail provision contained in an engagement letter entered into on March 14, 2024, in an amount equal to </w:t>
      </w:r>
      <w:bookmarkStart w:id="569" w:name="xdx_902_ecustom--CompensationPercentageT"/>
      <w:bookmarkEnd w:id="569"/>
      <w:r>
        <w:rPr>
          <w:rFonts w:ascii="Times New Roman;Times;Serif" w:hAnsi="Times New Roman;Times;Serif"/>
          <w:b w:val="false"/>
          <w:i w:val="false"/>
          <w:caps w:val="false"/>
          <w:smallCaps w:val="false"/>
          <w:sz w:val="20"/>
        </w:rPr>
        <w:t xml:space="preserve">7.0% of the aggregate proceeds of the Private Placement plus the reimbursement of certain expenses. The Company was also required to compensate Ladenburg Thalmann &amp; Co. Inc, pursuant to a tail provision contained in an engagement letter entered into on October 30, 2023, in an amount equal to </w:t>
      </w:r>
      <w:bookmarkStart w:id="570" w:name="xdx_907_ecustom--CompensationPercentageT"/>
      <w:bookmarkEnd w:id="570"/>
      <w:r>
        <w:rPr>
          <w:rFonts w:ascii="Times New Roman;Times;Serif" w:hAnsi="Times New Roman;Times;Serif"/>
          <w:b w:val="false"/>
          <w:i w:val="false"/>
          <w:caps w:val="false"/>
          <w:smallCaps w:val="false"/>
          <w:sz w:val="20"/>
        </w:rPr>
        <w:t>8.0% of the aggregate proceeds of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instruments issued in the Private Placement have been classified and recorded as part of shareholders’ equity (deficit). The amounts allocated to each issued security were based on their relative fair values, resulting in initial carrying values of the respective instruments as follows:</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571" w:name="xdx_8B3_zGyu4DWZOJbc"/>
      <w:bookmarkStart w:id="572" w:name="xdx_89D_ecustom--ScheduleOfInstrumentsIs"/>
      <w:bookmarkEnd w:id="571"/>
      <w:bookmarkEnd w:id="572"/>
      <w:r>
        <w:rPr>
          <w:rFonts w:ascii="Times New Roman;Times;Serif" w:hAnsi="Times New Roman;Times;Serif"/>
          <w:b w:val="false"/>
          <w:i w:val="false"/>
          <w:caps w:val="false"/>
          <w:smallCaps w:val="false"/>
          <w:sz w:val="20"/>
        </w:rPr>
        <w:t>Schedule of Fair Value of Instruments Issued in Offering </w:t>
      </w:r>
    </w:p>
    <w:tbl>
      <w:tblPr>
        <w:tblW w:w="3789" w:type="dxa"/>
        <w:jc w:val="left"/>
        <w:tblInd w:w="0" w:type="dxa"/>
        <w:tblLayout w:type="fixed"/>
        <w:tblCellMar>
          <w:top w:w="0" w:type="dxa"/>
          <w:left w:w="0" w:type="dxa"/>
          <w:bottom w:w="0" w:type="dxa"/>
          <w:right w:w="0" w:type="dxa"/>
        </w:tblCellMar>
      </w:tblPr>
      <w:tblGrid>
        <w:gridCol w:w="1880"/>
        <w:gridCol w:w="60"/>
        <w:gridCol w:w="221"/>
        <w:gridCol w:w="1553"/>
        <w:gridCol w:w="75"/>
      </w:tblGrid>
      <w:tr>
        <w:trPr/>
        <w:tc>
          <w:tcPr>
            <w:tcW w:w="1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3" w:name="xdx_493_20250101__20251231_zhtEZlzA8i27"/>
            <w:bookmarkEnd w:id="573"/>
          </w:p>
        </w:tc>
        <w:tc>
          <w:tcPr>
            <w:tcW w:w="1774" w:type="dxa"/>
            <w:gridSpan w:val="2"/>
            <w:tcBorders>
              <w:bottom w:val="single" w:sz="8" w:space="0" w:color="000000"/>
            </w:tcBorders>
            <w:tcMar>
              <w:bottom w:w="28" w:type="dxa"/>
            </w:tcMar>
            <w:vAlign w:val="center"/>
          </w:tcPr>
          <w:p>
            <w:pPr>
              <w:pStyle w:val="TableContents"/>
              <w:bidi w:val="0"/>
              <w:spacing w:before="0" w:after="283"/>
              <w:jc w:val="center"/>
              <w:rPr/>
            </w:pPr>
            <w:r>
              <w:rPr/>
              <w:t>Allocated Amount</w:t>
            </w:r>
          </w:p>
        </w:tc>
        <w:tc>
          <w:tcPr>
            <w:tcW w:w="75" w:type="dxa"/>
            <w:tcBorders/>
            <w:vAlign w:val="center"/>
          </w:tcPr>
          <w:p>
            <w:pPr>
              <w:pStyle w:val="TableContents"/>
              <w:bidi w:val="0"/>
              <w:spacing w:before="0" w:after="283"/>
              <w:jc w:val="left"/>
              <w:rPr/>
            </w:pPr>
            <w:r>
              <w:rPr/>
              <w:t> </w:t>
            </w:r>
            <w:bookmarkStart w:id="574" w:name="xdx_40B_ecustom--StockIssuedDuringPeriod"/>
            <w:bookmarkEnd w:id="574"/>
          </w:p>
        </w:tc>
      </w:tr>
      <w:tr>
        <w:trPr/>
        <w:tc>
          <w:tcPr>
            <w:tcW w:w="1880" w:type="dxa"/>
            <w:tcBorders/>
            <w:shd w:fill="CCEEFF" w:val="clear"/>
            <w:vAlign w:val="center"/>
          </w:tcPr>
          <w:p>
            <w:pPr>
              <w:pStyle w:val="TableContents"/>
              <w:bidi w:val="0"/>
              <w:spacing w:before="0" w:after="283"/>
              <w:jc w:val="left"/>
              <w:rPr/>
            </w:pPr>
            <w:r>
              <w:rPr/>
              <w:t>Common shares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53" w:type="dxa"/>
            <w:tcBorders>
              <w:bottom w:val="single" w:sz="8" w:space="0" w:color="000000"/>
            </w:tcBorders>
            <w:shd w:fill="CCEEFF" w:val="clear"/>
            <w:tcMar>
              <w:bottom w:w="28" w:type="dxa"/>
            </w:tcMar>
            <w:vAlign w:val="center"/>
          </w:tcPr>
          <w:p>
            <w:pPr>
              <w:pStyle w:val="TableContents"/>
              <w:bidi w:val="0"/>
              <w:spacing w:before="0" w:after="283"/>
              <w:jc w:val="right"/>
              <w:rPr/>
            </w:pPr>
            <w:r>
              <w:rPr/>
              <w:t>72,108</w:t>
            </w:r>
          </w:p>
        </w:tc>
        <w:tc>
          <w:tcPr>
            <w:tcW w:w="75" w:type="dxa"/>
            <w:tcBorders/>
            <w:shd w:fill="CCEEFF" w:val="clear"/>
            <w:vAlign w:val="center"/>
          </w:tcPr>
          <w:p>
            <w:pPr>
              <w:pStyle w:val="TableContents"/>
              <w:bidi w:val="0"/>
              <w:spacing w:before="0" w:after="283"/>
              <w:jc w:val="left"/>
              <w:rPr/>
            </w:pPr>
            <w:r>
              <w:rPr/>
              <w:t> </w:t>
            </w:r>
            <w:bookmarkStart w:id="575" w:name="xdx_401_ecustom--StockIssuedDuringPeriod"/>
            <w:bookmarkEnd w:id="575"/>
          </w:p>
        </w:tc>
      </w:tr>
      <w:tr>
        <w:trPr/>
        <w:tc>
          <w:tcPr>
            <w:tcW w:w="1880" w:type="dxa"/>
            <w:tcBorders/>
            <w:shd w:fill="FFFFFF" w:val="clear"/>
            <w:vAlign w:val="center"/>
          </w:tcPr>
          <w:p>
            <w:pPr>
              <w:pStyle w:val="TableContents"/>
              <w:bidi w:val="0"/>
              <w:spacing w:before="0" w:after="283"/>
              <w:jc w:val="left"/>
              <w:rPr/>
            </w:pPr>
            <w:r>
              <w:rPr/>
              <w:t>Prefunded warrants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553" w:type="dxa"/>
            <w:tcBorders/>
            <w:shd w:fill="FFFFFF" w:val="clear"/>
            <w:vAlign w:val="center"/>
          </w:tcPr>
          <w:p>
            <w:pPr>
              <w:pStyle w:val="TableContents"/>
              <w:bidi w:val="0"/>
              <w:spacing w:before="0" w:after="283"/>
              <w:jc w:val="right"/>
              <w:rPr/>
            </w:pPr>
            <w:r>
              <w:rPr/>
              <w:t>2,398,831</w:t>
            </w:r>
          </w:p>
        </w:tc>
        <w:tc>
          <w:tcPr>
            <w:tcW w:w="75" w:type="dxa"/>
            <w:tcBorders/>
            <w:shd w:fill="FFFFFF" w:val="clear"/>
            <w:vAlign w:val="center"/>
          </w:tcPr>
          <w:p>
            <w:pPr>
              <w:pStyle w:val="TableContents"/>
              <w:bidi w:val="0"/>
              <w:spacing w:before="0" w:after="283"/>
              <w:jc w:val="left"/>
              <w:rPr/>
            </w:pPr>
            <w:r>
              <w:rPr/>
              <w:t> </w:t>
            </w:r>
            <w:bookmarkStart w:id="576" w:name="xdx_40F_ecustom--StockIssuedDuringPeriod"/>
            <w:bookmarkEnd w:id="576"/>
          </w:p>
        </w:tc>
      </w:tr>
      <w:tr>
        <w:trPr/>
        <w:tc>
          <w:tcPr>
            <w:tcW w:w="1880" w:type="dxa"/>
            <w:tcBorders/>
            <w:shd w:fill="CCEEFF" w:val="clear"/>
            <w:vAlign w:val="center"/>
          </w:tcPr>
          <w:p>
            <w:pPr>
              <w:pStyle w:val="TableContents"/>
              <w:bidi w:val="0"/>
              <w:spacing w:before="0" w:after="283"/>
              <w:jc w:val="left"/>
              <w:rPr/>
            </w:pPr>
            <w:r>
              <w:rPr/>
              <w:t>Common warrants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53" w:type="dxa"/>
            <w:tcBorders>
              <w:bottom w:val="single" w:sz="8" w:space="0" w:color="000000"/>
            </w:tcBorders>
            <w:shd w:fill="CCEEFF" w:val="clear"/>
            <w:tcMar>
              <w:bottom w:w="28" w:type="dxa"/>
            </w:tcMar>
            <w:vAlign w:val="center"/>
          </w:tcPr>
          <w:p>
            <w:pPr>
              <w:pStyle w:val="TableContents"/>
              <w:bidi w:val="0"/>
              <w:spacing w:before="0" w:after="283"/>
              <w:jc w:val="right"/>
              <w:rPr/>
            </w:pPr>
            <w:r>
              <w:rPr/>
              <w:t>3,819,274</w:t>
            </w:r>
          </w:p>
        </w:tc>
        <w:tc>
          <w:tcPr>
            <w:tcW w:w="75" w:type="dxa"/>
            <w:tcBorders/>
            <w:shd w:fill="CCEEFF" w:val="clear"/>
            <w:vAlign w:val="center"/>
          </w:tcPr>
          <w:p>
            <w:pPr>
              <w:pStyle w:val="TableContents"/>
              <w:bidi w:val="0"/>
              <w:spacing w:before="0" w:after="283"/>
              <w:jc w:val="left"/>
              <w:rPr/>
            </w:pPr>
            <w:r>
              <w:rPr/>
              <w:t> </w:t>
            </w:r>
            <w:bookmarkStart w:id="577" w:name="xdx_407_ecustom--StockIssuedDuringPeriod"/>
            <w:bookmarkEnd w:id="577"/>
          </w:p>
        </w:tc>
      </w:tr>
      <w:tr>
        <w:trPr/>
        <w:tc>
          <w:tcPr>
            <w:tcW w:w="1880" w:type="dxa"/>
            <w:tcBorders/>
            <w:shd w:fill="FFFFFF" w:val="clear"/>
            <w:vAlign w:val="center"/>
          </w:tcPr>
          <w:p>
            <w:pPr>
              <w:pStyle w:val="TableContents"/>
              <w:bidi w:val="0"/>
              <w:spacing w:before="0" w:after="283"/>
              <w:jc w:val="left"/>
              <w:rPr/>
            </w:pPr>
            <w:r>
              <w:rPr/>
              <w:t>Net proceeds</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553" w:type="dxa"/>
            <w:tcBorders>
              <w:bottom w:val="single" w:sz="8" w:space="0" w:color="000000"/>
            </w:tcBorders>
            <w:shd w:fill="FFFFFF" w:val="clear"/>
            <w:tcMar>
              <w:bottom w:w="28" w:type="dxa"/>
            </w:tcMar>
            <w:vAlign w:val="center"/>
          </w:tcPr>
          <w:p>
            <w:pPr>
              <w:pStyle w:val="TableContents"/>
              <w:bidi w:val="0"/>
              <w:spacing w:before="0" w:after="283"/>
              <w:jc w:val="right"/>
              <w:rPr/>
            </w:pPr>
            <w:r>
              <w:rPr/>
              <w:t>6,290,213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78" w:name="xdx_8A2_zAc9PrnjVAkg"/>
      <w:bookmarkEnd w:id="578"/>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fair value of the Placement Agent Warrants was $</w:t>
      </w:r>
      <w:bookmarkStart w:id="579" w:name="xdx_902_eus-gaap--FairValueAdjustmentOfW"/>
      <w:bookmarkEnd w:id="579"/>
      <w:r>
        <w:rPr>
          <w:rFonts w:ascii="Times New Roman;Times;Serif" w:hAnsi="Times New Roman;Times;Serif"/>
          <w:b w:val="false"/>
          <w:i w:val="false"/>
          <w:caps w:val="false"/>
          <w:smallCaps w:val="false"/>
          <w:sz w:val="20"/>
        </w:rPr>
        <w:t>609,179. These have been accounted for as a direct cost of the Private Placement, resulting in no net effect to overall shareholders’ equity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580" w:name="xdx_895_eus-gaap--FairValueAssetsAndLiab"/>
      <w:bookmarkEnd w:id="580"/>
      <w:r>
        <w:rPr>
          <w:rFonts w:ascii="Times New Roman;Times;Serif" w:hAnsi="Times New Roman;Times;Serif"/>
          <w:b w:val="false"/>
          <w:i w:val="false"/>
          <w:caps w:val="false"/>
          <w:smallCaps w:val="false"/>
          <w:sz w:val="20"/>
        </w:rPr>
        <w:t>In determining the fair values of the Pre-Funded Warrants, Common Warrants, and Placement Agent Warrants, the Company used a Black-Scholes Option Pricing model with the following assumptions: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1" w:name="xdx_8B4_z5QVDqLaaZOd"/>
      <w:bookmarkEnd w:id="581"/>
      <w:r>
        <w:rPr>
          <w:rFonts w:ascii="Times New Roman;Times;Serif" w:hAnsi="Times New Roman;Times;Serif"/>
          <w:b w:val="false"/>
          <w:i w:val="false"/>
          <w:caps w:val="false"/>
          <w:smallCaps w:val="false"/>
          <w:sz w:val="20"/>
        </w:rPr>
        <w:t>Schedule of Fair value of Warrants Valuation Assumption </w:t>
      </w:r>
    </w:p>
    <w:tbl>
      <w:tblPr>
        <w:tblW w:w="9587" w:type="dxa"/>
        <w:jc w:val="left"/>
        <w:tblInd w:w="0" w:type="dxa"/>
        <w:tblLayout w:type="fixed"/>
        <w:tblCellMar>
          <w:top w:w="0" w:type="dxa"/>
          <w:left w:w="0" w:type="dxa"/>
          <w:bottom w:w="0" w:type="dxa"/>
          <w:right w:w="0" w:type="dxa"/>
        </w:tblCellMar>
      </w:tblPr>
      <w:tblGrid>
        <w:gridCol w:w="2330"/>
        <w:gridCol w:w="60"/>
        <w:gridCol w:w="244"/>
        <w:gridCol w:w="1800"/>
        <w:gridCol w:w="215"/>
        <w:gridCol w:w="60"/>
        <w:gridCol w:w="85"/>
        <w:gridCol w:w="1734"/>
        <w:gridCol w:w="215"/>
        <w:gridCol w:w="60"/>
        <w:gridCol w:w="133"/>
        <w:gridCol w:w="2421"/>
        <w:gridCol w:w="230"/>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bottom w:val="single" w:sz="8" w:space="0" w:color="000000"/>
            </w:tcBorders>
            <w:tcMar>
              <w:bottom w:w="28" w:type="dxa"/>
            </w:tcMar>
            <w:vAlign w:val="center"/>
          </w:tcPr>
          <w:p>
            <w:pPr>
              <w:pStyle w:val="TableContents"/>
              <w:bidi w:val="0"/>
              <w:spacing w:before="0" w:after="283"/>
              <w:jc w:val="center"/>
              <w:rPr/>
            </w:pPr>
            <w:r>
              <w:rPr/>
              <w:t>Pre-Funded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9" w:type="dxa"/>
            <w:gridSpan w:val="2"/>
            <w:tcBorders>
              <w:bottom w:val="single" w:sz="8" w:space="0" w:color="000000"/>
            </w:tcBorders>
            <w:tcMar>
              <w:bottom w:w="28" w:type="dxa"/>
            </w:tcMar>
            <w:vAlign w:val="center"/>
          </w:tcPr>
          <w:p>
            <w:pPr>
              <w:pStyle w:val="TableContents"/>
              <w:bidi w:val="0"/>
              <w:spacing w:before="0" w:after="283"/>
              <w:jc w:val="center"/>
              <w:rPr/>
            </w:pPr>
            <w:r>
              <w:rPr/>
              <w:t>Common Warrants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4" w:type="dxa"/>
            <w:gridSpan w:val="2"/>
            <w:tcBorders>
              <w:bottom w:val="single" w:sz="8" w:space="0" w:color="000000"/>
            </w:tcBorders>
            <w:tcMar>
              <w:bottom w:w="28" w:type="dxa"/>
            </w:tcMar>
            <w:vAlign w:val="center"/>
          </w:tcPr>
          <w:p>
            <w:pPr>
              <w:pStyle w:val="TableContents"/>
              <w:bidi w:val="0"/>
              <w:spacing w:before="0" w:after="283"/>
              <w:jc w:val="center"/>
              <w:rPr/>
            </w:pPr>
            <w:r>
              <w:rPr/>
              <w:t>Placement Agent Warrants</w:t>
            </w:r>
          </w:p>
        </w:tc>
        <w:tc>
          <w:tcPr>
            <w:tcW w:w="230"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800" w:type="dxa"/>
            <w:tcBorders/>
            <w:shd w:fill="CCEEFF" w:val="clear"/>
            <w:vAlign w:val="center"/>
          </w:tcPr>
          <w:p>
            <w:pPr>
              <w:pStyle w:val="TableContents"/>
              <w:bidi w:val="0"/>
              <w:spacing w:before="0" w:after="283"/>
              <w:jc w:val="right"/>
              <w:rPr/>
            </w:pPr>
            <w:bookmarkStart w:id="582" w:name="xdx_905_eus-gaap--WarrantsAndRightsOutst"/>
            <w:bookmarkEnd w:id="582"/>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rFonts w:ascii="Times New Roman;Times;Serif" w:hAnsi="Times New Roman;Times;Serif"/>
                <w:sz w:val="20"/>
              </w:rPr>
            </w:pPr>
            <w:bookmarkStart w:id="583" w:name="xdx_903_eus-gaap--WarrantsAndRightsOutst"/>
            <w:bookmarkEnd w:id="583"/>
            <w:r>
              <w:rPr>
                <w:rFonts w:ascii="Times New Roman;Times;Serif" w:hAnsi="Times New Roman;Times;Serif"/>
                <w:sz w:val="20"/>
              </w:rPr>
              <w:t xml:space="preserve">103% - </w:t>
            </w:r>
            <w:bookmarkStart w:id="584" w:name="xdx_904_eus-gaap--WarrantsAndRightsOutst"/>
            <w:bookmarkEnd w:id="584"/>
            <w:r>
              <w:rPr>
                <w:rFonts w:ascii="Times New Roman;Times;Serif" w:hAnsi="Times New Roman;Times;Serif"/>
                <w:sz w:val="20"/>
              </w:rPr>
              <w:t>121%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421" w:type="dxa"/>
            <w:tcBorders/>
            <w:shd w:fill="CCEEFF" w:val="clear"/>
            <w:vAlign w:val="center"/>
          </w:tcPr>
          <w:p>
            <w:pPr>
              <w:pStyle w:val="TableContents"/>
              <w:bidi w:val="0"/>
              <w:spacing w:before="0" w:after="283"/>
              <w:jc w:val="right"/>
              <w:rPr/>
            </w:pPr>
            <w:bookmarkStart w:id="585" w:name="xdx_904_eus-gaap--WarrantsAndRightsOutst"/>
            <w:bookmarkEnd w:id="585"/>
            <w:r>
              <w:rPr/>
              <w:t>103</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Contractual term</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800" w:type="dxa"/>
            <w:tcBorders/>
            <w:shd w:fill="FFFFFF" w:val="clear"/>
            <w:vAlign w:val="center"/>
          </w:tcPr>
          <w:p>
            <w:pPr>
              <w:pStyle w:val="TableContents"/>
              <w:bidi w:val="0"/>
              <w:spacing w:before="0" w:after="283"/>
              <w:jc w:val="right"/>
              <w:rPr>
                <w:rFonts w:ascii="Times New Roman;Times;Serif" w:hAnsi="Times New Roman;Times;Serif"/>
                <w:sz w:val="20"/>
              </w:rPr>
            </w:pPr>
            <w:bookmarkStart w:id="586" w:name="xdx_90F_eus-gaap--WarrantsAndRightsOutst"/>
            <w:bookmarkEnd w:id="586"/>
            <w:r>
              <w:rPr>
                <w:rFonts w:ascii="Times New Roman;Times;Serif" w:hAnsi="Times New Roman;Times;Serif"/>
                <w:sz w:val="20"/>
              </w:rPr>
              <w:t>1 year</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 </w:t>
            </w:r>
            <w:bookmarkStart w:id="587" w:name="xdx_90F_eus-gaap--WarrantsAndRightsOutst"/>
            <w:bookmarkEnd w:id="587"/>
            <w:r>
              <w:rPr>
                <w:rFonts w:ascii="Times New Roman;Times;Serif" w:hAnsi="Times New Roman;Times;Serif"/>
                <w:sz w:val="20"/>
              </w:rPr>
              <w:t xml:space="preserve">5.5 years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4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 ½ years</w:t>
            </w:r>
            <w:bookmarkStart w:id="588" w:name="xdx_908_eus-gaap--WarrantsAndRightsOutst"/>
            <w:bookmarkEnd w:id="588"/>
            <w:r>
              <w:rPr>
                <w:rFonts w:ascii="Times New Roman;Times;Serif" w:hAnsi="Times New Roman;Times;Serif"/>
                <w:sz w:val="20"/>
              </w:rPr>
              <w:t xml:space="preserve">5.5 </w:t>
            </w:r>
          </w:p>
        </w:tc>
        <w:tc>
          <w:tcPr>
            <w:tcW w:w="23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800" w:type="dxa"/>
            <w:tcBorders/>
            <w:shd w:fill="CCEEFF" w:val="clear"/>
            <w:vAlign w:val="center"/>
          </w:tcPr>
          <w:p>
            <w:pPr>
              <w:pStyle w:val="TableContents"/>
              <w:bidi w:val="0"/>
              <w:spacing w:before="0" w:after="283"/>
              <w:jc w:val="right"/>
              <w:rPr/>
            </w:pPr>
            <w:bookmarkStart w:id="589" w:name="xdx_902_eus-gaap--WarrantsAndRightsOutst"/>
            <w:bookmarkEnd w:id="589"/>
            <w:r>
              <w:rPr/>
              <w:t>5.51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34" w:type="dxa"/>
            <w:tcBorders/>
            <w:shd w:fill="CCEEFF" w:val="clear"/>
            <w:vAlign w:val="center"/>
          </w:tcPr>
          <w:p>
            <w:pPr>
              <w:pStyle w:val="TableContents"/>
              <w:bidi w:val="0"/>
              <w:spacing w:before="0" w:after="283"/>
              <w:jc w:val="right"/>
              <w:rPr>
                <w:rFonts w:ascii="Times New Roman;Times;Serif" w:hAnsi="Times New Roman;Times;Serif"/>
                <w:sz w:val="20"/>
              </w:rPr>
            </w:pPr>
            <w:bookmarkStart w:id="590" w:name="xdx_902_eus-gaap--WarrantsAndRightsOutst"/>
            <w:bookmarkEnd w:id="590"/>
            <w:r>
              <w:rPr>
                <w:rFonts w:ascii="Times New Roman;Times;Serif" w:hAnsi="Times New Roman;Times;Serif"/>
                <w:sz w:val="20"/>
              </w:rPr>
              <w:t xml:space="preserve">4.57% - </w:t>
            </w:r>
            <w:bookmarkStart w:id="591" w:name="xdx_901_eus-gaap--WarrantsAndRightsOutst"/>
            <w:bookmarkEnd w:id="591"/>
            <w:r>
              <w:rPr>
                <w:rFonts w:ascii="Times New Roman;Times;Serif" w:hAnsi="Times New Roman;Times;Serif"/>
                <w:sz w:val="20"/>
              </w:rPr>
              <w:t>5.51%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421" w:type="dxa"/>
            <w:tcBorders/>
            <w:shd w:fill="CCEEFF" w:val="clear"/>
            <w:vAlign w:val="center"/>
          </w:tcPr>
          <w:p>
            <w:pPr>
              <w:pStyle w:val="TableContents"/>
              <w:bidi w:val="0"/>
              <w:spacing w:before="0" w:after="283"/>
              <w:jc w:val="right"/>
              <w:rPr/>
            </w:pPr>
            <w:bookmarkStart w:id="592" w:name="xdx_907_eus-gaap--WarrantsAndRightsOutst"/>
            <w:bookmarkEnd w:id="592"/>
            <w:r>
              <w:rPr/>
              <w:t>4.57</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800" w:type="dxa"/>
            <w:tcBorders/>
            <w:shd w:fill="FFFFFF" w:val="clear"/>
            <w:vAlign w:val="center"/>
          </w:tcPr>
          <w:p>
            <w:pPr>
              <w:pStyle w:val="TableContents"/>
              <w:bidi w:val="0"/>
              <w:spacing w:before="0" w:after="283"/>
              <w:jc w:val="right"/>
              <w:rPr/>
            </w:pPr>
            <w:bookmarkStart w:id="593" w:name="xdx_903_eus-gaap--WarrantsAndRightsOutst"/>
            <w:bookmarkEnd w:id="593"/>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34" w:type="dxa"/>
            <w:tcBorders/>
            <w:shd w:fill="FFFFFF" w:val="clear"/>
            <w:vAlign w:val="center"/>
          </w:tcPr>
          <w:p>
            <w:pPr>
              <w:pStyle w:val="TableContents"/>
              <w:bidi w:val="0"/>
              <w:spacing w:before="0" w:after="283"/>
              <w:jc w:val="right"/>
              <w:rPr/>
            </w:pPr>
            <w:bookmarkStart w:id="594" w:name="xdx_902_eus-gaap--WarrantsAndRightsOutst"/>
            <w:bookmarkEnd w:id="594"/>
            <w:r>
              <w:rPr/>
              <w:t>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2421" w:type="dxa"/>
            <w:tcBorders/>
            <w:shd w:fill="FFFFFF" w:val="clear"/>
            <w:vAlign w:val="center"/>
          </w:tcPr>
          <w:p>
            <w:pPr>
              <w:pStyle w:val="TableContents"/>
              <w:bidi w:val="0"/>
              <w:spacing w:before="0" w:after="283"/>
              <w:jc w:val="right"/>
              <w:rPr/>
            </w:pPr>
            <w:bookmarkStart w:id="595" w:name="xdx_902_eus-gaap--WarrantsAndRightsOutst"/>
            <w:bookmarkEnd w:id="595"/>
            <w:r>
              <w:rPr/>
              <w:t>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596" w:name="xdx_8AA_zfwFRgNS97Q2"/>
      <w:bookmarkEnd w:id="59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common stock was determined using the closing price of the Company’s common stock as of May 2, 2024, which is the date that the Private Placement closed.</w:t>
      </w:r>
    </w:p>
    <w:p>
      <w:pPr>
        <w:pStyle w:val="TextBody"/>
        <w:bidi w:val="0"/>
        <w:spacing w:before="0" w:after="0"/>
        <w:ind w:left="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June 2025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a warrant exchange agreement on September 4, 2025, a total of </w:t>
      </w:r>
      <w:bookmarkStart w:id="597" w:name="xdx_90E_eus-gaap--ClassOfWarrantOrRightN"/>
      <w:bookmarkEnd w:id="597"/>
      <w:r>
        <w:rPr>
          <w:rFonts w:ascii="Times New Roman;Times;Serif" w:hAnsi="Times New Roman;Times;Serif"/>
          <w:b w:val="false"/>
          <w:i w:val="false"/>
          <w:caps w:val="false"/>
          <w:smallCaps w:val="false"/>
          <w:sz w:val="20"/>
        </w:rPr>
        <w:t xml:space="preserve">559,395 Series C common stock purchase warrants were exchanged for the issuance of </w:t>
      </w:r>
      <w:bookmarkStart w:id="598" w:name="xdx_90E_eus-gaap--StockIssuedDuringPerio"/>
      <w:bookmarkEnd w:id="598"/>
      <w:r>
        <w:rPr>
          <w:rFonts w:ascii="Times New Roman;Times;Serif" w:hAnsi="Times New Roman;Times;Serif"/>
          <w:b w:val="false"/>
          <w:i w:val="false"/>
          <w:caps w:val="false"/>
          <w:smallCaps w:val="false"/>
          <w:sz w:val="20"/>
        </w:rPr>
        <w:t>559,395 shares of common stock. The Company recorded a deemed dividend of $</w:t>
      </w:r>
      <w:bookmarkStart w:id="599" w:name="xdx_909_ecustom--DeemedDividend_iI_c2025"/>
      <w:bookmarkEnd w:id="599"/>
      <w:r>
        <w:rPr>
          <w:rFonts w:ascii="Times New Roman;Times;Serif" w:hAnsi="Times New Roman;Times;Serif"/>
          <w:b w:val="false"/>
          <w:i w:val="false"/>
          <w:caps w:val="false"/>
          <w:smallCaps w:val="false"/>
          <w:sz w:val="20"/>
        </w:rPr>
        <w:t>1,494,000 representing the difference between the fair value of the common stock received and the fair value of the warrants exchanged as of the exchange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a warrant exchange agreement on November 5, 2025, </w:t>
      </w:r>
      <w:bookmarkStart w:id="600" w:name="xdx_901_eus-gaap--ClassOfWarrantOrRightN"/>
      <w:bookmarkEnd w:id="600"/>
      <w:r>
        <w:rPr>
          <w:rFonts w:ascii="Times New Roman;Times;Serif" w:hAnsi="Times New Roman;Times;Serif"/>
          <w:b w:val="false"/>
          <w:i w:val="false"/>
          <w:caps w:val="false"/>
          <w:smallCaps w:val="false"/>
          <w:sz w:val="20"/>
        </w:rPr>
        <w:t xml:space="preserve">654,000 Series A common stock purchase warrants, </w:t>
      </w:r>
      <w:bookmarkStart w:id="601" w:name="xdx_903_eus-gaap--ClassOfWarrantOrRightN"/>
      <w:bookmarkEnd w:id="601"/>
      <w:r>
        <w:rPr>
          <w:rFonts w:ascii="Times New Roman;Times;Serif" w:hAnsi="Times New Roman;Times;Serif"/>
          <w:b w:val="false"/>
          <w:i w:val="false"/>
          <w:caps w:val="false"/>
          <w:smallCaps w:val="false"/>
          <w:sz w:val="20"/>
        </w:rPr>
        <w:t xml:space="preserve">654,000 Series B common stock purchase warrants, and </w:t>
      </w:r>
      <w:bookmarkStart w:id="602" w:name="xdx_904_eus-gaap--ClassOfWarrantOrRightN"/>
      <w:bookmarkEnd w:id="602"/>
      <w:r>
        <w:rPr>
          <w:rFonts w:ascii="Times New Roman;Times;Serif" w:hAnsi="Times New Roman;Times;Serif"/>
          <w:b w:val="false"/>
          <w:i w:val="false"/>
          <w:caps w:val="false"/>
          <w:smallCaps w:val="false"/>
          <w:sz w:val="20"/>
        </w:rPr>
        <w:t xml:space="preserve">94,605 Series C common stock purchase warrants, totaling </w:t>
      </w:r>
      <w:bookmarkStart w:id="603" w:name="xdx_902_eus-gaap--ClassOfWarrantOrRightN"/>
      <w:bookmarkEnd w:id="603"/>
      <w:r>
        <w:rPr>
          <w:rFonts w:ascii="Times New Roman;Times;Serif" w:hAnsi="Times New Roman;Times;Serif"/>
          <w:b w:val="false"/>
          <w:i w:val="false"/>
          <w:caps w:val="false"/>
          <w:smallCaps w:val="false"/>
          <w:sz w:val="20"/>
        </w:rPr>
        <w:t xml:space="preserve">1,402,605 in aggregate, were exchanged for the issuance of </w:t>
      </w:r>
      <w:bookmarkStart w:id="604" w:name="xdx_903_eus-gaap--StockIssuedDuringPerio"/>
      <w:bookmarkEnd w:id="604"/>
      <w:r>
        <w:rPr>
          <w:rFonts w:ascii="Times New Roman;Times;Serif" w:hAnsi="Times New Roman;Times;Serif"/>
          <w:b w:val="false"/>
          <w:i w:val="false"/>
          <w:caps w:val="false"/>
          <w:smallCaps w:val="false"/>
          <w:sz w:val="20"/>
        </w:rPr>
        <w:t>1,402,605 shares of common stock. The Company recorded a deemed dividend of $</w:t>
      </w:r>
      <w:bookmarkStart w:id="605" w:name="xdx_90C_ecustom--DeemedDividend_iI_c2025"/>
      <w:bookmarkEnd w:id="605"/>
      <w:r>
        <w:rPr>
          <w:rFonts w:ascii="Times New Roman;Times;Serif" w:hAnsi="Times New Roman;Times;Serif"/>
          <w:b w:val="false"/>
          <w:i w:val="false"/>
          <w:caps w:val="false"/>
          <w:smallCaps w:val="false"/>
          <w:sz w:val="20"/>
        </w:rPr>
        <w:t>9,540,000 representing the difference between the fair value of the common stock received and the fair value of the warrants exchanged as of the exchange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606" w:name="xdx_903_eus-gaap--ClassOfWarrantOrRightO"/>
      <w:bookmarkEnd w:id="606"/>
      <w:r>
        <w:rPr>
          <w:rFonts w:ascii="Times New Roman;Times;Serif" w:hAnsi="Times New Roman;Times;Serif"/>
          <w:b w:val="false"/>
          <w:i w:val="false"/>
          <w:caps w:val="false"/>
          <w:smallCaps w:val="false"/>
          <w:sz w:val="20"/>
        </w:rPr>
        <w:t xml:space="preserve">1,962,000 warrants were exercised during the year ended December 31, 2025. As of December 31, 2025, </w:t>
      </w:r>
      <w:bookmarkStart w:id="607" w:name="xdx_909_eus-gaap--ClassOfWarrantOrRightO"/>
      <w:bookmarkEnd w:id="607"/>
      <w:r>
        <w:rPr>
          <w:rFonts w:ascii="Times New Roman;Times;Serif" w:hAnsi="Times New Roman;Times;Serif"/>
          <w:b w:val="false"/>
          <w:i w:val="false"/>
          <w:caps w:val="false"/>
          <w:smallCaps w:val="false"/>
          <w:sz w:val="20"/>
        </w:rPr>
        <w:t>no warrants to purchase Common Stock issued pursuant to the June 2025 financing transaction remained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November 2024 Warrants (As Amended)</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13, 2024, we entered into a letter agreement (the “Warrant Exercise and Reload Agreement”) with the holder (the “Holder”) of its issued and outstanding Series B Warrants (the “Prior Warrants”) to purchase an aggregate of </w:t>
      </w:r>
      <w:bookmarkStart w:id="608" w:name="xdx_90F_eus-gaap--ClassOfWarrantOrRightN"/>
      <w:bookmarkEnd w:id="608"/>
      <w:r>
        <w:rPr>
          <w:rFonts w:ascii="Times New Roman;Times;Serif" w:hAnsi="Times New Roman;Times;Serif"/>
          <w:b w:val="false"/>
          <w:i w:val="false"/>
          <w:caps w:val="false"/>
          <w:smallCaps w:val="false"/>
          <w:sz w:val="20"/>
        </w:rPr>
        <w:t>20,703 shares of common stock of the Company offering the Holder the opportunity to exercise all of its Prior Warrants for cash at a reduced exercise price equal to $</w:t>
      </w:r>
      <w:bookmarkStart w:id="609" w:name="xdx_90E_eus-gaap--ClassOfWarrantOrRightE"/>
      <w:bookmarkEnd w:id="609"/>
      <w:r>
        <w:rPr>
          <w:rFonts w:ascii="Times New Roman;Times;Serif" w:hAnsi="Times New Roman;Times;Serif"/>
          <w:b w:val="false"/>
          <w:i w:val="false"/>
          <w:caps w:val="false"/>
          <w:smallCaps w:val="false"/>
          <w:sz w:val="20"/>
        </w:rPr>
        <w:t xml:space="preserve">99.60 per share provided the Prior Warrants were exercised in full for cash on or before 12:30 P.M. Eastern Time on the date of the Warrant Exercise and Reload Agreement. In consideration for the exercise of the Prior Warrants, the Holder received new unregistered Series C Warrants (the “Series C Warrants”) exercisable for up to an aggregate of </w:t>
      </w:r>
      <w:bookmarkStart w:id="610" w:name="xdx_90E_eus-gaap--ClassOfWarrantOrRightN"/>
      <w:bookmarkEnd w:id="610"/>
      <w:r>
        <w:rPr>
          <w:rFonts w:ascii="Times New Roman;Times;Serif" w:hAnsi="Times New Roman;Times;Serif"/>
          <w:b w:val="false"/>
          <w:i w:val="false"/>
          <w:caps w:val="false"/>
          <w:smallCaps w:val="false"/>
          <w:sz w:val="20"/>
        </w:rPr>
        <w:t xml:space="preserve">41,407 shares of common stock (the “Series C Warrant Shares”) and new unregistered Series D Warrants (the “Series D Warrants” and, together with the Series C Warrants, the “New Warrants”) exercisable for up to an aggregate of </w:t>
      </w:r>
      <w:bookmarkStart w:id="611" w:name="xdx_90B_eus-gaap--ClassOfWarrantOrRightN"/>
      <w:bookmarkEnd w:id="611"/>
      <w:r>
        <w:rPr>
          <w:rFonts w:ascii="Times New Roman;Times;Serif" w:hAnsi="Times New Roman;Times;Serif"/>
          <w:b w:val="false"/>
          <w:i w:val="false"/>
          <w:caps w:val="false"/>
          <w:smallCaps w:val="false"/>
          <w:sz w:val="20"/>
        </w:rPr>
        <w:t>41,407 shares of common stock (the “Series D Warrant Shares” and, together with the Series C Warrant Shares, the “New Warrant Shares”). The Series C Warrants are exercisable beginning on the date upon which the Company receives stockholder approval of the issuance of the New Warrant Shares and the Placement Agent Warrant Shares (as defined below) (the “Stockholder Approval Date”) for a period of five and one-half (</w:t>
      </w:r>
      <w:bookmarkStart w:id="612" w:name="xdx_902_eus-gaap--WarrantsAndRightsOutst"/>
      <w:bookmarkEnd w:id="612"/>
      <w:r>
        <w:rPr>
          <w:rFonts w:ascii="Times New Roman;Times;Serif" w:hAnsi="Times New Roman;Times;Serif"/>
          <w:b w:val="false"/>
          <w:i w:val="false"/>
          <w:caps w:val="false"/>
          <w:smallCaps w:val="false"/>
          <w:sz w:val="20"/>
        </w:rPr>
        <w:t>5.5) years following the Stockholder Approval Date and the Series D Warrants are exercisable beginning on the Stockholder Approval Date for a period of eighteen (18) months following the Stockholder Approval Date. The New Warrants each have an exercise price of $</w:t>
      </w:r>
      <w:bookmarkStart w:id="613" w:name="xdx_90B_eus-gaap--ClassOfWarrantOrRightE"/>
      <w:bookmarkEnd w:id="613"/>
      <w:r>
        <w:rPr>
          <w:rFonts w:ascii="Times New Roman;Times;Serif" w:hAnsi="Times New Roman;Times;Serif"/>
          <w:b w:val="false"/>
          <w:i w:val="false"/>
          <w:caps w:val="false"/>
          <w:smallCaps w:val="false"/>
          <w:sz w:val="20"/>
        </w:rPr>
        <w:t>99.60 per share. The shares of common stock issued upon exercise of the Prior Warrants are registered pursuant to an effective registration statement on Form S-1 (No. 333-279157).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firstLine="3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of the </w:t>
      </w:r>
      <w:bookmarkStart w:id="614" w:name="xdx_903_eus-gaap--ClassOfWarrantOrRightO"/>
      <w:bookmarkEnd w:id="614"/>
      <w:r>
        <w:rPr>
          <w:rFonts w:ascii="Times New Roman;Times;Serif" w:hAnsi="Times New Roman;Times;Serif"/>
          <w:b w:val="false"/>
          <w:i w:val="false"/>
          <w:caps w:val="false"/>
          <w:smallCaps w:val="false"/>
          <w:sz w:val="20"/>
        </w:rPr>
        <w:t>82,816 warrants issued pursuant to the Warrant Exercise and Reload Agreement were exchanged for cash during the year ended December 31, 2025. Pursuant to the Warrant Exchange Agreement, and as consideration for the exchange of warrants, a cash payment of $</w:t>
      </w:r>
      <w:bookmarkStart w:id="615" w:name="xdx_904_ecustom--ClassOfWarrantOrRightCa"/>
      <w:bookmarkEnd w:id="615"/>
      <w:r>
        <w:rPr>
          <w:rFonts w:ascii="Times New Roman;Times;Serif" w:hAnsi="Times New Roman;Times;Serif"/>
          <w:b w:val="false"/>
          <w:i w:val="false"/>
          <w:caps w:val="false"/>
          <w:smallCaps w:val="false"/>
          <w:sz w:val="20"/>
        </w:rPr>
        <w:t>1.1 million was made by the Company in May 2025.No warrants related to these transactions remain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2024 Warrants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616" w:name="xdx_901_eus-gaap--ClassOfWarrantOrRightO"/>
      <w:bookmarkEnd w:id="616"/>
      <w:r>
        <w:rPr>
          <w:rFonts w:ascii="Times New Roman;Times;Serif" w:hAnsi="Times New Roman;Times;Serif"/>
          <w:b w:val="false"/>
          <w:i w:val="false"/>
          <w:caps w:val="false"/>
          <w:smallCaps w:val="false"/>
          <w:sz w:val="20"/>
        </w:rPr>
        <w:t xml:space="preserve">62,750 warrants were issued pursuant to the April 2024 Securities Purchase Agreement (the “April 2024 Securities Purchase Agreement”), consisting of Series A, Series B, Pre-funded, and Placement Agent warrants. As of December 31, 2025, only Placement Agent warrants to purchase a total of </w:t>
      </w:r>
      <w:bookmarkStart w:id="617" w:name="xdx_901_eus-gaap--ClassOfWarrantOrRightO"/>
      <w:bookmarkEnd w:id="617"/>
      <w:r>
        <w:rPr>
          <w:rFonts w:ascii="Times New Roman;Times;Serif" w:hAnsi="Times New Roman;Times;Serif"/>
          <w:b w:val="false"/>
          <w:i w:val="false"/>
          <w:caps w:val="false"/>
          <w:smallCaps w:val="false"/>
          <w:sz w:val="20"/>
        </w:rPr>
        <w:t xml:space="preserve">1,242 shares of common stock remained outstanding. The </w:t>
      </w:r>
      <w:bookmarkStart w:id="618" w:name="xdx_90F_ecustom--ClassOfWarrantOrRightsE"/>
      <w:bookmarkEnd w:id="618"/>
      <w:r>
        <w:rPr>
          <w:rFonts w:ascii="Times New Roman;Times;Serif" w:hAnsi="Times New Roman;Times;Serif"/>
          <w:b w:val="false"/>
          <w:i w:val="false"/>
          <w:caps w:val="false"/>
          <w:smallCaps w:val="false"/>
          <w:sz w:val="20"/>
        </w:rPr>
        <w:t>1,242 Placement Agent Warrants issued pursuant to the Engagement Letter with the placement agent, are exercisable immediately from the date of issuance for a period of five and one half (</w:t>
      </w:r>
      <w:bookmarkStart w:id="619" w:name="xdx_902_eus-gaap--WarrantsAndRightsOutst"/>
      <w:bookmarkEnd w:id="619"/>
      <w:r>
        <w:rPr>
          <w:rFonts w:ascii="Times New Roman;Times;Serif" w:hAnsi="Times New Roman;Times;Serif"/>
          <w:b w:val="false"/>
          <w:i w:val="false"/>
          <w:caps w:val="false"/>
          <w:smallCaps w:val="false"/>
          <w:sz w:val="20"/>
        </w:rPr>
        <w:t>5.5) years after the date of issuance, at an exercise price of $</w:t>
      </w:r>
      <w:bookmarkStart w:id="620" w:name="xdx_906_eus-gaap--ClassOfWarrantOrRightE"/>
      <w:bookmarkEnd w:id="620"/>
      <w:r>
        <w:rPr>
          <w:rFonts w:ascii="Times New Roman;Times;Serif" w:hAnsi="Times New Roman;Times;Serif"/>
          <w:b w:val="false"/>
          <w:i w:val="false"/>
          <w:caps w:val="false"/>
          <w:smallCaps w:val="false"/>
          <w:sz w:val="20"/>
        </w:rPr>
        <w:t>124.512 per warrant share.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621" w:name="xdx_907_ecustom--ClassOfWarrantOrRightEx"/>
      <w:bookmarkEnd w:id="621"/>
      <w:r>
        <w:rPr>
          <w:rFonts w:ascii="Times New Roman;Times;Serif" w:hAnsi="Times New Roman;Times;Serif"/>
          <w:b w:val="false"/>
          <w:i w:val="false"/>
          <w:caps w:val="false"/>
          <w:smallCaps w:val="false"/>
          <w:sz w:val="20"/>
        </w:rPr>
        <w:t xml:space="preserve">20,704 Series A warrants and </w:t>
      </w:r>
      <w:bookmarkStart w:id="622" w:name="xdx_909_ecustom--ClassOfWarrantOrRightEx"/>
      <w:bookmarkEnd w:id="622"/>
      <w:r>
        <w:rPr>
          <w:rFonts w:ascii="Times New Roman;Times;Serif" w:hAnsi="Times New Roman;Times;Serif"/>
          <w:b w:val="false"/>
          <w:i w:val="false"/>
          <w:caps w:val="false"/>
          <w:smallCaps w:val="false"/>
          <w:sz w:val="20"/>
        </w:rPr>
        <w:t xml:space="preserve">9,988 Series B warrants were exercised during the year ended December 31, 2025. A total of </w:t>
      </w:r>
      <w:bookmarkStart w:id="623" w:name="xdx_906_ecustom--ClassOfWarrantOrRightEx"/>
      <w:bookmarkEnd w:id="623"/>
      <w:r>
        <w:rPr>
          <w:rFonts w:ascii="Times New Roman;Times;Serif" w:hAnsi="Times New Roman;Times;Serif"/>
          <w:b w:val="false"/>
          <w:i w:val="false"/>
          <w:caps w:val="false"/>
          <w:smallCaps w:val="false"/>
          <w:sz w:val="20"/>
        </w:rPr>
        <w:t xml:space="preserve">20,100 pre-funded warrants and </w:t>
      </w:r>
      <w:bookmarkStart w:id="624" w:name="xdx_906_ecustom--ClassOfWarrantOrRightEx"/>
      <w:bookmarkEnd w:id="624"/>
      <w:r>
        <w:rPr>
          <w:rFonts w:ascii="Times New Roman;Times;Serif" w:hAnsi="Times New Roman;Times;Serif"/>
          <w:b w:val="false"/>
          <w:i w:val="false"/>
          <w:caps w:val="false"/>
          <w:smallCaps w:val="false"/>
          <w:sz w:val="20"/>
        </w:rPr>
        <w:t>10,716 Series B warrants were exercised during the year ended December 31, 2024.</w:t>
      </w:r>
    </w:p>
    <w:p>
      <w:pPr>
        <w:pStyle w:val="TextBody"/>
        <w:bidi w:val="0"/>
        <w:spacing w:before="0" w:after="0"/>
        <w:ind w:left="2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2023 Warrants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warrants to purchase a total of </w:t>
      </w:r>
      <w:bookmarkStart w:id="625" w:name="xdx_907_eus-gaap--ClassOfWarrantOrRightN"/>
      <w:bookmarkEnd w:id="625"/>
      <w:r>
        <w:rPr>
          <w:rFonts w:ascii="Times New Roman;Times;Serif" w:hAnsi="Times New Roman;Times;Serif"/>
          <w:b w:val="false"/>
          <w:i w:val="false"/>
          <w:caps w:val="false"/>
          <w:smallCaps w:val="false"/>
          <w:sz w:val="20"/>
        </w:rPr>
        <w:t xml:space="preserve">1,750 shares of common stock issued pursuant to a securities purchase agreement in a December 2023 financing transaction remained outstanding. A total of </w:t>
      </w:r>
      <w:bookmarkStart w:id="626" w:name="xdx_90E_ecustom--ClassOfWarrantOrRightsE"/>
      <w:bookmarkEnd w:id="626"/>
      <w:r>
        <w:rPr>
          <w:rFonts w:ascii="Times New Roman;Times;Serif" w:hAnsi="Times New Roman;Times;Serif"/>
          <w:b w:val="false"/>
          <w:i w:val="false"/>
          <w:caps w:val="false"/>
          <w:smallCaps w:val="false"/>
          <w:sz w:val="20"/>
        </w:rPr>
        <w:t xml:space="preserve">1,651 warrants, including </w:t>
      </w:r>
      <w:bookmarkStart w:id="627" w:name="xdx_902_ecustom--ClassOfWarrantOrRightsE"/>
      <w:bookmarkEnd w:id="627"/>
      <w:r>
        <w:rPr>
          <w:rFonts w:ascii="Times New Roman;Times;Serif" w:hAnsi="Times New Roman;Times;Serif"/>
          <w:b w:val="false"/>
          <w:i w:val="false"/>
          <w:caps w:val="false"/>
          <w:smallCaps w:val="false"/>
          <w:sz w:val="20"/>
        </w:rPr>
        <w:t>33 warrants issued in a concurrent private placement, are exercisable immediately from the date of issuance for a period of seven years after the date of issuance, at an exercise price of $</w:t>
      </w:r>
      <w:bookmarkStart w:id="628" w:name="xdx_908_eus-gaap--ClassOfWarrantOrRightE"/>
      <w:bookmarkEnd w:id="628"/>
      <w:r>
        <w:rPr>
          <w:rFonts w:ascii="Times New Roman;Times;Serif" w:hAnsi="Times New Roman;Times;Serif"/>
          <w:b w:val="false"/>
          <w:i w:val="false"/>
          <w:caps w:val="false"/>
          <w:smallCaps w:val="false"/>
          <w:sz w:val="20"/>
        </w:rPr>
        <w:t xml:space="preserve">765.60 per warrant share. A further </w:t>
      </w:r>
      <w:bookmarkStart w:id="629" w:name="xdx_900_ecustom--ClassOfWarrantOrRightsE"/>
      <w:bookmarkEnd w:id="629"/>
      <w:r>
        <w:rPr>
          <w:rFonts w:ascii="Times New Roman;Times;Serif" w:hAnsi="Times New Roman;Times;Serif"/>
          <w:b w:val="false"/>
          <w:i w:val="false"/>
          <w:caps w:val="false"/>
          <w:smallCaps w:val="false"/>
          <w:sz w:val="20"/>
        </w:rPr>
        <w:t xml:space="preserve">99 warrants issued in a concurrent placement agency agreement, are exercisable immediately from the date of issuance for a period of </w:t>
      </w:r>
      <w:bookmarkStart w:id="630" w:name="xdx_906_eus-gaap--WarrantsAndRightsOutst"/>
      <w:bookmarkEnd w:id="630"/>
      <w:r>
        <w:rPr>
          <w:rFonts w:ascii="Times New Roman;Times;Serif" w:hAnsi="Times New Roman;Times;Serif"/>
          <w:b w:val="false"/>
          <w:i w:val="false"/>
          <w:caps w:val="false"/>
          <w:smallCaps w:val="false"/>
          <w:sz w:val="20"/>
        </w:rPr>
        <w:t>five years after the date of issuance, at an exercise price of $</w:t>
      </w:r>
      <w:bookmarkStart w:id="631" w:name="xdx_902_eus-gaap--ClassOfWarrantOrRightE"/>
      <w:bookmarkEnd w:id="631"/>
      <w:r>
        <w:rPr>
          <w:rFonts w:ascii="Times New Roman;Times;Serif" w:hAnsi="Times New Roman;Times;Serif"/>
          <w:b w:val="false"/>
          <w:i w:val="false"/>
          <w:caps w:val="false"/>
          <w:smallCaps w:val="false"/>
          <w:sz w:val="20"/>
        </w:rPr>
        <w:t>994.50 per warrant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632" w:name="xdx_90F_eus-gaap--ClassOfWarrantOrRightO"/>
      <w:bookmarkStart w:id="633" w:name="xdx_903_eus-gaap--ClassOfWarrantOrRightO"/>
      <w:bookmarkEnd w:id="632"/>
      <w:bookmarkEnd w:id="633"/>
      <w:r>
        <w:rPr>
          <w:rFonts w:ascii="Times New Roman;Times;Serif" w:hAnsi="Times New Roman;Times;Serif"/>
          <w:b w:val="false"/>
          <w:i w:val="false"/>
          <w:caps w:val="false"/>
          <w:smallCaps w:val="false"/>
          <w:sz w:val="20"/>
        </w:rPr>
        <w:t>no exercises of these warrants during the years ended December 31, 2025 or December 31, 2024.</w:t>
      </w:r>
    </w:p>
    <w:p>
      <w:pPr>
        <w:pStyle w:val="TextBody"/>
        <w:bidi w:val="0"/>
        <w:spacing w:before="0" w:after="0"/>
        <w:ind w:left="2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2020 Warrants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warrants to purchase </w:t>
      </w:r>
      <w:bookmarkStart w:id="634" w:name="xdx_904_eus-gaap--ClassOfWarrantOrRightN"/>
      <w:bookmarkEnd w:id="634"/>
      <w:r>
        <w:rPr>
          <w:rFonts w:ascii="Times New Roman;Times;Serif" w:hAnsi="Times New Roman;Times;Serif"/>
          <w:b w:val="false"/>
          <w:i w:val="false"/>
          <w:caps w:val="false"/>
          <w:smallCaps w:val="false"/>
          <w:sz w:val="20"/>
        </w:rPr>
        <w:t xml:space="preserve">186 shares of common stock issued pursuant to a securities purchase agreement in a December 2020 financing transaction remained outstanding. Each warrant shall be exercisable beginning on the 12-month anniversary of the date of issuance for a period of </w:t>
      </w:r>
      <w:bookmarkStart w:id="635" w:name="xdx_908_eus-gaap--WarrantsAndRightsOutst"/>
      <w:bookmarkEnd w:id="635"/>
      <w:r>
        <w:rPr>
          <w:rFonts w:ascii="Times New Roman;Times;Serif" w:hAnsi="Times New Roman;Times;Serif"/>
          <w:b w:val="false"/>
          <w:i w:val="false"/>
          <w:caps w:val="false"/>
          <w:smallCaps w:val="false"/>
          <w:sz w:val="20"/>
        </w:rPr>
        <w:t>five years after the date of issuance, at an exercise price of $</w:t>
      </w:r>
      <w:bookmarkStart w:id="636" w:name="xdx_90E_eus-gaap--ClassOfWarrantOrRightE"/>
      <w:bookmarkEnd w:id="636"/>
      <w:r>
        <w:rPr>
          <w:rFonts w:ascii="Times New Roman;Times;Serif" w:hAnsi="Times New Roman;Times;Serif"/>
          <w:b w:val="false"/>
          <w:i w:val="false"/>
          <w:caps w:val="false"/>
          <w:smallCaps w:val="false"/>
          <w:sz w:val="20"/>
        </w:rPr>
        <w:t>14,868 per warrant share. The exercise price of the warrants will be subject to adjustment in the event of any stock dividends and splits, reverse stock split, recapitalization, reorganization or similar transaction, as described in the warrants. The warrants may be exercised on a “cashless” basis.</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637" w:name="xdx_90B_ecustom--ClassOfWarrantOrRightEx"/>
      <w:bookmarkStart w:id="638" w:name="xdx_90C_ecustom--ClassOfWarrantOrRightEx"/>
      <w:bookmarkEnd w:id="637"/>
      <w:bookmarkEnd w:id="638"/>
      <w:r>
        <w:rPr>
          <w:rFonts w:ascii="Times New Roman;Times;Serif" w:hAnsi="Times New Roman;Times;Serif"/>
          <w:b w:val="false"/>
          <w:i w:val="false"/>
          <w:caps w:val="false"/>
          <w:smallCaps w:val="false"/>
          <w:sz w:val="20"/>
        </w:rPr>
        <w:t>no exercises of these warrants during the years ended December 31, 2025 or December 31,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2020 Warrants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w:t>
      </w:r>
      <w:bookmarkStart w:id="639" w:name="xdx_904_eus-gaap--ClassOfWarrantOrRightO"/>
      <w:bookmarkEnd w:id="639"/>
      <w:r>
        <w:rPr>
          <w:rFonts w:ascii="Times New Roman;Times;Serif" w:hAnsi="Times New Roman;Times;Serif"/>
          <w:b w:val="false"/>
          <w:i w:val="false"/>
          <w:caps w:val="false"/>
          <w:smallCaps w:val="false"/>
          <w:sz w:val="20"/>
        </w:rPr>
        <w:t>0 warrants issued in connection with an April 2020 equity financing remained outstanding, each with an exercise price of $</w:t>
      </w:r>
      <w:bookmarkStart w:id="640" w:name="xdx_90D_eus-gaap--ClassOfWarrantOrRightE"/>
      <w:bookmarkEnd w:id="640"/>
      <w:r>
        <w:rPr>
          <w:rFonts w:ascii="Times New Roman;Times;Serif" w:hAnsi="Times New Roman;Times;Serif"/>
          <w:b w:val="false"/>
          <w:i w:val="false"/>
          <w:caps w:val="false"/>
          <w:smallCaps w:val="false"/>
          <w:sz w:val="20"/>
        </w:rPr>
        <w:t>18,000.</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41" w:name="xdx_906_eus-gaap--ClassOfWarrantOrRightO"/>
      <w:bookmarkEnd w:id="641"/>
      <w:r>
        <w:rPr>
          <w:rFonts w:ascii="Times New Roman;Times;Serif" w:hAnsi="Times New Roman;Times;Serif"/>
          <w:b w:val="false"/>
          <w:i w:val="false"/>
          <w:caps w:val="false"/>
          <w:smallCaps w:val="false"/>
          <w:sz w:val="20"/>
        </w:rPr>
        <w:t xml:space="preserve">No warrants were exercised during the year ended December 31, 2025. </w:t>
      </w:r>
      <w:bookmarkStart w:id="642" w:name="xdx_90F_ecustom--ClassOfWarrantOrRightEx"/>
      <w:bookmarkEnd w:id="642"/>
      <w:r>
        <w:rPr>
          <w:rFonts w:ascii="Times New Roman;Times;Serif" w:hAnsi="Times New Roman;Times;Serif"/>
          <w:b w:val="false"/>
          <w:i w:val="false"/>
          <w:caps w:val="false"/>
          <w:smallCaps w:val="false"/>
          <w:sz w:val="20"/>
        </w:rPr>
        <w:t>111 warrants were exercised during the year ended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B Preferred Stock</w:t>
      </w:r>
    </w:p>
    <w:p>
      <w:pPr>
        <w:pStyle w:val="TextBody"/>
        <w:bidi w:val="0"/>
        <w:spacing w:before="0" w:after="0"/>
        <w:ind w:left="24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643" w:name="xdx_90B_eus-gaap--SaleOfStockNumberOfSha"/>
      <w:bookmarkEnd w:id="643"/>
      <w:r>
        <w:rPr>
          <w:rFonts w:ascii="Times New Roman;Times;Serif" w:hAnsi="Times New Roman;Times;Serif"/>
          <w:b w:val="false"/>
          <w:i w:val="false"/>
          <w:caps w:val="false"/>
          <w:smallCaps w:val="false"/>
          <w:sz w:val="20"/>
        </w:rPr>
        <w:t xml:space="preserve">237,745 shares of the Company’s Series B Preferred Stock were issued pursuant to a December 2020 Securities Purchase Agreement. During the year ended December 31, 2024, the remaining </w:t>
      </w:r>
      <w:bookmarkStart w:id="644" w:name="xdx_90C_eus-gaap--ConversionOfStockShare"/>
      <w:bookmarkEnd w:id="644"/>
      <w:r>
        <w:rPr>
          <w:rFonts w:ascii="Times New Roman;Times;Serif" w:hAnsi="Times New Roman;Times;Serif"/>
          <w:b w:val="false"/>
          <w:i w:val="false"/>
          <w:caps w:val="false"/>
          <w:smallCaps w:val="false"/>
          <w:sz w:val="20"/>
        </w:rPr>
        <w:t xml:space="preserve">119,000 shares of Series B Preferred Stock were converted, at the option of the holder, into </w:t>
      </w:r>
      <w:bookmarkStart w:id="645" w:name="xdx_90E_eus-gaap--ConvertiblePreferredSt"/>
      <w:bookmarkEnd w:id="645"/>
      <w:r>
        <w:rPr>
          <w:rFonts w:ascii="Times New Roman;Times;Serif" w:hAnsi="Times New Roman;Times;Serif"/>
          <w:b w:val="false"/>
          <w:i w:val="false"/>
          <w:caps w:val="false"/>
          <w:smallCaps w:val="false"/>
          <w:sz w:val="20"/>
        </w:rPr>
        <w:t xml:space="preserve">165 shares of common stock. As of December 31, 2025, there were </w:t>
      </w:r>
      <w:bookmarkStart w:id="646" w:name="xdx_905_eus-gaap--ConvertiblePreferredSt"/>
      <w:bookmarkEnd w:id="646"/>
      <w:r>
        <w:rPr>
          <w:rFonts w:ascii="Times New Roman;Times;Serif" w:hAnsi="Times New Roman;Times;Serif"/>
          <w:b w:val="false"/>
          <w:i w:val="false"/>
          <w:caps w:val="false"/>
          <w:smallCaps w:val="false"/>
          <w:sz w:val="20"/>
        </w:rPr>
        <w:t>no remaining shares of the Series B Preferred Stock outstanding.</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Preferred Stock</w:t>
      </w:r>
    </w:p>
    <w:p>
      <w:pPr>
        <w:pStyle w:val="TextBody"/>
        <w:bidi w:val="0"/>
        <w:spacing w:before="0" w:after="0"/>
        <w:ind w:left="24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647" w:name="xdx_90B_eus-gaap--SaleOfStockNumberOfSha"/>
      <w:bookmarkEnd w:id="647"/>
      <w:r>
        <w:rPr>
          <w:rFonts w:ascii="Times New Roman;Times;Serif" w:hAnsi="Times New Roman;Times;Serif"/>
          <w:b w:val="false"/>
          <w:i w:val="false"/>
          <w:caps w:val="false"/>
          <w:smallCaps w:val="false"/>
          <w:sz w:val="20"/>
        </w:rPr>
        <w:t>8,872 shares of the Company’s Series A Preferred Stock were issued in a July 2017 Underwritten Public Offering. Each share of Series A Preferred Stock is convertible at any time at the option of the holder thereof, into a number of shares of common stock determined by dividing $</w:t>
      </w:r>
      <w:bookmarkStart w:id="648" w:name="xdx_90D_eus-gaap--SaleOfStockConsiderati"/>
      <w:bookmarkEnd w:id="648"/>
      <w:r>
        <w:rPr>
          <w:rFonts w:ascii="Times New Roman;Times;Serif" w:hAnsi="Times New Roman;Times;Serif"/>
          <w:b w:val="false"/>
          <w:i w:val="false"/>
          <w:caps w:val="false"/>
          <w:smallCaps w:val="false"/>
          <w:sz w:val="20"/>
        </w:rPr>
        <w:t>1,000 by the initial conversion price of $</w:t>
      </w:r>
      <w:bookmarkStart w:id="649" w:name="xdx_901_eus-gaap--PreferredStockConverti"/>
      <w:bookmarkEnd w:id="649"/>
      <w:r>
        <w:rPr>
          <w:rFonts w:ascii="Times New Roman;Times;Serif" w:hAnsi="Times New Roman;Times;Serif"/>
          <w:b w:val="false"/>
          <w:i w:val="false"/>
          <w:caps w:val="false"/>
          <w:smallCaps w:val="false"/>
          <w:sz w:val="20"/>
        </w:rPr>
        <w:t xml:space="preserve">600.00 per share, subject to a </w:t>
      </w:r>
      <w:bookmarkStart w:id="650" w:name="xdx_90D_ecustom--PercentageOfOutstanding"/>
      <w:bookmarkEnd w:id="650"/>
      <w:r>
        <w:rPr>
          <w:rFonts w:ascii="Times New Roman;Times;Serif" w:hAnsi="Times New Roman;Times;Serif"/>
          <w:b w:val="false"/>
          <w:i w:val="false"/>
          <w:caps w:val="false"/>
          <w:smallCaps w:val="false"/>
          <w:sz w:val="20"/>
        </w:rPr>
        <w:t xml:space="preserve">4.99% blocker provision, or, upon election by a holder prior to the issuance of shares of Series A Preferred Stock, </w:t>
      </w:r>
      <w:bookmarkStart w:id="651" w:name="xdx_907_ecustom--ConvertiblePreferredSto"/>
      <w:bookmarkEnd w:id="651"/>
      <w:r>
        <w:rPr>
          <w:rFonts w:ascii="Times New Roman;Times;Serif" w:hAnsi="Times New Roman;Times;Serif"/>
          <w:b w:val="false"/>
          <w:i w:val="false"/>
          <w:caps w:val="false"/>
          <w:smallCaps w:val="false"/>
          <w:sz w:val="20"/>
        </w:rPr>
        <w:t>9.99%, and is subject to adjustment for stock splits, stock dividends, distributions, subdivisions and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2024, </w:t>
      </w:r>
      <w:bookmarkStart w:id="652" w:name="xdx_90C_eus-gaap--PreferredStockSharesIs"/>
      <w:bookmarkStart w:id="653" w:name="xdx_907_eus-gaap--PreferredStockSharesIs"/>
      <w:bookmarkEnd w:id="652"/>
      <w:bookmarkEnd w:id="653"/>
      <w:r>
        <w:rPr>
          <w:rFonts w:ascii="Times New Roman;Times;Serif" w:hAnsi="Times New Roman;Times;Serif"/>
          <w:b w:val="false"/>
          <w:i w:val="false"/>
          <w:caps w:val="false"/>
          <w:smallCaps w:val="false"/>
          <w:sz w:val="20"/>
        </w:rPr>
        <w:t xml:space="preserve">264 shares of the Series A Preferred Stock remain issued and outstanding. The </w:t>
      </w:r>
      <w:bookmarkStart w:id="654" w:name="xdx_901_eus-gaap--PreferredStockSharesIs"/>
      <w:bookmarkEnd w:id="654"/>
      <w:r>
        <w:rPr>
          <w:rFonts w:ascii="Times New Roman;Times;Serif" w:hAnsi="Times New Roman;Times;Serif"/>
          <w:b w:val="false"/>
          <w:i w:val="false"/>
          <w:caps w:val="false"/>
          <w:smallCaps w:val="false"/>
          <w:sz w:val="20"/>
        </w:rPr>
        <w:t xml:space="preserve">264 shares of Series A Preferred Stock issued and outstanding at December 31, 2025, are convertible into </w:t>
      </w:r>
      <w:bookmarkStart w:id="655" w:name="xdx_90B_eus-gaap--ConvertiblePreferredSt"/>
      <w:bookmarkEnd w:id="655"/>
      <w:r>
        <w:rPr>
          <w:rFonts w:ascii="Times New Roman;Times;Serif" w:hAnsi="Times New Roman;Times;Serif"/>
          <w:b w:val="false"/>
          <w:i w:val="false"/>
          <w:caps w:val="false"/>
          <w:smallCaps w:val="false"/>
          <w:sz w:val="20"/>
        </w:rPr>
        <w:t>2 share of common stock.</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liquidation, the holders of shares of the Series A Preferred Stock may participate on an as-converted-to-common-stock basis in any distribution of assets of the Company. The Company shall not pay any dividends on shares of common stock (other than dividends in the form of common stock) unless and until such time as dividends on each share of Series A Preferred Stock are paid on an as-converted basis. There is no restriction on the Company’s ability to repurchase shares of Series A Preferred Stock while there is any arrearage in the payment of dividends on such shares, and there are no sinking fund provisions applicable to Series A Preferred Stock.</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certain conditions, at any time following the issuance of the Series A Preferred Stock, the Company has the right to cause each holder of the Series A Preferred Stock to convert all or part of such holder’s Series A Preferred Stock in the event that (i) the volume weighted average price of our common stock for 30 consecutive trading days, or Measurement Period exceeds </w:t>
      </w:r>
      <w:bookmarkStart w:id="656" w:name="xdx_90C_ecustom--PercentageOfOutstanding"/>
      <w:bookmarkEnd w:id="656"/>
      <w:r>
        <w:rPr>
          <w:rFonts w:ascii="Times New Roman;Times;Serif" w:hAnsi="Times New Roman;Times;Serif"/>
          <w:b w:val="false"/>
          <w:i w:val="false"/>
          <w:caps w:val="false"/>
          <w:smallCaps w:val="false"/>
          <w:sz w:val="20"/>
        </w:rPr>
        <w:t>300% of the initial conversion price of the Series A Preferred Stock (subject to adjustment for forward and reverse stock splits, recapitalizations, stock dividends and similar transactions), (ii) the daily trading volume on each Trading Day during such Measurement Period exceeds $</w:t>
      </w:r>
      <w:bookmarkStart w:id="657" w:name="xdx_90B_eus-gaap--ConversionOfStockAmoun"/>
      <w:bookmarkEnd w:id="657"/>
      <w:r>
        <w:rPr>
          <w:rFonts w:ascii="Times New Roman;Times;Serif" w:hAnsi="Times New Roman;Times;Serif"/>
          <w:b w:val="false"/>
          <w:i w:val="false"/>
          <w:caps w:val="false"/>
          <w:smallCaps w:val="false"/>
          <w:sz w:val="20"/>
        </w:rPr>
        <w:t>500,000 per trading day and (iii) the holder is not in possession of any information that constitutes or might constitute, material non-public information which was provided by the Company. The right to cause each holder of Series A Preferred Stock to convert all or part of such holder’s Series A Preferred Stock shall be exercised ratably among the holders of the then outstanding preferred stock.</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has no maturity date, will carry the same dividend rights as the common stock, and with certain exceptions contains no voting rights. In the event of any liquidation or dissolution of the Company, the Series A Preferred Stock ranks senior to the common stock in the distribution of assets, to the extent legally available for distribution.</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6% Convertible Exchangeable Preferred Stock</w:t>
      </w:r>
    </w:p>
    <w:p>
      <w:pPr>
        <w:pStyle w:val="TextBody"/>
        <w:bidi w:val="0"/>
        <w:spacing w:before="0" w:after="0"/>
        <w:ind w:left="24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there were </w:t>
      </w:r>
      <w:bookmarkStart w:id="658" w:name="xdx_90B_eus-gaap--PreferredStockSharesIs"/>
      <w:bookmarkEnd w:id="658"/>
      <w:r>
        <w:rPr>
          <w:rFonts w:ascii="Times New Roman;Times;Serif" w:hAnsi="Times New Roman;Times;Serif"/>
          <w:b w:val="false"/>
          <w:i w:val="false"/>
          <w:caps w:val="false"/>
          <w:smallCaps w:val="false"/>
          <w:sz w:val="20"/>
        </w:rPr>
        <w:t xml:space="preserve">135,273 shares of the Company’s </w:t>
      </w:r>
      <w:bookmarkStart w:id="659" w:name="xdx_90B_eus-gaap--PreferredStockDividend"/>
      <w:bookmarkEnd w:id="659"/>
      <w:r>
        <w:rPr>
          <w:rFonts w:ascii="Times New Roman;Times;Serif" w:hAnsi="Times New Roman;Times;Serif"/>
          <w:b w:val="false"/>
          <w:i w:val="false"/>
          <w:caps w:val="false"/>
          <w:smallCaps w:val="false"/>
          <w:sz w:val="20"/>
        </w:rPr>
        <w:t>6% Convertible Exchangeable, or Preferred Stock issued and outstanding at an issue price of $</w:t>
      </w:r>
      <w:bookmarkStart w:id="660" w:name="xdx_902_eus-gaap--SharesIssuedPricePerSh"/>
      <w:bookmarkEnd w:id="660"/>
      <w:r>
        <w:rPr>
          <w:rFonts w:ascii="Times New Roman;Times;Serif" w:hAnsi="Times New Roman;Times;Serif"/>
          <w:b w:val="false"/>
          <w:i w:val="false"/>
          <w:caps w:val="false"/>
          <w:smallCaps w:val="false"/>
          <w:sz w:val="20"/>
        </w:rPr>
        <w:t xml:space="preserve">10.00 per share. Dividends on the Preferred Stock are cumulative from the date of original issuance at the annual rate of </w:t>
      </w:r>
      <w:bookmarkStart w:id="661" w:name="xdx_901_eus-gaap--PreferredStockDividend"/>
      <w:bookmarkEnd w:id="661"/>
      <w:r>
        <w:rPr>
          <w:rFonts w:ascii="Times New Roman;Times;Serif" w:hAnsi="Times New Roman;Times;Serif"/>
          <w:b w:val="false"/>
          <w:i w:val="false"/>
          <w:caps w:val="false"/>
          <w:smallCaps w:val="false"/>
          <w:sz w:val="20"/>
        </w:rPr>
        <w:t>6% of the liquidation preference of the Preferred Stock, and if declared, payable quarterly on the first day of February, May, August and November, commencing February 1, 2005. Any dividends must be declared by the Company’s Board of Directors and must come from funds that are legally available for dividend payments. The Preferred Stock has a liquidation preference of $</w:t>
      </w:r>
      <w:bookmarkStart w:id="662" w:name="xdx_906_eus-gaap--PreferredStockLiquidat"/>
      <w:bookmarkEnd w:id="662"/>
      <w:r>
        <w:rPr>
          <w:rFonts w:ascii="Times New Roman;Times;Serif" w:hAnsi="Times New Roman;Times;Serif"/>
          <w:b w:val="false"/>
          <w:i w:val="false"/>
          <w:caps w:val="false"/>
          <w:smallCaps w:val="false"/>
          <w:sz w:val="20"/>
        </w:rPr>
        <w:t>10.00 per share, plus accrued and unpaid dividends.</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considers numerous factors in determining whether to declare the quarterly dividend pursuant to the Certificate of Designations governing the terms of the Company’s Preferred Stock, including the requisite financial analysis and determination of a surplus. As of December 31, 2025, there were no accrued and unpaid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Stock is convertible at the option of the holder at any time into the Company’s shares of common stock at a conversion rate of approximately </w:t>
      </w:r>
      <w:bookmarkStart w:id="663" w:name="xdx_90D_eus-gaap--ConvertiblePreferredSt"/>
      <w:bookmarkEnd w:id="663"/>
      <w:r>
        <w:rPr>
          <w:rFonts w:ascii="Times New Roman;Times;Serif" w:hAnsi="Times New Roman;Times;Serif"/>
          <w:b w:val="false"/>
          <w:i w:val="false"/>
          <w:caps w:val="false"/>
          <w:smallCaps w:val="false"/>
          <w:sz w:val="20"/>
        </w:rPr>
        <w:t>0.000000069 shares of common stock for each share of Preferred Stock based on a price of $</w:t>
      </w:r>
      <w:bookmarkStart w:id="664" w:name="xdx_90A_ecustom--ConvertiblePreferredSto"/>
      <w:bookmarkEnd w:id="664"/>
      <w:r>
        <w:rPr>
          <w:rFonts w:ascii="Times New Roman;Times;Serif" w:hAnsi="Times New Roman;Times;Serif"/>
          <w:b w:val="false"/>
          <w:i w:val="false"/>
          <w:caps w:val="false"/>
          <w:smallCaps w:val="false"/>
          <w:sz w:val="20"/>
        </w:rPr>
        <w:t xml:space="preserve">142,128,000 per share. The Company has reserved </w:t>
      </w:r>
      <w:bookmarkStart w:id="665" w:name="xdx_90D_eus-gaap--CommonStockCapitalShar"/>
      <w:bookmarkEnd w:id="665"/>
      <w:r>
        <w:rPr>
          <w:rFonts w:ascii="Times New Roman;Times;Serif" w:hAnsi="Times New Roman;Times;Serif"/>
          <w:b w:val="false"/>
          <w:i w:val="false"/>
          <w:caps w:val="false"/>
          <w:smallCaps w:val="false"/>
          <w:sz w:val="20"/>
        </w:rPr>
        <w:t>6 shares of common stock for issuance upon conversion of the remaining shares of Preferred Stock outstanding at December 31, 2025. The shares of previously converted Preferred Stock have been retired, cancelled and restored to the status of authorized but unissued shares of preferred stock, subject to reissuance by the Board of Directors as shares of Preferred Stock of one or more series.</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automatically convert the Preferred Stock into common stock if the closing price of the Company’s common stock has exceeded $</w:t>
      </w:r>
      <w:bookmarkStart w:id="666" w:name="xdx_90B_eus-gaap--ConversionOfStockAmoun"/>
      <w:bookmarkEnd w:id="666"/>
      <w:r>
        <w:rPr>
          <w:rFonts w:ascii="Times New Roman;Times;Serif" w:hAnsi="Times New Roman;Times;Serif"/>
          <w:b w:val="false"/>
          <w:i w:val="false"/>
          <w:caps w:val="false"/>
          <w:smallCaps w:val="false"/>
          <w:sz w:val="20"/>
        </w:rPr>
        <w:t xml:space="preserve">213,192,000, which is </w:t>
      </w:r>
      <w:bookmarkStart w:id="667" w:name="xdx_90A_eus-gaap--DebtInstrumentRedempti"/>
      <w:bookmarkEnd w:id="667"/>
      <w:r>
        <w:rPr>
          <w:rFonts w:ascii="Times New Roman;Times;Serif" w:hAnsi="Times New Roman;Times;Serif"/>
          <w:b w:val="false"/>
          <w:i w:val="false"/>
          <w:caps w:val="false"/>
          <w:smallCaps w:val="false"/>
          <w:sz w:val="20"/>
        </w:rPr>
        <w:t xml:space="preserve">150% of the conversion price of the Preferred Stock, for at least </w:t>
      </w:r>
      <w:bookmarkStart w:id="668" w:name="xdx_90F_ecustom--PreferredStockConversio"/>
      <w:bookmarkEnd w:id="668"/>
      <w:r>
        <w:rPr>
          <w:rFonts w:ascii="Times New Roman;Times;Serif" w:hAnsi="Times New Roman;Times;Serif"/>
          <w:b w:val="false"/>
          <w:i w:val="false"/>
          <w:caps w:val="false"/>
          <w:smallCaps w:val="false"/>
          <w:sz w:val="20"/>
        </w:rPr>
        <w:t xml:space="preserve">20 trading days during any </w:t>
      </w:r>
      <w:bookmarkStart w:id="669" w:name="xdx_905_ecustom--PreferredStockConversio"/>
      <w:bookmarkEnd w:id="669"/>
      <w:r>
        <w:rPr>
          <w:rFonts w:ascii="Times New Roman;Times;Serif" w:hAnsi="Times New Roman;Times;Serif"/>
          <w:b w:val="false"/>
          <w:i w:val="false"/>
          <w:caps w:val="false"/>
          <w:smallCaps w:val="false"/>
          <w:sz w:val="20"/>
        </w:rPr>
        <w:t>30-day trading period, ending within five</w:t>
      </w:r>
      <w:bookmarkStart w:id="670" w:name="xdx_90B_ecustom--PreferredStockConversio"/>
      <w:bookmarkEnd w:id="670"/>
      <w:r>
        <w:rPr>
          <w:rFonts w:ascii="Times New Roman;Times;Serif" w:hAnsi="Times New Roman;Times;Serif"/>
          <w:b w:val="false"/>
          <w:i w:val="false"/>
          <w:caps w:val="false"/>
          <w:smallCaps w:val="false"/>
          <w:sz w:val="20"/>
        </w:rPr>
        <w:t>5 trading days prior to notice of automatic conversion.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governing the Preferred Stock provides that if the Company fails to pay dividends on its Preferred Stock for six quarterly periods, holders of Preferred Stock are entitled to nominate and elect two directors to the Company’s Board of Directors. This right accrued to the holders of Preferred Stock as of August 2, 2010 and two directors were nominated and elected at the annual meeting held on May 24, 2011.</w:t>
      </w:r>
    </w:p>
    <w:p>
      <w:pPr>
        <w:pStyle w:val="TextBody"/>
        <w:bidi w:val="0"/>
        <w:spacing w:before="0" w:after="0"/>
        <w:ind w:left="20" w:right="0" w:firstLine="221"/>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has no maturity date and no voting rights prior to conversion into common stock, except under limited circumstances.</w:t>
      </w:r>
    </w:p>
    <w:p>
      <w:pPr>
        <w:pStyle w:val="TextBody"/>
        <w:bidi w:val="0"/>
        <w:spacing w:before="0" w:after="0"/>
        <w:ind w:left="24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its option, redeem the Preferred Stock in whole or in part, out of funds legally available at the redemption price of $</w:t>
      </w:r>
      <w:bookmarkStart w:id="671" w:name="xdx_904_eus-gaap--PreferredStockRedempti"/>
      <w:bookmarkEnd w:id="671"/>
      <w:r>
        <w:rPr>
          <w:rFonts w:ascii="Times New Roman;Times;Serif" w:hAnsi="Times New Roman;Times;Serif"/>
          <w:b w:val="false"/>
          <w:i w:val="false"/>
          <w:caps w:val="false"/>
          <w:smallCaps w:val="false"/>
          <w:sz w:val="20"/>
        </w:rPr>
        <w:t>10.00 per share.</w:t>
      </w:r>
    </w:p>
    <w:p>
      <w:pPr>
        <w:pStyle w:val="TextBody"/>
        <w:bidi w:val="0"/>
        <w:spacing w:before="0" w:after="0"/>
        <w:ind w:left="24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Stock is exchangeable, in whole but not in part, at the option of the Company on any dividend payment date beginning on November 1, 2005, or Exchange Date for the Company’s </w:t>
      </w:r>
      <w:bookmarkStart w:id="672" w:name="xdx_906_eus-gaap--PreferredStockDividend"/>
      <w:bookmarkEnd w:id="672"/>
      <w:r>
        <w:rPr>
          <w:rFonts w:ascii="Times New Roman;Times;Serif" w:hAnsi="Times New Roman;Times;Serif"/>
          <w:b w:val="false"/>
          <w:i w:val="false"/>
          <w:caps w:val="false"/>
          <w:smallCaps w:val="false"/>
          <w:sz w:val="20"/>
        </w:rPr>
        <w:t>6% Convertible Subordinated Debentures, or Debentures at the rate of $</w:t>
      </w:r>
      <w:bookmarkStart w:id="673" w:name="xdx_90A_eus-gaap--PreferredStockRedempti"/>
      <w:bookmarkEnd w:id="673"/>
      <w:r>
        <w:rPr>
          <w:rFonts w:ascii="Times New Roman;Times;Serif" w:hAnsi="Times New Roman;Times;Serif"/>
          <w:b w:val="false"/>
          <w:i w:val="false"/>
          <w:caps w:val="false"/>
          <w:smallCaps w:val="false"/>
          <w:sz w:val="20"/>
        </w:rPr>
        <w:t xml:space="preserve">10.00 principal amount of Debentures for each share of Preferred Stock. The Debentures, if issued, will mature </w:t>
      </w:r>
      <w:bookmarkStart w:id="674" w:name="xdx_90E_eus-gaap--DebtInstrumentTerm_dtY"/>
      <w:bookmarkEnd w:id="674"/>
      <w:r>
        <w:rPr>
          <w:rFonts w:ascii="Times New Roman;Times;Serif" w:hAnsi="Times New Roman;Times;Serif"/>
          <w:b w:val="false"/>
          <w:i w:val="false"/>
          <w:caps w:val="false"/>
          <w:smallCaps w:val="false"/>
          <w:sz w:val="20"/>
        </w:rPr>
        <w:t>25 years after the Exchange Date and have terms substantially similar to those of the Preferred Stock. No such exchanges have taken place as of December 31, 2025.</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2024, the company passed a resolution to suspend payment of the quarterly cash dividend on the Company’s </w:t>
      </w:r>
      <w:bookmarkStart w:id="675" w:name="xdx_906_eus-gaap--PreferredStockDividend"/>
      <w:bookmarkEnd w:id="675"/>
      <w:r>
        <w:rPr>
          <w:rFonts w:ascii="Times New Roman;Times;Serif" w:hAnsi="Times New Roman;Times;Serif"/>
          <w:b w:val="false"/>
          <w:i w:val="false"/>
          <w:caps w:val="false"/>
          <w:smallCaps w:val="false"/>
          <w:sz w:val="20"/>
        </w:rPr>
        <w:t>6% Convertible Exchangeable Preferred Stock (the “Preferred Stock”) scheduled for February 1, 2025.</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6" w:name="xdx_80D_eus-gaap--DisclosureOfCompensati"/>
      <w:bookmarkEnd w:id="676"/>
      <w:r>
        <w:rPr>
          <w:rFonts w:ascii="Times New Roman;Times;Serif" w:hAnsi="Times New Roman;Times;Serif"/>
          <w:b/>
          <w:i w:val="false"/>
          <w:caps w:val="false"/>
          <w:smallCaps w:val="false"/>
          <w:sz w:val="20"/>
        </w:rPr>
        <w:t xml:space="preserve">15. </w:t>
      </w:r>
      <w:bookmarkStart w:id="677" w:name="xdx_824_zcqFvX2LsdCb"/>
      <w:bookmarkEnd w:id="677"/>
      <w:r>
        <w:rPr>
          <w:rFonts w:ascii="Times New Roman;Times;Serif" w:hAnsi="Times New Roman;Times;Serif"/>
          <w:b/>
          <w:i w:val="false"/>
          <w:caps w:val="false"/>
          <w:smallCaps w:val="false"/>
          <w:sz w:val="20"/>
        </w:rPr>
        <w:t>Stock-Based Compensation</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78" w:name="xdx_896_eus-gaap--ScheduleOfEmployeeServ"/>
      <w:bookmarkEnd w:id="678"/>
      <w:r>
        <w:rPr>
          <w:rFonts w:ascii="Times New Roman;Times;Serif" w:hAnsi="Times New Roman;Times;Serif"/>
          <w:b w:val="false"/>
          <w:i w:val="false"/>
          <w:caps w:val="false"/>
          <w:smallCaps w:val="false"/>
          <w:sz w:val="20"/>
        </w:rPr>
        <w:t>Stock based compensation has been reported within expense line items on the consolidated statement of operations for the years ended 2025 and 2024 as shown in the following table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679" w:name="xdx_8BA_zWddmSdXuKSb"/>
      <w:bookmarkEnd w:id="679"/>
      <w:r>
        <w:rPr>
          <w:rFonts w:ascii="Times New Roman;Times;Serif" w:hAnsi="Times New Roman;Times;Serif"/>
          <w:b w:val="false"/>
          <w:i w:val="false"/>
          <w:caps w:val="false"/>
          <w:smallCaps w:val="false"/>
          <w:sz w:val="20"/>
        </w:rPr>
        <w:t>Schedule of Stock Based Compensation Expense </w:t>
      </w:r>
    </w:p>
    <w:tbl>
      <w:tblPr>
        <w:tblW w:w="4627" w:type="dxa"/>
        <w:jc w:val="left"/>
        <w:tblInd w:w="0" w:type="dxa"/>
        <w:tblLayout w:type="fixed"/>
        <w:tblCellMar>
          <w:top w:w="0" w:type="dxa"/>
          <w:left w:w="0" w:type="dxa"/>
          <w:bottom w:w="0" w:type="dxa"/>
          <w:right w:w="0" w:type="dxa"/>
        </w:tblCellMar>
      </w:tblPr>
      <w:tblGrid>
        <w:gridCol w:w="3080"/>
        <w:gridCol w:w="60"/>
        <w:gridCol w:w="147"/>
        <w:gridCol w:w="591"/>
        <w:gridCol w:w="63"/>
        <w:gridCol w:w="63"/>
        <w:gridCol w:w="147"/>
        <w:gridCol w:w="401"/>
        <w:gridCol w:w="75"/>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0" w:name="xdx_49E_20250101__20251231_z1kX5Oliz6X9"/>
            <w:bookmarkEnd w:id="680"/>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681" w:name="xdx_49F_20240101__20241231_zSrKqP2jQgFi"/>
            <w:bookmarkEnd w:id="681"/>
          </w:p>
        </w:tc>
        <w:tc>
          <w:tcPr>
            <w:tcW w:w="5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vAlign w:val="center"/>
          </w:tcPr>
          <w:p>
            <w:pPr>
              <w:pStyle w:val="TableContents"/>
              <w:bidi w:val="0"/>
              <w:spacing w:before="0" w:after="283"/>
              <w:jc w:val="center"/>
              <w:rPr>
                <w:b/>
              </w:rPr>
            </w:pPr>
            <w:r>
              <w:rPr>
                <w:b/>
              </w:rPr>
              <w:t>Year Ended</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682" w:name="xdx_407_eus-gaap--AllocatedShareBasedCom"/>
            <w:bookmarkEnd w:id="682"/>
          </w:p>
        </w:tc>
      </w:tr>
      <w:tr>
        <w:trPr/>
        <w:tc>
          <w:tcPr>
            <w:tcW w:w="308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2,297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401" w:type="dxa"/>
            <w:tcBorders/>
            <w:shd w:fill="CCEEFF" w:val="clear"/>
            <w:vAlign w:val="center"/>
          </w:tcPr>
          <w:p>
            <w:pPr>
              <w:pStyle w:val="TableContents"/>
              <w:bidi w:val="0"/>
              <w:spacing w:before="0" w:after="283"/>
              <w:jc w:val="right"/>
              <w:rPr/>
            </w:pPr>
            <w:r>
              <w:rPr/>
              <w:t>498</w:t>
            </w:r>
          </w:p>
        </w:tc>
        <w:tc>
          <w:tcPr>
            <w:tcW w:w="75" w:type="dxa"/>
            <w:tcBorders/>
            <w:shd w:fill="CCEEFF" w:val="clear"/>
            <w:vAlign w:val="center"/>
          </w:tcPr>
          <w:p>
            <w:pPr>
              <w:pStyle w:val="TableContents"/>
              <w:bidi w:val="0"/>
              <w:spacing w:before="0" w:after="283"/>
              <w:jc w:val="left"/>
              <w:rPr/>
            </w:pPr>
            <w:r>
              <w:rPr/>
              <w:t> </w:t>
            </w:r>
            <w:bookmarkStart w:id="683" w:name="xdx_40A_eus-gaap--AllocatedShareBasedCom"/>
            <w:bookmarkEnd w:id="683"/>
          </w:p>
        </w:tc>
      </w:tr>
      <w:tr>
        <w:trPr/>
        <w:tc>
          <w:tcPr>
            <w:tcW w:w="308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1" w:type="dxa"/>
            <w:tcBorders>
              <w:bottom w:val="single" w:sz="8" w:space="0" w:color="000000"/>
            </w:tcBorders>
            <w:shd w:fill="FFFFFF" w:val="clear"/>
            <w:tcMar>
              <w:bottom w:w="28" w:type="dxa"/>
            </w:tcMar>
            <w:vAlign w:val="center"/>
          </w:tcPr>
          <w:p>
            <w:pPr>
              <w:pStyle w:val="TableContents"/>
              <w:bidi w:val="0"/>
              <w:spacing w:before="0" w:after="283"/>
              <w:jc w:val="right"/>
              <w:rPr/>
            </w:pPr>
            <w:r>
              <w:rPr/>
              <w:t>37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01" w:type="dxa"/>
            <w:tcBorders>
              <w:bottom w:val="single" w:sz="8" w:space="0" w:color="000000"/>
            </w:tcBorders>
            <w:shd w:fill="FFFFFF" w:val="clear"/>
            <w:tcMar>
              <w:bottom w:w="28" w:type="dxa"/>
            </w:tcMar>
            <w:vAlign w:val="center"/>
          </w:tcPr>
          <w:p>
            <w:pPr>
              <w:pStyle w:val="TableContents"/>
              <w:bidi w:val="0"/>
              <w:spacing w:before="0" w:after="283"/>
              <w:jc w:val="right"/>
              <w:rPr/>
            </w:pPr>
            <w:r>
              <w:rPr/>
              <w:t>94</w:t>
            </w:r>
          </w:p>
        </w:tc>
        <w:tc>
          <w:tcPr>
            <w:tcW w:w="75" w:type="dxa"/>
            <w:tcBorders/>
            <w:shd w:fill="FFFFFF" w:val="clear"/>
            <w:vAlign w:val="center"/>
          </w:tcPr>
          <w:p>
            <w:pPr>
              <w:pStyle w:val="TableContents"/>
              <w:bidi w:val="0"/>
              <w:spacing w:before="0" w:after="283"/>
              <w:jc w:val="left"/>
              <w:rPr/>
            </w:pPr>
            <w:r>
              <w:rPr/>
              <w:t> </w:t>
            </w:r>
            <w:bookmarkStart w:id="684" w:name="xdx_40E_eus-gaap--AllocatedShareBasedCom"/>
            <w:bookmarkEnd w:id="684"/>
          </w:p>
        </w:tc>
      </w:tr>
      <w:tr>
        <w:trPr/>
        <w:tc>
          <w:tcPr>
            <w:tcW w:w="3080" w:type="dxa"/>
            <w:tcBorders/>
            <w:shd w:fill="CCEEFF" w:val="clear"/>
            <w:vAlign w:val="center"/>
          </w:tcPr>
          <w:p>
            <w:pPr>
              <w:pStyle w:val="TableContents"/>
              <w:bidi w:val="0"/>
              <w:spacing w:before="0" w:after="283"/>
              <w:jc w:val="left"/>
              <w:rPr/>
            </w:pPr>
            <w:r>
              <w:rPr/>
              <w:t>Stock-based compensation costs</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91" w:type="dxa"/>
            <w:tcBorders>
              <w:bottom w:val="double" w:sz="6" w:space="0" w:color="000000"/>
            </w:tcBorders>
            <w:shd w:fill="CCEEFF" w:val="clear"/>
            <w:tcMar>
              <w:bottom w:w="28" w:type="dxa"/>
            </w:tcMar>
            <w:vAlign w:val="center"/>
          </w:tcPr>
          <w:p>
            <w:pPr>
              <w:pStyle w:val="TableContents"/>
              <w:bidi w:val="0"/>
              <w:spacing w:before="0" w:after="283"/>
              <w:jc w:val="right"/>
              <w:rPr/>
            </w:pPr>
            <w:r>
              <w:rPr/>
              <w:t>2,334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01" w:type="dxa"/>
            <w:tcBorders>
              <w:bottom w:val="double" w:sz="6" w:space="0" w:color="000000"/>
            </w:tcBorders>
            <w:shd w:fill="CCEEFF" w:val="clear"/>
            <w:tcMar>
              <w:bottom w:w="28" w:type="dxa"/>
            </w:tcMar>
            <w:vAlign w:val="center"/>
          </w:tcPr>
          <w:p>
            <w:pPr>
              <w:pStyle w:val="TableContents"/>
              <w:bidi w:val="0"/>
              <w:spacing w:before="0" w:after="283"/>
              <w:jc w:val="right"/>
              <w:rPr/>
            </w:pPr>
            <w:r>
              <w:rPr/>
              <w:t>592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85" w:name="xdx_8A6_zhHhZ1jceQX"/>
      <w:bookmarkEnd w:id="685"/>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2018 Plan</w:t>
      </w:r>
    </w:p>
    <w:p>
      <w:pPr>
        <w:pStyle w:val="TextBody"/>
        <w:bidi w:val="0"/>
        <w:spacing w:before="0" w:after="0"/>
        <w:ind w:left="240" w:right="0" w:hanging="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2018, the Company’s stockholders approved the 2018 Equity Incentive Plan (the “2018 Plan”), under which Cyclacel may make equity incentive grants to its officers, employees, directors and consultants. The 2018 Plan allows for various types of award grants, including stock options and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6, 2025, the Company’s stockholders approved an amendment to the 2018 Plan to reserve an additional </w:t>
      </w:r>
      <w:bookmarkStart w:id="686" w:name="xdx_90F_eus-gaap--CommonStockCapitalShar"/>
      <w:bookmarkEnd w:id="686"/>
      <w:r>
        <w:rPr>
          <w:rFonts w:ascii="Times New Roman;Times;Serif" w:hAnsi="Times New Roman;Times;Serif"/>
          <w:b w:val="false"/>
          <w:i w:val="false"/>
          <w:caps w:val="false"/>
          <w:smallCaps w:val="false"/>
          <w:sz w:val="20"/>
        </w:rPr>
        <w:t xml:space="preserve">500,000 shares of Common Stock for issuance thereunder, which number would not be adjusted as a result of the Reverse Stock Split. On June 30, 2025, the Company’s stockholders approved another amendment to the 2028 Plan to reserve an additional </w:t>
      </w:r>
      <w:bookmarkStart w:id="687" w:name="xdx_90A_eus-gaap--SharesIssued_iI_pid_c2"/>
      <w:bookmarkEnd w:id="687"/>
      <w:r>
        <w:rPr>
          <w:rFonts w:ascii="Times New Roman;Times;Serif" w:hAnsi="Times New Roman;Times;Serif"/>
          <w:b w:val="false"/>
          <w:i w:val="false"/>
          <w:caps w:val="false"/>
          <w:smallCaps w:val="false"/>
          <w:sz w:val="20"/>
        </w:rPr>
        <w:t xml:space="preserve">4,281,987 shares of Common Stock for issuance thereunder. As of December 31, 2025, the Company has reserved approximately </w:t>
      </w:r>
      <w:bookmarkStart w:id="688" w:name="xdx_90C_eus-gaap--CommonStockCapitalShar"/>
      <w:bookmarkEnd w:id="688"/>
      <w:r>
        <w:rPr>
          <w:rFonts w:ascii="Times New Roman;Times;Serif" w:hAnsi="Times New Roman;Times;Serif"/>
          <w:b w:val="false"/>
          <w:i w:val="false"/>
          <w:caps w:val="false"/>
          <w:smallCaps w:val="false"/>
          <w:sz w:val="20"/>
        </w:rPr>
        <w:t>4,282,026 shares of the Company’s common stock under the 2018 Plan for future issuances.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 option awards granted under the Company’s equity incentive plans have a maximum life of </w:t>
      </w:r>
      <w:bookmarkStart w:id="689" w:name="xdx_908_eus-gaap--SharebasedCompensation"/>
      <w:bookmarkEnd w:id="689"/>
      <w:r>
        <w:rPr>
          <w:rFonts w:ascii="Times New Roman;Times;Serif" w:hAnsi="Times New Roman;Times;Serif"/>
          <w:b w:val="false"/>
          <w:i w:val="false"/>
          <w:caps w:val="false"/>
          <w:smallCaps w:val="false"/>
          <w:sz w:val="20"/>
        </w:rPr>
        <w:t xml:space="preserve">10 years and generally </w:t>
      </w:r>
      <w:bookmarkStart w:id="690" w:name="xdx_906_eus-gaap--ShareBasedCompensation"/>
      <w:bookmarkEnd w:id="690"/>
      <w:r>
        <w:rPr>
          <w:rFonts w:ascii="Times New Roman;Times;Serif" w:hAnsi="Times New Roman;Times;Serif"/>
          <w:b w:val="false"/>
          <w:i w:val="false"/>
          <w:caps w:val="false"/>
          <w:smallCaps w:val="false"/>
          <w:sz w:val="20"/>
        </w:rPr>
        <w:t>vest over a one to four-year period from the date of grant. Certain awards, though, vest immediately upon grant, including those granted in 2025, as discussed in further detail below.</w:t>
      </w:r>
    </w:p>
    <w:p>
      <w:pPr>
        <w:pStyle w:val="TextBody"/>
        <w:bidi w:val="0"/>
        <w:spacing w:before="0" w:after="0"/>
        <w:ind w:left="24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2020 Inducement Equity Incentive Plan</w:t>
      </w:r>
    </w:p>
    <w:p>
      <w:pPr>
        <w:pStyle w:val="TextBody"/>
        <w:bidi w:val="0"/>
        <w:spacing w:before="0" w:after="0"/>
        <w:ind w:left="24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2020, the Inducement Equity Incentive Plan (the “Inducement Plan”), became effective. Under the Inducement Plan, the Company may make equity incentive grants to new senior level Employees (persons to whom the Company may issue securities without stockholder approval). The Inducement Plan allows for the issuance of up to </w:t>
      </w:r>
      <w:bookmarkStart w:id="691" w:name="xdx_906_eus-gaap--ShareBasedCompensation"/>
      <w:bookmarkEnd w:id="691"/>
      <w:r>
        <w:rPr>
          <w:rFonts w:ascii="Times New Roman;Times;Serif" w:hAnsi="Times New Roman;Times;Serif"/>
          <w:b w:val="false"/>
          <w:i w:val="false"/>
          <w:caps w:val="false"/>
          <w:smallCaps w:val="false"/>
          <w:sz w:val="20"/>
        </w:rPr>
        <w:t xml:space="preserve">55 shares of the Company’s common stock (or the equivalent of such number). As of December 31, 2025, all </w:t>
      </w:r>
      <w:bookmarkStart w:id="692" w:name="xdx_90D_eus-gaap--StockIssuedDuringPerio"/>
      <w:bookmarkEnd w:id="692"/>
      <w:r>
        <w:rPr>
          <w:rFonts w:ascii="Times New Roman;Times;Serif" w:hAnsi="Times New Roman;Times;Serif"/>
          <w:b w:val="false"/>
          <w:i w:val="false"/>
          <w:caps w:val="false"/>
          <w:smallCaps w:val="false"/>
          <w:sz w:val="20"/>
        </w:rPr>
        <w:t>55 shares under the Inducement Plan are available for issuance.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Awards Granted Outside of the 2018 Plan and Inducement Plan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February 2025, the Company issued stock option awards to employees and consultants outside of the 2018 Plan and the Inducement Plan. The shares underlying these options are not registered for resale. All of the options granted outside of the 2018 Plan and Inducement Plan vest immediately upon grant and can be exercised beginning three months from the recipient’s Termination Date through the expiry of the option awards, which is ten years from the grant date. The Termination Date is defined as the date on which an award recipient ceases to be an employee, director or consultant of the Company or of an Affiliate for any reason other than the death or disability, or termination of the recipient for cause.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Grants and Exercises</w:t>
      </w:r>
    </w:p>
    <w:p>
      <w:pPr>
        <w:pStyle w:val="TextBody"/>
        <w:bidi w:val="0"/>
        <w:spacing w:before="0" w:after="0"/>
        <w:ind w:left="24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693" w:name="xdx_90F_eus-gaap--ShareBasedCompensation"/>
      <w:bookmarkEnd w:id="693"/>
      <w:r>
        <w:rPr>
          <w:rFonts w:ascii="Times New Roman;Times;Serif" w:hAnsi="Times New Roman;Times;Serif"/>
          <w:b w:val="false"/>
          <w:i w:val="false"/>
          <w:caps w:val="false"/>
          <w:smallCaps w:val="false"/>
          <w:sz w:val="20"/>
        </w:rPr>
        <w:t xml:space="preserve">24,812 options granted during the year ended December 31, 2025. Of these awards, </w:t>
      </w:r>
      <w:bookmarkStart w:id="694" w:name="xdx_90B_eus-gaap--ShareBasedCompensation"/>
      <w:bookmarkEnd w:id="694"/>
      <w:r>
        <w:rPr>
          <w:rFonts w:ascii="Times New Roman;Times;Serif" w:hAnsi="Times New Roman;Times;Serif"/>
          <w:b w:val="false"/>
          <w:i w:val="false"/>
          <w:caps w:val="false"/>
          <w:smallCaps w:val="false"/>
          <w:sz w:val="20"/>
        </w:rPr>
        <w:t>1,066 were issued under the 2018 Plan and the rest were issued outside of the 2018 Plan and the Inducement Plan. Options granted during the year ended December 31, 2025 had a grant date fair value ranging between $</w:t>
      </w:r>
      <w:bookmarkStart w:id="695" w:name="xdx_906_eus-gaap--ShareBasedCompensation"/>
      <w:bookmarkEnd w:id="695"/>
      <w:r>
        <w:rPr>
          <w:rFonts w:ascii="Times New Roman;Times;Serif" w:hAnsi="Times New Roman;Times;Serif"/>
          <w:b w:val="false"/>
          <w:i w:val="false"/>
          <w:caps w:val="false"/>
          <w:smallCaps w:val="false"/>
          <w:sz w:val="20"/>
        </w:rPr>
        <w:t>60.86 and $</w:t>
      </w:r>
      <w:bookmarkStart w:id="696" w:name="xdx_904_eus-gaap--ShareBasedCompensation"/>
      <w:bookmarkEnd w:id="696"/>
      <w:r>
        <w:rPr>
          <w:rFonts w:ascii="Times New Roman;Times;Serif" w:hAnsi="Times New Roman;Times;Serif"/>
          <w:b w:val="false"/>
          <w:i w:val="false"/>
          <w:caps w:val="false"/>
          <w:smallCaps w:val="false"/>
          <w:sz w:val="20"/>
        </w:rPr>
        <w:t>72.38 per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697" w:name="xdx_90B_eus-gaap--ShareBasedCompensation"/>
      <w:bookmarkEnd w:id="697"/>
      <w:r>
        <w:rPr>
          <w:rFonts w:ascii="Times New Roman;Times;Serif" w:hAnsi="Times New Roman;Times;Serif"/>
          <w:b w:val="false"/>
          <w:i w:val="false"/>
          <w:caps w:val="false"/>
          <w:smallCaps w:val="false"/>
          <w:sz w:val="20"/>
        </w:rPr>
        <w:t>52 options granted under the 2018 Plan during the year ended December 31, 2024. These options had a grant date fair value of $</w:t>
      </w:r>
      <w:bookmarkStart w:id="698" w:name="xdx_907_eus-gaap--ShareBasedCompensation"/>
      <w:bookmarkEnd w:id="698"/>
      <w:r>
        <w:rPr>
          <w:rFonts w:ascii="Times New Roman;Times;Serif" w:hAnsi="Times New Roman;Times;Serif"/>
          <w:b w:val="false"/>
          <w:i w:val="false"/>
          <w:caps w:val="false"/>
          <w:smallCaps w:val="false"/>
          <w:sz w:val="20"/>
        </w:rPr>
        <w:t>424.80 per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699" w:name="xdx_89E_eus-gaap--ScheduleOfShareBasedPa"/>
      <w:bookmarkEnd w:id="699"/>
      <w:r>
        <w:rPr>
          <w:rFonts w:ascii="Times New Roman;Times;Serif" w:hAnsi="Times New Roman;Times;Serif"/>
          <w:b w:val="false"/>
          <w:i w:val="false"/>
          <w:caps w:val="false"/>
          <w:smallCaps w:val="false"/>
          <w:sz w:val="20"/>
        </w:rPr>
        <w:t>The fair value of the stock options granted is calculated using the Black-Scholes option-pricing model as prescribed by ASC 718 using the following assumptions: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00" w:name="xdx_8BD_zY9L2zev1xxb"/>
      <w:bookmarkEnd w:id="700"/>
      <w:r>
        <w:rPr>
          <w:rFonts w:ascii="Times New Roman;Times;Serif" w:hAnsi="Times New Roman;Times;Serif"/>
          <w:b w:val="false"/>
          <w:i w:val="false"/>
          <w:caps w:val="false"/>
          <w:smallCaps w:val="false"/>
          <w:sz w:val="20"/>
        </w:rPr>
        <w:t>Schedule of Assumptions Used for Fair Value of the Stock Options Granted Using Black-Scholes Option-Pricing Model </w:t>
      </w:r>
    </w:p>
    <w:tbl>
      <w:tblPr>
        <w:tblW w:w="9068" w:type="dxa"/>
        <w:jc w:val="left"/>
        <w:tblInd w:w="0" w:type="dxa"/>
        <w:tblLayout w:type="fixed"/>
        <w:tblCellMar>
          <w:top w:w="0" w:type="dxa"/>
          <w:left w:w="0" w:type="dxa"/>
          <w:bottom w:w="0" w:type="dxa"/>
          <w:right w:w="0" w:type="dxa"/>
        </w:tblCellMar>
      </w:tblPr>
      <w:tblGrid>
        <w:gridCol w:w="4595"/>
        <w:gridCol w:w="60"/>
        <w:gridCol w:w="164"/>
        <w:gridCol w:w="1790"/>
        <w:gridCol w:w="215"/>
        <w:gridCol w:w="60"/>
        <w:gridCol w:w="332"/>
        <w:gridCol w:w="1622"/>
        <w:gridCol w:w="230"/>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Year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center"/>
              <w:rPr>
                <w:b/>
              </w:rPr>
            </w:pPr>
            <w:r>
              <w:rPr>
                <w:b/>
              </w:rPr>
              <w:t>Year ended</w:t>
            </w:r>
          </w:p>
        </w:tc>
        <w:tc>
          <w:tcPr>
            <w:tcW w:w="230"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23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Expected term (years)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right"/>
              <w:rPr>
                <w:rFonts w:ascii="Times New Roman;Times;Serif" w:hAnsi="Times New Roman;Times;Serif"/>
                <w:sz w:val="20"/>
              </w:rPr>
            </w:pPr>
            <w:bookmarkStart w:id="701" w:name="xdx_903_eus-gaap--SharebasedCompensation"/>
            <w:bookmarkEnd w:id="701"/>
            <w:r>
              <w:rPr>
                <w:rFonts w:ascii="Times New Roman;Times;Serif" w:hAnsi="Times New Roman;Times;Serif"/>
                <w:sz w:val="20"/>
              </w:rPr>
              <w:t xml:space="preserve">5 - </w:t>
            </w:r>
            <w:bookmarkStart w:id="702" w:name="xdx_90E_eus-gaap--SharebasedCompensation"/>
            <w:bookmarkEnd w:id="702"/>
            <w:r>
              <w:rPr>
                <w:rFonts w:ascii="Times New Roman;Times;Serif" w:hAnsi="Times New Roman;Times;Serif"/>
                <w:sz w:val="20"/>
              </w:rPr>
              <w:t>10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bookmarkStart w:id="703" w:name="xdx_904_eus-gaap--SharebasedCompensation"/>
            <w:bookmarkEnd w:id="703"/>
            <w:r>
              <w:rPr/>
              <w:t>6</w:t>
            </w:r>
          </w:p>
        </w:tc>
        <w:tc>
          <w:tcPr>
            <w:tcW w:w="230" w:type="dxa"/>
            <w:tcBorders/>
            <w:shd w:fill="CCEEFF" w:val="clear"/>
            <w:vAlign w:val="center"/>
          </w:tcPr>
          <w:p>
            <w:pPr>
              <w:pStyle w:val="TableContents"/>
              <w:bidi w:val="0"/>
              <w:spacing w:before="0" w:after="283"/>
              <w:jc w:val="left"/>
              <w:rPr/>
            </w:pPr>
            <w:r>
              <w:rPr/>
              <w:t> </w:t>
            </w:r>
          </w:p>
        </w:tc>
      </w:tr>
      <w:tr>
        <w:trPr/>
        <w:tc>
          <w:tcPr>
            <w:tcW w:w="4595" w:type="dxa"/>
            <w:tcBorders/>
            <w:shd w:fill="FFFFFF" w:val="clear"/>
            <w:vAlign w:val="center"/>
          </w:tcPr>
          <w:p>
            <w:pPr>
              <w:pStyle w:val="TableContents"/>
              <w:bidi w:val="0"/>
              <w:spacing w:before="0" w:after="283"/>
              <w:jc w:val="left"/>
              <w:rPr/>
            </w:pPr>
            <w:r>
              <w:rPr/>
              <w:t>Risk free interest rate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790" w:type="dxa"/>
            <w:tcBorders/>
            <w:shd w:fill="FFFFFF" w:val="clear"/>
            <w:vAlign w:val="center"/>
          </w:tcPr>
          <w:p>
            <w:pPr>
              <w:pStyle w:val="TableContents"/>
              <w:bidi w:val="0"/>
              <w:spacing w:before="0" w:after="283"/>
              <w:jc w:val="right"/>
              <w:rPr>
                <w:rFonts w:ascii="Times New Roman;Times;Serif" w:hAnsi="Times New Roman;Times;Serif"/>
                <w:sz w:val="20"/>
              </w:rPr>
            </w:pPr>
            <w:bookmarkStart w:id="704" w:name="xdx_908_eus-gaap--ShareBasedCompensation"/>
            <w:bookmarkEnd w:id="704"/>
            <w:r>
              <w:rPr>
                <w:rFonts w:ascii="Times New Roman;Times;Serif" w:hAnsi="Times New Roman;Times;Serif"/>
                <w:sz w:val="20"/>
              </w:rPr>
              <w:t>4.060%  – </w:t>
            </w:r>
            <w:bookmarkStart w:id="705" w:name="xdx_90E_eus-gaap--ShareBasedCompensation"/>
            <w:bookmarkEnd w:id="705"/>
            <w:r>
              <w:rPr>
                <w:rFonts w:ascii="Times New Roman;Times;Serif" w:hAnsi="Times New Roman;Times;Serif"/>
                <w:sz w:val="20"/>
              </w:rPr>
              <w:t>4.250%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pPr>
            <w:bookmarkStart w:id="706" w:name="xdx_903_eus-gaap--ShareBasedCompensation"/>
            <w:bookmarkEnd w:id="706"/>
            <w:r>
              <w:rPr/>
              <w:t>3.995</w:t>
            </w:r>
          </w:p>
        </w:tc>
        <w:tc>
          <w:tcPr>
            <w:tcW w:w="23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pPr>
            <w:r>
              <w:rPr/>
              <w:t>Volatility</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right"/>
              <w:rPr>
                <w:rFonts w:ascii="Times New Roman;Times;Serif" w:hAnsi="Times New Roman;Times;Serif"/>
                <w:sz w:val="20"/>
              </w:rPr>
            </w:pPr>
            <w:bookmarkStart w:id="707" w:name="xdx_90E_eus-gaap--ShareBasedCompensation"/>
            <w:bookmarkEnd w:id="707"/>
            <w:r>
              <w:rPr>
                <w:rFonts w:ascii="Times New Roman;Times;Serif" w:hAnsi="Times New Roman;Times;Serif"/>
                <w:sz w:val="20"/>
              </w:rPr>
              <w:t>100% – </w:t>
            </w:r>
            <w:bookmarkStart w:id="708" w:name="xdx_90D_eus-gaap--ShareBasedCompensation"/>
            <w:bookmarkEnd w:id="708"/>
            <w:r>
              <w:rPr>
                <w:rFonts w:ascii="Times New Roman;Times;Serif" w:hAnsi="Times New Roman;Times;Serif"/>
                <w:sz w:val="20"/>
              </w:rPr>
              <w:t>107%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622" w:type="dxa"/>
            <w:tcBorders/>
            <w:shd w:fill="CCEEFF" w:val="clear"/>
            <w:vAlign w:val="center"/>
          </w:tcPr>
          <w:p>
            <w:pPr>
              <w:pStyle w:val="TableContents"/>
              <w:bidi w:val="0"/>
              <w:spacing w:before="0" w:after="283"/>
              <w:jc w:val="right"/>
              <w:rPr/>
            </w:pPr>
            <w:bookmarkStart w:id="709" w:name="xdx_908_eus-gaap--ShareBasedCompensation"/>
            <w:bookmarkEnd w:id="709"/>
            <w:r>
              <w:rPr/>
              <w:t>93</w:t>
            </w:r>
          </w:p>
        </w:tc>
        <w:tc>
          <w:tcPr>
            <w:tcW w:w="230" w:type="dxa"/>
            <w:tcBorders/>
            <w:shd w:fill="CCEEFF" w:val="clear"/>
            <w:vAlign w:val="center"/>
          </w:tcPr>
          <w:p>
            <w:pPr>
              <w:pStyle w:val="TableContents"/>
              <w:bidi w:val="0"/>
              <w:spacing w:before="0" w:after="283"/>
              <w:jc w:val="left"/>
              <w:rPr/>
            </w:pPr>
            <w:r>
              <w:rPr/>
              <w:t>%</w:t>
            </w:r>
          </w:p>
        </w:tc>
      </w:tr>
      <w:tr>
        <w:trPr/>
        <w:tc>
          <w:tcPr>
            <w:tcW w:w="4595" w:type="dxa"/>
            <w:tcBorders/>
            <w:shd w:fill="FFFFFF" w:val="clear"/>
            <w:vAlign w:val="center"/>
          </w:tcPr>
          <w:p>
            <w:pPr>
              <w:pStyle w:val="TableContents"/>
              <w:bidi w:val="0"/>
              <w:spacing w:before="0" w:after="283"/>
              <w:jc w:val="left"/>
              <w:rPr/>
            </w:pPr>
            <w:r>
              <w:rPr/>
              <w:t>Expected dividend yield over expected term</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790" w:type="dxa"/>
            <w:tcBorders/>
            <w:shd w:fill="FFFFFF" w:val="clear"/>
            <w:vAlign w:val="center"/>
          </w:tcPr>
          <w:p>
            <w:pPr>
              <w:pStyle w:val="TableContents"/>
              <w:bidi w:val="0"/>
              <w:spacing w:before="0" w:after="283"/>
              <w:jc w:val="right"/>
              <w:rPr/>
            </w:pPr>
            <w:bookmarkStart w:id="710" w:name="xdx_901_eus-gaap--ShareBasedCompensation"/>
            <w:bookmarkEnd w:id="710"/>
            <w:r>
              <w:rPr/>
              <w:t>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622" w:type="dxa"/>
            <w:tcBorders/>
            <w:shd w:fill="FFFFFF" w:val="clear"/>
            <w:vAlign w:val="center"/>
          </w:tcPr>
          <w:p>
            <w:pPr>
              <w:pStyle w:val="TableContents"/>
              <w:bidi w:val="0"/>
              <w:spacing w:before="0" w:after="283"/>
              <w:jc w:val="right"/>
              <w:rPr/>
            </w:pPr>
            <w:bookmarkStart w:id="711" w:name="xdx_90E_eus-gaap--ShareBasedCompensation"/>
            <w:bookmarkEnd w:id="711"/>
            <w:r>
              <w:rPr/>
              <w:t>0.00</w:t>
            </w:r>
          </w:p>
        </w:tc>
        <w:tc>
          <w:tcPr>
            <w:tcW w:w="230" w:type="dxa"/>
            <w:tcBorders/>
            <w:shd w:fill="FFFFFF" w:val="clear"/>
            <w:vAlign w:val="center"/>
          </w:tcPr>
          <w:p>
            <w:pPr>
              <w:pStyle w:val="TableContents"/>
              <w:bidi w:val="0"/>
              <w:spacing w:before="0" w:after="283"/>
              <w:jc w:val="left"/>
              <w:rPr/>
            </w:pPr>
            <w:r>
              <w:rPr/>
              <w:t>%</w:t>
            </w:r>
          </w:p>
        </w:tc>
      </w:tr>
      <w:tr>
        <w:trPr/>
        <w:tc>
          <w:tcPr>
            <w:tcW w:w="4595" w:type="dxa"/>
            <w:tcBorders/>
            <w:shd w:fill="CCEEFF" w:val="clear"/>
            <w:vAlign w:val="center"/>
          </w:tcPr>
          <w:p>
            <w:pPr>
              <w:pStyle w:val="TableContents"/>
              <w:bidi w:val="0"/>
              <w:spacing w:before="0" w:after="283"/>
              <w:jc w:val="left"/>
              <w:rPr/>
            </w:pPr>
            <w:r>
              <w:rPr/>
              <w:t>Resulting weighted average grant date fair value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790" w:type="dxa"/>
            <w:tcBorders/>
            <w:shd w:fill="CCEEFF" w:val="clear"/>
            <w:vAlign w:val="center"/>
          </w:tcPr>
          <w:p>
            <w:pPr>
              <w:pStyle w:val="TableContents"/>
              <w:bidi w:val="0"/>
              <w:spacing w:before="0" w:after="283"/>
              <w:jc w:val="right"/>
              <w:rPr/>
            </w:pPr>
            <w:bookmarkStart w:id="712" w:name="xdx_90D_ecustom--ShareBasedCompensationA"/>
            <w:bookmarkEnd w:id="712"/>
            <w:r>
              <w:rPr/>
              <w:t>70.79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w:t>
            </w:r>
          </w:p>
        </w:tc>
        <w:tc>
          <w:tcPr>
            <w:tcW w:w="1622" w:type="dxa"/>
            <w:tcBorders/>
            <w:shd w:fill="CCEEFF" w:val="clear"/>
            <w:vAlign w:val="center"/>
          </w:tcPr>
          <w:p>
            <w:pPr>
              <w:pStyle w:val="TableContents"/>
              <w:bidi w:val="0"/>
              <w:spacing w:before="0" w:after="283"/>
              <w:jc w:val="right"/>
              <w:rPr/>
            </w:pPr>
            <w:bookmarkStart w:id="713" w:name="xdx_902_ecustom--ShareBasedCompensationA"/>
            <w:bookmarkEnd w:id="713"/>
            <w:r>
              <w:rPr/>
              <w:t>424.80</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14" w:name="xdx_8AD_zJs65MdWeFZc"/>
      <w:bookmarkEnd w:id="714"/>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were </w:t>
      </w:r>
      <w:bookmarkStart w:id="715" w:name="xdx_90D_eus-gaap--StockIssuedDuringPerio"/>
      <w:bookmarkStart w:id="716" w:name="xdx_90E_eus-gaap--StockIssuedDuringPerio"/>
      <w:bookmarkEnd w:id="715"/>
      <w:bookmarkEnd w:id="716"/>
      <w:r>
        <w:rPr>
          <w:rFonts w:ascii="Times New Roman;Times;Serif" w:hAnsi="Times New Roman;Times;Serif"/>
          <w:b w:val="false"/>
          <w:i w:val="false"/>
          <w:caps w:val="false"/>
          <w:smallCaps w:val="false"/>
          <w:sz w:val="20"/>
        </w:rPr>
        <w:t>no stock options exercised during each of the years ended December 31, 2025 and 2024, respectively. The Company does not expect to be able to benefit from the deduction for stock option exercises that may occur because the company has tax loss carryforwards from prior periods that would be expected to offset any potential taxable income.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total remaining unrecognized compensation cost related to all outstanding awards with service conditions is less than $</w:t>
      </w:r>
      <w:bookmarkStart w:id="717" w:name="xdx_907_eus-gaap--EmployeeServiceShareBa"/>
      <w:bookmarkEnd w:id="717"/>
      <w:r>
        <w:rPr>
          <w:rFonts w:ascii="Times New Roman;Times;Serif" w:hAnsi="Times New Roman;Times;Serif"/>
          <w:b w:val="false"/>
          <w:i w:val="false"/>
          <w:caps w:val="false"/>
          <w:smallCaps w:val="false"/>
          <w:sz w:val="20"/>
        </w:rPr>
        <w:t xml:space="preserve">1,500 and will be amortized over an approximate remaining requisite service period of </w:t>
      </w:r>
      <w:bookmarkStart w:id="718" w:name="xdx_900_eus-gaap--EmployeeServiceShareBa"/>
      <w:bookmarkEnd w:id="718"/>
      <w:r>
        <w:rPr>
          <w:rFonts w:ascii="Times New Roman;Times;Serif" w:hAnsi="Times New Roman;Times;Serif"/>
          <w:b w:val="false"/>
          <w:i w:val="false"/>
          <w:caps w:val="false"/>
          <w:smallCaps w:val="false"/>
          <w:sz w:val="20"/>
        </w:rPr>
        <w:t>0.50 years.</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Outstanding Options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19" w:name="xdx_89A_eus-gaap--ScheduleOfShareBasedCo"/>
      <w:bookmarkEnd w:id="719"/>
      <w:r>
        <w:rPr>
          <w:rFonts w:ascii="Times New Roman;Times;Serif" w:hAnsi="Times New Roman;Times;Serif"/>
          <w:b w:val="false"/>
          <w:i w:val="false"/>
          <w:caps w:val="false"/>
          <w:smallCaps w:val="false"/>
          <w:sz w:val="20"/>
        </w:rPr>
        <w:t>A summary of the share option activity and related information is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20" w:name="xdx_8B9_zcpWlOs31Iyf"/>
      <w:bookmarkEnd w:id="720"/>
      <w:r>
        <w:rPr>
          <w:rFonts w:ascii="Times New Roman;Times;Serif" w:hAnsi="Times New Roman;Times;Serif"/>
          <w:b w:val="false"/>
          <w:i w:val="false"/>
          <w:caps w:val="false"/>
          <w:smallCaps w:val="false"/>
          <w:sz w:val="20"/>
        </w:rPr>
        <w:t>Schedule of Share Option Activity </w:t>
      </w:r>
    </w:p>
    <w:tbl>
      <w:tblPr>
        <w:tblW w:w="10205" w:type="dxa"/>
        <w:jc w:val="left"/>
        <w:tblInd w:w="0" w:type="dxa"/>
        <w:tblLayout w:type="fixed"/>
        <w:tblCellMar>
          <w:top w:w="0" w:type="dxa"/>
          <w:left w:w="0" w:type="dxa"/>
          <w:bottom w:w="0" w:type="dxa"/>
          <w:right w:w="0" w:type="dxa"/>
        </w:tblCellMar>
      </w:tblPr>
      <w:tblGrid>
        <w:gridCol w:w="4273"/>
        <w:gridCol w:w="60"/>
        <w:gridCol w:w="102"/>
        <w:gridCol w:w="1178"/>
        <w:gridCol w:w="95"/>
        <w:gridCol w:w="60"/>
        <w:gridCol w:w="140"/>
        <w:gridCol w:w="980"/>
        <w:gridCol w:w="60"/>
        <w:gridCol w:w="60"/>
        <w:gridCol w:w="205"/>
        <w:gridCol w:w="1495"/>
        <w:gridCol w:w="60"/>
        <w:gridCol w:w="60"/>
        <w:gridCol w:w="206"/>
        <w:gridCol w:w="1094"/>
        <w:gridCol w:w="77"/>
      </w:tblGrid>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Number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center"/>
              <w:rPr>
                <w:b/>
              </w:rPr>
            </w:pPr>
            <w:r>
              <w:rPr>
                <w:b/>
              </w:rPr>
              <w:t>Contractual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Aggregate</w:t>
            </w:r>
          </w:p>
        </w:tc>
        <w:tc>
          <w:tcPr>
            <w:tcW w:w="77" w:type="dxa"/>
            <w:tcBorders/>
            <w:vAlign w:val="center"/>
          </w:tcPr>
          <w:p>
            <w:pPr>
              <w:pStyle w:val="TableContents"/>
              <w:bidi w:val="0"/>
              <w:spacing w:before="0" w:after="283"/>
              <w:jc w:val="left"/>
              <w:rPr/>
            </w:pPr>
            <w:r>
              <w:rPr/>
              <w:t> </w:t>
            </w:r>
          </w:p>
        </w:tc>
      </w:tr>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Price Per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center"/>
              <w:rPr>
                <w:b/>
              </w:rPr>
            </w:pPr>
            <w:r>
              <w:rPr>
                <w:b/>
              </w:rPr>
              <w:t>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b/>
              </w:rPr>
            </w:pPr>
            <w:r>
              <w:rPr>
                <w:b/>
              </w:rPr>
              <w:t>Intrinsic</w:t>
            </w:r>
          </w:p>
        </w:tc>
        <w:tc>
          <w:tcPr>
            <w:tcW w:w="77" w:type="dxa"/>
            <w:tcBorders/>
            <w:vAlign w:val="center"/>
          </w:tcPr>
          <w:p>
            <w:pPr>
              <w:pStyle w:val="TableContents"/>
              <w:bidi w:val="0"/>
              <w:spacing w:before="0" w:after="283"/>
              <w:jc w:val="left"/>
              <w:rPr/>
            </w:pPr>
            <w:r>
              <w:rPr/>
              <w:t> </w:t>
            </w:r>
          </w:p>
        </w:tc>
      </w:tr>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 ($000)</w:t>
            </w:r>
          </w:p>
        </w:tc>
        <w:tc>
          <w:tcPr>
            <w:tcW w:w="77" w:type="dxa"/>
            <w:tcBorders/>
            <w:vAlign w:val="center"/>
          </w:tcPr>
          <w:p>
            <w:pPr>
              <w:pStyle w:val="TableContents"/>
              <w:bidi w:val="0"/>
              <w:spacing w:before="0" w:after="283"/>
              <w:jc w:val="left"/>
              <w:rPr/>
            </w:pPr>
            <w:r>
              <w:rPr/>
              <w:t> </w:t>
            </w:r>
          </w:p>
        </w:tc>
      </w:tr>
      <w:tr>
        <w:trPr/>
        <w:tc>
          <w:tcPr>
            <w:tcW w:w="4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Options outstanding at December 31, 2023</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721" w:name="xdx_985_eus-gaap--ShareBasedCompensation"/>
            <w:bookmarkEnd w:id="721"/>
          </w:p>
        </w:tc>
        <w:tc>
          <w:tcPr>
            <w:tcW w:w="1178" w:type="dxa"/>
            <w:tcBorders/>
            <w:shd w:fill="CCEEFF" w:val="clear"/>
            <w:vAlign w:val="center"/>
          </w:tcPr>
          <w:p>
            <w:pPr>
              <w:pStyle w:val="TableContents"/>
              <w:bidi w:val="0"/>
              <w:spacing w:before="0" w:after="283"/>
              <w:jc w:val="right"/>
              <w:rPr/>
            </w:pPr>
            <w:r>
              <w:rPr/>
              <w:t>595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22" w:name="xdx_980_eus-gaap--ShareBasedCompensation"/>
            <w:bookmarkEnd w:id="722"/>
          </w:p>
        </w:tc>
        <w:tc>
          <w:tcPr>
            <w:tcW w:w="980" w:type="dxa"/>
            <w:tcBorders/>
            <w:shd w:fill="CCEEFF" w:val="clear"/>
            <w:vAlign w:val="center"/>
          </w:tcPr>
          <w:p>
            <w:pPr>
              <w:pStyle w:val="TableContents"/>
              <w:bidi w:val="0"/>
              <w:spacing w:before="0" w:after="283"/>
              <w:jc w:val="right"/>
              <w:rPr/>
            </w:pPr>
            <w:r>
              <w:rPr/>
              <w:t>12,048.00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bookmarkStart w:id="723" w:name="xdx_90C_eus-gaap--SharebasedCompensation"/>
            <w:bookmarkEnd w:id="723"/>
            <w:r>
              <w:rPr/>
              <w:t>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bookmarkStart w:id="724" w:name="xdx_984_eus-gaap--ShareBasedCompensation"/>
            <w:bookmarkEnd w:id="724"/>
          </w:p>
        </w:tc>
        <w:tc>
          <w:tcPr>
            <w:tcW w:w="109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725" w:name="xdx_985_eus-gaap--ShareBasedCompensation"/>
            <w:bookmarkEnd w:id="725"/>
          </w:p>
        </w:tc>
        <w:tc>
          <w:tcPr>
            <w:tcW w:w="1178" w:type="dxa"/>
            <w:tcBorders/>
            <w:shd w:fill="FFFFFF" w:val="cle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26" w:name="xdx_98C_eus-gaap--ShareBasedCompensation"/>
            <w:bookmarkEnd w:id="726"/>
          </w:p>
        </w:tc>
        <w:tc>
          <w:tcPr>
            <w:tcW w:w="980" w:type="dxa"/>
            <w:tcBorders/>
            <w:shd w:fill="FFFFFF" w:val="clear"/>
            <w:vAlign w:val="center"/>
          </w:tcPr>
          <w:p>
            <w:pPr>
              <w:pStyle w:val="TableContents"/>
              <w:bidi w:val="0"/>
              <w:spacing w:before="0" w:after="283"/>
              <w:jc w:val="right"/>
              <w:rPr/>
            </w:pPr>
            <w:r>
              <w:rPr/>
              <w:t>547.20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09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727" w:name="xdx_98F_eus-gaap--StockIssuedDuringPerio"/>
            <w:bookmarkEnd w:id="727"/>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28" w:name="xdx_982_eus-gaap--ShareBasedCompensation"/>
            <w:bookmarkEnd w:id="728"/>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29" w:name="xdx_984_eus-gaap--ShareBasedCompensation"/>
            <w:bookmarkEnd w:id="729"/>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(153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730" w:name="xdx_984_eus-gaap--ShareBasedCompensation"/>
            <w:bookmarkEnd w:id="730"/>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12,327.88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Options outstanding at December 31, 2024</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731" w:name="xdx_984_eus-gaap--ShareBasedCompensation"/>
            <w:bookmarkEnd w:id="731"/>
          </w:p>
        </w:tc>
        <w:tc>
          <w:tcPr>
            <w:tcW w:w="1178" w:type="dxa"/>
            <w:tcBorders/>
            <w:shd w:fill="CCEEFF" w:val="clear"/>
            <w:vAlign w:val="center"/>
          </w:tcPr>
          <w:p>
            <w:pPr>
              <w:pStyle w:val="TableContents"/>
              <w:bidi w:val="0"/>
              <w:spacing w:before="0" w:after="283"/>
              <w:jc w:val="right"/>
              <w:rPr/>
            </w:pPr>
            <w:r>
              <w:rPr/>
              <w:t>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32" w:name="xdx_988_eus-gaap--ShareBasedCompensation"/>
            <w:bookmarkEnd w:id="732"/>
          </w:p>
        </w:tc>
        <w:tc>
          <w:tcPr>
            <w:tcW w:w="980" w:type="dxa"/>
            <w:tcBorders/>
            <w:shd w:fill="CCEEFF" w:val="clear"/>
            <w:vAlign w:val="center"/>
          </w:tcPr>
          <w:p>
            <w:pPr>
              <w:pStyle w:val="TableContents"/>
              <w:bidi w:val="0"/>
              <w:spacing w:before="0" w:after="283"/>
              <w:jc w:val="right"/>
              <w:rPr/>
            </w:pPr>
            <w:r>
              <w:rPr/>
              <w:t>10,658.14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bookmarkStart w:id="733" w:name="xdx_90C_eus-gaap--SharebasedCompensation"/>
            <w:bookmarkEnd w:id="733"/>
            <w:r>
              <w:rPr/>
              <w:t>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bookmarkStart w:id="734" w:name="xdx_981_eus-gaap--ShareBasedCompensation"/>
            <w:bookmarkEnd w:id="734"/>
          </w:p>
        </w:tc>
        <w:tc>
          <w:tcPr>
            <w:tcW w:w="10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Granted</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bookmarkStart w:id="735" w:name="xdx_98F_eus-gaap--ShareBasedCompensation"/>
            <w:bookmarkEnd w:id="735"/>
          </w:p>
        </w:tc>
        <w:tc>
          <w:tcPr>
            <w:tcW w:w="1178" w:type="dxa"/>
            <w:tcBorders/>
            <w:shd w:fill="CCEEFF" w:val="clear"/>
            <w:vAlign w:val="center"/>
          </w:tcPr>
          <w:p>
            <w:pPr>
              <w:pStyle w:val="TableContents"/>
              <w:bidi w:val="0"/>
              <w:spacing w:before="0" w:after="283"/>
              <w:jc w:val="right"/>
              <w:rPr/>
            </w:pPr>
            <w:r>
              <w:rPr/>
              <w:t>24,812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736" w:name="xdx_989_eus-gaap--ShareBasedCompensation"/>
            <w:bookmarkEnd w:id="736"/>
          </w:p>
        </w:tc>
        <w:tc>
          <w:tcPr>
            <w:tcW w:w="980" w:type="dxa"/>
            <w:tcBorders/>
            <w:shd w:fill="CCEEFF" w:val="clear"/>
            <w:vAlign w:val="center"/>
          </w:tcPr>
          <w:p>
            <w:pPr>
              <w:pStyle w:val="TableContents"/>
              <w:bidi w:val="0"/>
              <w:spacing w:before="0" w:after="283"/>
              <w:jc w:val="right"/>
              <w:rPr/>
            </w:pPr>
            <w:r>
              <w:rPr/>
              <w:t>78.92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bookmarkStart w:id="737" w:name="xdx_98E_eus-gaap--StockIssuedDuringPerio"/>
            <w:bookmarkEnd w:id="737"/>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738" w:name="xdx_986_eus-gaap--ShareBasedCompensation"/>
            <w:bookmarkEnd w:id="738"/>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4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w:t>
            </w:r>
          </w:p>
        </w:tc>
        <w:tc>
          <w:tcPr>
            <w:tcW w:w="109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Cancelled/forfeited</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39" w:name="xdx_98C_eus-gaap--ShareBasedCompensation"/>
            <w:bookmarkEnd w:id="739"/>
          </w:p>
        </w:tc>
        <w:tc>
          <w:tcPr>
            <w:tcW w:w="1178" w:type="dxa"/>
            <w:tcBorders>
              <w:bottom w:val="single" w:sz="8" w:space="0" w:color="000000"/>
            </w:tcBorders>
            <w:shd w:fill="CCEEFF" w:val="clear"/>
            <w:tcMar>
              <w:bottom w:w="28" w:type="dxa"/>
            </w:tcMar>
            <w:vAlign w:val="center"/>
          </w:tcPr>
          <w:p>
            <w:pPr>
              <w:pStyle w:val="TableContents"/>
              <w:bidi w:val="0"/>
              <w:spacing w:before="0" w:after="283"/>
              <w:jc w:val="right"/>
              <w:rPr/>
            </w:pPr>
            <w:r>
              <w:rPr/>
              <w:t>(385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740" w:name="xdx_988_eus-gaap--ShareBasedCompensation"/>
            <w:bookmarkEnd w:id="740"/>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9,610.52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Options outstanding at December 31, 2025</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41" w:name="xdx_982_eus-gaap--ShareBasedCompensation"/>
            <w:bookmarkEnd w:id="741"/>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24,921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742" w:name="xdx_98F_eus-gaap--ShareBasedCompensation"/>
            <w:bookmarkEnd w:id="742"/>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743" w:name="xdx_90D_eus-gaap--SharebasedCompensation"/>
            <w:bookmarkEnd w:id="743"/>
            <w:r>
              <w:rPr/>
              <w:t>9.13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744" w:name="xdx_988_eus-gaap--ShareBasedCompensation"/>
            <w:bookmarkEnd w:id="744"/>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4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4273" w:type="dxa"/>
            <w:tcBorders/>
            <w:shd w:fill="FFFFFF" w:val="clear"/>
            <w:vAlign w:val="center"/>
          </w:tcPr>
          <w:p>
            <w:pPr>
              <w:pStyle w:val="TableContents"/>
              <w:bidi w:val="0"/>
              <w:spacing w:before="0" w:after="283"/>
              <w:jc w:val="left"/>
              <w:rPr/>
            </w:pPr>
            <w:r>
              <w:rPr/>
              <w:t>Unvested at December 31, 2025</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45" w:name="xdx_983_eus-gaap--SharebasedCompensation"/>
            <w:bookmarkEnd w:id="745"/>
          </w:p>
        </w:tc>
        <w:tc>
          <w:tcPr>
            <w:tcW w:w="1178" w:type="dxa"/>
            <w:tcBorders>
              <w:bottom w:val="single" w:sz="8" w:space="0" w:color="000000"/>
            </w:tcBorders>
            <w:shd w:fill="FFFFFF" w:val="clear"/>
            <w:tcMar>
              <w:bottom w:w="28" w:type="dxa"/>
            </w:tcM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746" w:name="xdx_98A_eus-gaap--SharebasedCompensation"/>
            <w:bookmarkEnd w:id="746"/>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2,094.84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747" w:name="xdx_90F_ecustom--ShareBasedCompensationA"/>
            <w:bookmarkEnd w:id="747"/>
            <w:r>
              <w:rPr/>
              <w:t>7.49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r>
      <w:tr>
        <w:trPr/>
        <w:tc>
          <w:tcPr>
            <w:tcW w:w="4273" w:type="dxa"/>
            <w:tcBorders/>
            <w:shd w:fill="CCEEFF" w:val="clear"/>
            <w:vAlign w:val="center"/>
          </w:tcPr>
          <w:p>
            <w:pPr>
              <w:pStyle w:val="TableContents"/>
              <w:bidi w:val="0"/>
              <w:spacing w:before="0" w:after="283"/>
              <w:jc w:val="left"/>
              <w:rPr/>
            </w:pPr>
            <w:r>
              <w:rPr/>
              <w:t>Vested and exercisable at December 31, 2025</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bookmarkStart w:id="748" w:name="xdx_989_eus-gaap--ShareBasedCompensation"/>
            <w:bookmarkEnd w:id="748"/>
          </w:p>
        </w:tc>
        <w:tc>
          <w:tcPr>
            <w:tcW w:w="1178" w:type="dxa"/>
            <w:tcBorders>
              <w:bottom w:val="single" w:sz="8" w:space="0" w:color="000000"/>
            </w:tcBorders>
            <w:shd w:fill="CCEEFF" w:val="clear"/>
            <w:tcMar>
              <w:bottom w:w="28" w:type="dxa"/>
            </w:tcMar>
            <w:vAlign w:val="center"/>
          </w:tcPr>
          <w:p>
            <w:pPr>
              <w:pStyle w:val="TableContents"/>
              <w:bidi w:val="0"/>
              <w:spacing w:before="0" w:after="283"/>
              <w:jc w:val="right"/>
              <w:rPr/>
            </w:pPr>
            <w:r>
              <w:rPr/>
              <w:t>24,917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749" w:name="xdx_98A_eus-gaap--ShareBasedCompensation"/>
            <w:bookmarkEnd w:id="749"/>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495"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750" w:name="xdx_908_eus-gaap--SharebasedCompensation"/>
            <w:bookmarkEnd w:id="750"/>
            <w:r>
              <w:rPr/>
              <w:t>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751" w:name="xdx_988_eus-gaap--SharebasedCompensation"/>
            <w:bookmarkEnd w:id="751"/>
          </w:p>
        </w:tc>
        <w:tc>
          <w:tcPr>
            <w:tcW w:w="10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752" w:name="xdx_8AA_zdHV72kVWcR8"/>
      <w:bookmarkEnd w:id="75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issued </w:t>
      </w:r>
      <w:bookmarkStart w:id="753" w:name="xdx_90E_eus-gaap--ShareBasedCompensation"/>
      <w:bookmarkEnd w:id="753"/>
      <w:r>
        <w:rPr>
          <w:rFonts w:ascii="Times New Roman;Times;Serif" w:hAnsi="Times New Roman;Times;Serif"/>
          <w:b w:val="false"/>
          <w:i w:val="false"/>
          <w:caps w:val="false"/>
          <w:smallCaps w:val="false"/>
          <w:sz w:val="20"/>
        </w:rPr>
        <w:t>500,178 restricted stock units during the year ended December 31, 2025. These restricted stock units vested immediately and were valued at $</w:t>
      </w:r>
      <w:bookmarkStart w:id="754" w:name="xdx_907_ecustom--ShareBasedCompensationA"/>
      <w:bookmarkEnd w:id="754"/>
      <w:r>
        <w:rPr>
          <w:rFonts w:ascii="Times New Roman;Times;Serif" w:hAnsi="Times New Roman;Times;Serif"/>
          <w:b w:val="false"/>
          <w:i w:val="false"/>
          <w:caps w:val="false"/>
          <w:smallCaps w:val="false"/>
          <w:sz w:val="20"/>
        </w:rPr>
        <w:t>1.40 at the date of grant, which was equivalent to the market price of a share of the Company’s common stock on that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issued </w:t>
      </w:r>
      <w:bookmarkStart w:id="755" w:name="xdx_909_eus-gaap--ShareBasedCompensation"/>
      <w:bookmarkEnd w:id="755"/>
      <w:r>
        <w:rPr>
          <w:rFonts w:ascii="Times New Roman;Times;Serif" w:hAnsi="Times New Roman;Times;Serif"/>
          <w:b w:val="false"/>
          <w:i w:val="false"/>
          <w:caps w:val="false"/>
          <w:smallCaps w:val="false"/>
          <w:sz w:val="20"/>
        </w:rPr>
        <w:t>52 restricted stock units during the year ended December 31, 2024. These restricted stock units vested monthly over a six-month</w:t>
      </w:r>
      <w:bookmarkStart w:id="756" w:name="xdx_90A_eus-gaap--ShareBasedCompensation"/>
      <w:bookmarkEnd w:id="756"/>
      <w:r>
        <w:rPr>
          <w:rFonts w:ascii="Times New Roman;Times;Serif" w:hAnsi="Times New Roman;Times;Serif"/>
          <w:b w:val="false"/>
          <w:i w:val="false"/>
          <w:caps w:val="false"/>
          <w:smallCaps w:val="false"/>
          <w:sz w:val="20"/>
        </w:rPr>
        <w:t>6 service period. These restricted stock units were valued at $</w:t>
      </w:r>
      <w:bookmarkStart w:id="757" w:name="xdx_90A_ecustom--ShareBasedCompensationA"/>
      <w:bookmarkEnd w:id="757"/>
      <w:r>
        <w:rPr>
          <w:rFonts w:ascii="Times New Roman;Times;Serif" w:hAnsi="Times New Roman;Times;Serif"/>
          <w:b w:val="false"/>
          <w:i w:val="false"/>
          <w:caps w:val="false"/>
          <w:smallCaps w:val="false"/>
          <w:sz w:val="20"/>
        </w:rPr>
        <w:t>547.20 at the date of grant, which was equivalent to the market price of a share of the Company’s common stock on that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Seventy-one</w:t>
      </w:r>
      <w:bookmarkStart w:id="758" w:name="xdx_90C_eus-gaap--ShareBasedCompensation"/>
      <w:bookmarkEnd w:id="758"/>
      <w:r>
        <w:rPr>
          <w:rFonts w:ascii="Times New Roman;Times;Serif" w:hAnsi="Times New Roman;Times;Serif"/>
          <w:b w:val="false"/>
          <w:i w:val="false"/>
          <w:caps w:val="false"/>
          <w:smallCaps w:val="false"/>
          <w:sz w:val="20"/>
        </w:rPr>
        <w:t xml:space="preserve">71 restricted stock units were issued in January 2023. These units vest on the third anniversary of their date of grant, or earlier if certain defined clinical trial-related performance targets are met. A three-year </w:t>
      </w:r>
      <w:bookmarkStart w:id="759" w:name="xdx_90D_eus-gaap--ShareBasedCompensation"/>
      <w:bookmarkEnd w:id="759"/>
      <w:r>
        <w:rPr>
          <w:rFonts w:ascii="Times New Roman;Times;Serif" w:hAnsi="Times New Roman;Times;Serif"/>
          <w:b w:val="false"/>
          <w:i w:val="false"/>
          <w:caps w:val="false"/>
          <w:smallCaps w:val="false"/>
          <w:sz w:val="20"/>
        </w:rPr>
        <w:t>3vesting assumption was applied to these restricted stock units as satisfaction of the performance conditions is not probable at this time. Each restricted stock unit was valued at $</w:t>
      </w:r>
      <w:bookmarkStart w:id="760" w:name="xdx_90D_eus-gaap--ShareBasedCompensation"/>
      <w:bookmarkEnd w:id="760"/>
      <w:r>
        <w:rPr>
          <w:rFonts w:ascii="Times New Roman;Times;Serif" w:hAnsi="Times New Roman;Times;Serif"/>
          <w:b w:val="false"/>
          <w:i w:val="false"/>
          <w:caps w:val="false"/>
          <w:smallCaps w:val="false"/>
          <w:sz w:val="20"/>
        </w:rPr>
        <w:t xml:space="preserve">3,240.00 at the date of grant, which was equivalent to the market price of a share of the Company’s common stock on that date. As of December 31, 2025, all but </w:t>
      </w:r>
      <w:bookmarkStart w:id="761" w:name="xdx_90C_ecustom--ShareBasedCompensationA"/>
      <w:bookmarkEnd w:id="761"/>
      <w:r>
        <w:rPr>
          <w:rFonts w:ascii="Times New Roman;Times;Serif" w:hAnsi="Times New Roman;Times;Serif"/>
          <w:b w:val="false"/>
          <w:i w:val="false"/>
          <w:caps w:val="false"/>
          <w:smallCaps w:val="false"/>
          <w:sz w:val="20"/>
        </w:rPr>
        <w:t>2 of the original awards granted have been forfeited due to the recipient’s termination of service with the Company. In the year ended December 31, 2025, the Company reduced stock compensation cost, a component of selling general, and administrative expense, by approximately $</w:t>
      </w:r>
      <w:bookmarkStart w:id="762" w:name="xdx_903_eus-gaap--SharebasedCompensation"/>
      <w:bookmarkEnd w:id="762"/>
      <w:r>
        <w:rPr>
          <w:rFonts w:ascii="Times New Roman;Times;Serif" w:hAnsi="Times New Roman;Times;Serif"/>
          <w:b w:val="false"/>
          <w:i w:val="false"/>
          <w:caps w:val="false"/>
          <w:smallCaps w:val="false"/>
          <w:sz w:val="20"/>
        </w:rPr>
        <w:t>92,000 as a result of forfeitures of these awards during that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July 2025 Reverse Stock Split resulted in the effective cancellation of certain previously issued and outstanding restricted stock units. In the quarter ended June 30, 2025, the Company accelerated the recognition of any remaining unrecognized compensation expense upon the impending cancellation of those awards. This resulted in an approximately $</w:t>
      </w:r>
      <w:bookmarkStart w:id="763" w:name="xdx_903_eus-gaap--EmployeeServiceShareBa"/>
      <w:bookmarkEnd w:id="763"/>
      <w:r>
        <w:rPr>
          <w:rFonts w:ascii="Times New Roman;Times;Serif" w:hAnsi="Times New Roman;Times;Serif"/>
          <w:b w:val="false"/>
          <w:i w:val="false"/>
          <w:caps w:val="false"/>
          <w:smallCaps w:val="false"/>
          <w:sz w:val="20"/>
        </w:rPr>
        <w:t>1,000 charge during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64" w:name="xdx_89B_eus-gaap--ScheduleOfShareBasedCo"/>
      <w:bookmarkEnd w:id="764"/>
      <w:r>
        <w:rPr>
          <w:rFonts w:ascii="Times New Roman;Times;Serif" w:hAnsi="Times New Roman;Times;Serif"/>
          <w:b w:val="false"/>
          <w:i w:val="false"/>
          <w:caps w:val="false"/>
          <w:smallCaps w:val="false"/>
          <w:sz w:val="20"/>
        </w:rPr>
        <w:t>Summarized information for restricted stock units as of December 31, 2025 and 2024 is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65" w:name="xdx_8B6_zixxFcbNalsf"/>
      <w:bookmarkEnd w:id="765"/>
      <w:r>
        <w:rPr>
          <w:rFonts w:ascii="Times New Roman;Times;Serif" w:hAnsi="Times New Roman;Times;Serif"/>
          <w:b w:val="false"/>
          <w:i w:val="false"/>
          <w:caps w:val="false"/>
          <w:smallCaps w:val="false"/>
          <w:sz w:val="20"/>
        </w:rPr>
        <w:t>Schedule of Restricted Stock Units Activity </w:t>
      </w:r>
    </w:p>
    <w:tbl>
      <w:tblPr>
        <w:tblW w:w="6664" w:type="dxa"/>
        <w:jc w:val="left"/>
        <w:tblInd w:w="0" w:type="dxa"/>
        <w:tblLayout w:type="fixed"/>
        <w:tblCellMar>
          <w:top w:w="0" w:type="dxa"/>
          <w:left w:w="0" w:type="dxa"/>
          <w:bottom w:w="0" w:type="dxa"/>
          <w:right w:w="0" w:type="dxa"/>
        </w:tblCellMar>
      </w:tblPr>
      <w:tblGrid>
        <w:gridCol w:w="3920"/>
        <w:gridCol w:w="60"/>
        <w:gridCol w:w="81"/>
        <w:gridCol w:w="1199"/>
        <w:gridCol w:w="95"/>
        <w:gridCol w:w="60"/>
        <w:gridCol w:w="164"/>
        <w:gridCol w:w="1010"/>
        <w:gridCol w:w="7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Restricted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rPr>
            </w:pPr>
            <w:r>
              <w:rPr>
                <w:b/>
              </w:rPr>
              <w:t>Grant Date</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rPr>
            </w:pPr>
            <w:r>
              <w:rPr>
                <w:b/>
              </w:rPr>
              <w:t>Value Per</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Outstanding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RSUs outstanding at Dec 31, 2023</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766" w:name="xdx_983_eus-gaap--ShareBasedCompensation"/>
            <w:bookmarkEnd w:id="766"/>
          </w:p>
        </w:tc>
        <w:tc>
          <w:tcPr>
            <w:tcW w:w="1199" w:type="dxa"/>
            <w:tcBorders/>
            <w:shd w:fill="CCEEFF" w:val="clear"/>
            <w:vAlign w:val="center"/>
          </w:tcPr>
          <w:p>
            <w:pPr>
              <w:pStyle w:val="TableContents"/>
              <w:bidi w:val="0"/>
              <w:spacing w:before="0" w:after="283"/>
              <w:jc w:val="right"/>
              <w:rPr/>
            </w:pPr>
            <w:r>
              <w:rPr/>
              <w:t>144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bookmarkStart w:id="767" w:name="xdx_982_eus-gaap--ShareBasedCompensation"/>
            <w:bookmarkEnd w:id="767"/>
          </w:p>
        </w:tc>
        <w:tc>
          <w:tcPr>
            <w:tcW w:w="1010" w:type="dxa"/>
            <w:tcBorders/>
            <w:shd w:fill="CCEEFF" w:val="clear"/>
            <w:vAlign w:val="center"/>
          </w:tcPr>
          <w:p>
            <w:pPr>
              <w:pStyle w:val="TableContents"/>
              <w:bidi w:val="0"/>
              <w:spacing w:before="0" w:after="283"/>
              <w:jc w:val="right"/>
              <w:rPr/>
            </w:pPr>
            <w:r>
              <w:rPr/>
              <w:t>3,902.40</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768" w:name="xdx_987_eus-gaap--ShareBasedCompensation"/>
            <w:bookmarkEnd w:id="768"/>
          </w:p>
        </w:tc>
        <w:tc>
          <w:tcPr>
            <w:tcW w:w="1199" w:type="dxa"/>
            <w:tcBorders/>
            <w:shd w:fill="FFFFFF" w:val="cle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bookmarkStart w:id="769" w:name="xdx_98E_eus-gaap--ShareBasedCompensation"/>
            <w:bookmarkEnd w:id="769"/>
          </w:p>
        </w:tc>
        <w:tc>
          <w:tcPr>
            <w:tcW w:w="1010" w:type="dxa"/>
            <w:tcBorders/>
            <w:shd w:fill="FFFFFF" w:val="clear"/>
            <w:vAlign w:val="center"/>
          </w:tcPr>
          <w:p>
            <w:pPr>
              <w:pStyle w:val="TableContents"/>
              <w:bidi w:val="0"/>
              <w:spacing w:before="0" w:after="283"/>
              <w:jc w:val="right"/>
              <w:rPr/>
            </w:pPr>
            <w:r>
              <w:rPr/>
              <w:t>547.20</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Cancelled/forfeited</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70" w:name="xdx_983_eus-gaap--ShareBasedCompensation"/>
            <w:bookmarkEnd w:id="770"/>
          </w:p>
        </w:tc>
        <w:tc>
          <w:tcPr>
            <w:tcW w:w="1199" w:type="dxa"/>
            <w:tcBorders>
              <w:bottom w:val="single" w:sz="8" w:space="0" w:color="000000"/>
            </w:tcBorders>
            <w:shd w:fill="CCEEFF" w:val="clear"/>
            <w:tcMar>
              <w:bottom w:w="28" w:type="dxa"/>
            </w:tcM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771" w:name="xdx_984_eus-gaap--ShareBasedCompensation"/>
            <w:bookmarkEnd w:id="771"/>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3,675.17</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RSUs outstanding at Dec 31, 2024</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72" w:name="xdx_984_eus-gaap--ShareBasedCompensation"/>
            <w:bookmarkEnd w:id="772"/>
          </w:p>
        </w:tc>
        <w:tc>
          <w:tcPr>
            <w:tcW w:w="1199" w:type="dxa"/>
            <w:tcBorders>
              <w:bottom w:val="single" w:sz="8" w:space="0" w:color="000000"/>
            </w:tcBorders>
            <w:shd w:fill="FFFFFF" w:val="clear"/>
            <w:tcMar>
              <w:bottom w:w="28" w:type="dxa"/>
            </w:tcMar>
            <w:vAlign w:val="center"/>
          </w:tcPr>
          <w:p>
            <w:pPr>
              <w:pStyle w:val="TableContents"/>
              <w:bidi w:val="0"/>
              <w:spacing w:before="0" w:after="283"/>
              <w:jc w:val="right"/>
              <w:rPr/>
            </w:pPr>
            <w:r>
              <w:rPr/>
              <w:t>164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773" w:name="xdx_980_eus-gaap--ShareBasedCompensation"/>
            <w:bookmarkEnd w:id="773"/>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2,881.62</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bookmarkStart w:id="774" w:name="xdx_98B_eus-gaap--ShareBasedCompensation"/>
            <w:bookmarkEnd w:id="774"/>
          </w:p>
        </w:tc>
        <w:tc>
          <w:tcPr>
            <w:tcW w:w="1199" w:type="dxa"/>
            <w:tcBorders/>
            <w:shd w:fill="FFFFFF" w:val="clear"/>
            <w:vAlign w:val="center"/>
          </w:tcPr>
          <w:p>
            <w:pPr>
              <w:pStyle w:val="TableContents"/>
              <w:bidi w:val="0"/>
              <w:spacing w:before="0" w:after="283"/>
              <w:jc w:val="right"/>
              <w:rPr/>
            </w:pPr>
            <w:r>
              <w:rPr/>
              <w:t>500,178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bookmarkStart w:id="775" w:name="xdx_984_eus-gaap--ShareBasedCompensation"/>
            <w:bookmarkEnd w:id="775"/>
          </w:p>
        </w:tc>
        <w:tc>
          <w:tcPr>
            <w:tcW w:w="1010" w:type="dxa"/>
            <w:tcBorders/>
            <w:shd w:fill="FFFFFF" w:val="clear"/>
            <w:vAlign w:val="center"/>
          </w:tcPr>
          <w:p>
            <w:pPr>
              <w:pStyle w:val="TableContents"/>
              <w:bidi w:val="0"/>
              <w:spacing w:before="0" w:after="283"/>
              <w:jc w:val="right"/>
              <w:rPr/>
            </w:pPr>
            <w:r>
              <w:rPr/>
              <w:t>1.40</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Vested and converted to Common Stock</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bookmarkStart w:id="776" w:name="xdx_983_eus-gaap--ShareBasedCompensation"/>
            <w:bookmarkEnd w:id="776"/>
          </w:p>
        </w:tc>
        <w:tc>
          <w:tcPr>
            <w:tcW w:w="1199" w:type="dxa"/>
            <w:tcBorders/>
            <w:shd w:fill="CCEEFF" w:val="clear"/>
            <w:vAlign w:val="center"/>
          </w:tcPr>
          <w:p>
            <w:pPr>
              <w:pStyle w:val="TableContents"/>
              <w:bidi w:val="0"/>
              <w:spacing w:before="0" w:after="283"/>
              <w:jc w:val="right"/>
              <w:rPr/>
            </w:pPr>
            <w:r>
              <w:rPr/>
              <w:t>(500,178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bookmarkStart w:id="777" w:name="xdx_989_eus-gaap--ShareBasedCompensation"/>
            <w:bookmarkEnd w:id="777"/>
          </w:p>
        </w:tc>
        <w:tc>
          <w:tcPr>
            <w:tcW w:w="1010" w:type="dxa"/>
            <w:tcBorders/>
            <w:shd w:fill="CCEEFF" w:val="clear"/>
            <w:vAlign w:val="center"/>
          </w:tcPr>
          <w:p>
            <w:pPr>
              <w:pStyle w:val="TableContents"/>
              <w:bidi w:val="0"/>
              <w:spacing w:before="0" w:after="283"/>
              <w:jc w:val="right"/>
              <w:rPr/>
            </w:pPr>
            <w:r>
              <w:rPr/>
              <w:t>1.40</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78" w:name="xdx_98E_eus-gaap--ShareBasedCompensation"/>
            <w:bookmarkEnd w:id="778"/>
          </w:p>
        </w:tc>
        <w:tc>
          <w:tcPr>
            <w:tcW w:w="1199" w:type="dxa"/>
            <w:tcBorders>
              <w:bottom w:val="single" w:sz="8" w:space="0" w:color="000000"/>
            </w:tcBorders>
            <w:shd w:fill="FFFFFF" w:val="clear"/>
            <w:tcMar>
              <w:bottom w:w="28" w:type="dxa"/>
            </w:tcMar>
            <w:vAlign w:val="center"/>
          </w:tcPr>
          <w:p>
            <w:pPr>
              <w:pStyle w:val="TableContents"/>
              <w:bidi w:val="0"/>
              <w:spacing w:before="0" w:after="283"/>
              <w:jc w:val="right"/>
              <w:rPr/>
            </w:pPr>
            <w:r>
              <w:rPr/>
              <w:t>(162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779" w:name="xdx_984_eus-gaap--ShareBasedCompensation"/>
            <w:bookmarkEnd w:id="779"/>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pPr>
            <w:r>
              <w:rPr/>
              <w:t>3,284.47</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RSUs outstanding at December 31, 2025</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80" w:name="xdx_987_eus-gaap--ShareBasedCompensation"/>
            <w:bookmarkEnd w:id="780"/>
          </w:p>
        </w:tc>
        <w:tc>
          <w:tcPr>
            <w:tcW w:w="1199" w:type="dxa"/>
            <w:tcBorders>
              <w:bottom w:val="double" w:sz="6" w:space="0" w:color="000000"/>
            </w:tcBorders>
            <w:shd w:fill="CCEEFF" w:val="clear"/>
            <w:tcMar>
              <w:bottom w:w="28" w:type="dxa"/>
            </w:tcM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781" w:name="xdx_983_eus-gaap--ShareBasedCompensation"/>
            <w:bookmarkEnd w:id="781"/>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3,240.00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782" w:name="xdx_8A3_znQ1NkDji1M9"/>
      <w:bookmarkEnd w:id="782"/>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83" w:name="xdx_80F_eus-gaap--PensionAndOtherPostret"/>
      <w:bookmarkEnd w:id="783"/>
      <w:r>
        <w:rPr>
          <w:rFonts w:ascii="Times New Roman;Times;Serif" w:hAnsi="Times New Roman;Times;Serif"/>
          <w:b/>
          <w:i w:val="false"/>
          <w:caps w:val="false"/>
          <w:smallCaps w:val="false"/>
          <w:sz w:val="20"/>
        </w:rPr>
        <w:t xml:space="preserve">16. </w:t>
      </w:r>
      <w:bookmarkStart w:id="784" w:name="xdx_82A_zRbxa0wPSVk2"/>
      <w:bookmarkEnd w:id="784"/>
      <w:r>
        <w:rPr>
          <w:rFonts w:ascii="Times New Roman;Times;Serif" w:hAnsi="Times New Roman;Times;Serif"/>
          <w:b/>
          <w:i w:val="false"/>
          <w:caps w:val="false"/>
          <w:smallCaps w:val="false"/>
          <w:sz w:val="20"/>
        </w:rPr>
        <w:t>Employee Benefit Plans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Pension Plan</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 defined contribution group personal pension plan for all of its UK based employees. Company contributions to the plan totaled approximately $</w:t>
      </w:r>
      <w:bookmarkStart w:id="785" w:name="xdx_907_eus-gaap--DefinedContributionPla"/>
      <w:bookmarkEnd w:id="785"/>
      <w:r>
        <w:rPr>
          <w:rFonts w:ascii="Times New Roman;Times;Serif" w:hAnsi="Times New Roman;Times;Serif"/>
          <w:b w:val="false"/>
          <w:i w:val="false"/>
          <w:caps w:val="false"/>
          <w:smallCaps w:val="false"/>
          <w:sz w:val="20"/>
        </w:rPr>
        <w:t>500 and $</w:t>
      </w:r>
      <w:bookmarkStart w:id="786" w:name="xdx_90E_eus-gaap--DefinedContributionPla"/>
      <w:bookmarkEnd w:id="786"/>
      <w:r>
        <w:rPr>
          <w:rFonts w:ascii="Times New Roman;Times;Serif" w:hAnsi="Times New Roman;Times;Serif"/>
          <w:b w:val="false"/>
          <w:i w:val="false"/>
          <w:caps w:val="false"/>
          <w:smallCaps w:val="false"/>
          <w:sz w:val="20"/>
        </w:rPr>
        <w:t>51,000 for the years ended December 31, 2025 and 2024, respectively.</w:t>
      </w:r>
    </w:p>
    <w:p>
      <w:pPr>
        <w:pStyle w:val="TextBody"/>
        <w:bidi w:val="0"/>
        <w:spacing w:before="0" w:after="0"/>
        <w:ind w:left="20" w:right="0" w:firstLine="221"/>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401(k) Plan</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401(k) Plan provides for matching contributions by the Company in an amount equal to the lesser of </w:t>
      </w:r>
      <w:bookmarkStart w:id="787" w:name="xdx_90D_ecustom--DefinedContributionPlan"/>
      <w:bookmarkEnd w:id="787"/>
      <w:r>
        <w:rPr>
          <w:rFonts w:ascii="Times New Roman;Times;Serif" w:hAnsi="Times New Roman;Times;Serif"/>
          <w:b w:val="false"/>
          <w:i w:val="false"/>
          <w:caps w:val="false"/>
          <w:smallCaps w:val="false"/>
          <w:sz w:val="20"/>
        </w:rPr>
        <w:t xml:space="preserve">100% of the employee’s deferral or </w:t>
      </w:r>
      <w:bookmarkStart w:id="788" w:name="xdx_90C_eus-gaap--DefinedContributionPla"/>
      <w:bookmarkEnd w:id="788"/>
      <w:r>
        <w:rPr>
          <w:rFonts w:ascii="Times New Roman;Times;Serif" w:hAnsi="Times New Roman;Times;Serif"/>
          <w:b w:val="false"/>
          <w:i w:val="false"/>
          <w:caps w:val="false"/>
          <w:smallCaps w:val="false"/>
          <w:sz w:val="20"/>
        </w:rPr>
        <w:t>6% of the U.S. employee’s qualifying compensation. The 401(k) Plan is intended to qualify under Section 401(k) of the Internal Revenue Code, so that contributions to the 401(k) Plan by employees or by the Company, and the investment earnings thereon, are not taxable to the employees until withdrawn. Company matching contributions are tax deductible by the Company when made. In 2025, Company employees could elect to reduce their current compensation by up to the statutorily prescribed annual limit of $</w:t>
      </w:r>
      <w:bookmarkStart w:id="789" w:name="xdx_90C_ecustom--DefinedContributionPlan"/>
      <w:bookmarkEnd w:id="789"/>
      <w:r>
        <w:rPr>
          <w:rFonts w:ascii="Times New Roman;Times;Serif" w:hAnsi="Times New Roman;Times;Serif"/>
          <w:b w:val="false"/>
          <w:i w:val="false"/>
          <w:caps w:val="false"/>
          <w:smallCaps w:val="false"/>
          <w:sz w:val="20"/>
        </w:rPr>
        <w:t xml:space="preserve">23,500 if under </w:t>
      </w:r>
      <w:bookmarkStart w:id="790" w:name="xdx_90E_ecustom--DefinedContributionPlan"/>
      <w:bookmarkEnd w:id="790"/>
      <w:r>
        <w:rPr>
          <w:rFonts w:ascii="Times New Roman;Times;Serif" w:hAnsi="Times New Roman;Times;Serif"/>
          <w:b w:val="false"/>
          <w:i w:val="false"/>
          <w:caps w:val="false"/>
          <w:smallCaps w:val="false"/>
          <w:sz w:val="20"/>
        </w:rPr>
        <w:t>50 years old and $</w:t>
      </w:r>
      <w:bookmarkStart w:id="791" w:name="xdx_909_ecustom--DefinedContributionPlan"/>
      <w:bookmarkEnd w:id="791"/>
      <w:r>
        <w:rPr>
          <w:rFonts w:ascii="Times New Roman;Times;Serif" w:hAnsi="Times New Roman;Times;Serif"/>
          <w:b w:val="false"/>
          <w:i w:val="false"/>
          <w:caps w:val="false"/>
          <w:smallCaps w:val="false"/>
          <w:sz w:val="20"/>
        </w:rPr>
        <w:t>31,000 if over 50 years old and to have those funds contributed to the 401(k) Plan. The Company made contributions of approximately $</w:t>
      </w:r>
      <w:bookmarkStart w:id="792" w:name="xdx_900_eus-gaap--DefinedContributionPla"/>
      <w:bookmarkEnd w:id="792"/>
      <w:r>
        <w:rPr>
          <w:rFonts w:ascii="Times New Roman;Times;Serif" w:hAnsi="Times New Roman;Times;Serif"/>
          <w:b w:val="false"/>
          <w:i w:val="false"/>
          <w:caps w:val="false"/>
          <w:smallCaps w:val="false"/>
          <w:sz w:val="20"/>
        </w:rPr>
        <w:t>333 and $</w:t>
      </w:r>
      <w:bookmarkStart w:id="793" w:name="xdx_903_eus-gaap--DefinedContributionPla"/>
      <w:bookmarkEnd w:id="793"/>
      <w:r>
        <w:rPr>
          <w:rFonts w:ascii="Times New Roman;Times;Serif" w:hAnsi="Times New Roman;Times;Serif"/>
          <w:b w:val="false"/>
          <w:i w:val="false"/>
          <w:caps w:val="false"/>
          <w:smallCaps w:val="false"/>
          <w:sz w:val="20"/>
        </w:rPr>
        <w:t>40,000 to the 401(k) Plan for the years ended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94" w:name="xdx_80E_eus-gaap--IncomeTaxDisclosureTex"/>
      <w:bookmarkEnd w:id="794"/>
      <w:r>
        <w:rPr>
          <w:rFonts w:ascii="Times New Roman;Times;Serif" w:hAnsi="Times New Roman;Times;Serif"/>
          <w:b/>
          <w:i w:val="false"/>
          <w:caps w:val="false"/>
          <w:smallCaps w:val="false"/>
          <w:sz w:val="20"/>
        </w:rPr>
        <w:t xml:space="preserve">17. </w:t>
      </w:r>
      <w:bookmarkStart w:id="795" w:name="xdx_82D_zc607Bd48rL8"/>
      <w:bookmarkEnd w:id="795"/>
      <w:r>
        <w:rPr>
          <w:rFonts w:ascii="Times New Roman;Times;Serif" w:hAnsi="Times New Roman;Times;Serif"/>
          <w:b/>
          <w:i w:val="false"/>
          <w:caps w:val="false"/>
          <w:smallCaps w:val="false"/>
          <w:sz w:val="20"/>
        </w:rPr>
        <w:t>Taxes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796" w:name="xdx_898_eus-gaap--ScheduleOfIncomeBefore"/>
      <w:bookmarkEnd w:id="796"/>
      <w:r>
        <w:rPr>
          <w:rFonts w:ascii="Times New Roman;Times;Serif" w:hAnsi="Times New Roman;Times;Serif"/>
          <w:b w:val="false"/>
          <w:i w:val="false"/>
          <w:caps w:val="false"/>
          <w:smallCaps w:val="false"/>
          <w:sz w:val="20"/>
        </w:rPr>
        <w:t>(Loss) income from continuing operations before taxes is comprised of the following components for the years ended December 31, 2025 and 2024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97" w:name="xdx_8BC_z3Qu9lGvQ5u1"/>
      <w:bookmarkEnd w:id="797"/>
      <w:r>
        <w:rPr>
          <w:rFonts w:ascii="Times New Roman;Times;Serif" w:hAnsi="Times New Roman;Times;Serif"/>
          <w:b w:val="false"/>
          <w:i w:val="false"/>
          <w:caps w:val="false"/>
          <w:smallCaps w:val="false"/>
          <w:sz w:val="20"/>
        </w:rPr>
        <w:t>Schedule of Components of (Loss) Income Before Taxes from Continuing Operations </w:t>
      </w:r>
    </w:p>
    <w:tbl>
      <w:tblPr>
        <w:tblW w:w="7182" w:type="dxa"/>
        <w:jc w:val="left"/>
        <w:tblInd w:w="0" w:type="dxa"/>
        <w:tblLayout w:type="fixed"/>
        <w:tblCellMar>
          <w:top w:w="0" w:type="dxa"/>
          <w:left w:w="0" w:type="dxa"/>
          <w:bottom w:w="0" w:type="dxa"/>
          <w:right w:w="0" w:type="dxa"/>
        </w:tblCellMar>
      </w:tblPr>
      <w:tblGrid>
        <w:gridCol w:w="4295"/>
        <w:gridCol w:w="60"/>
        <w:gridCol w:w="208"/>
        <w:gridCol w:w="946"/>
        <w:gridCol w:w="141"/>
        <w:gridCol w:w="89"/>
        <w:gridCol w:w="208"/>
        <w:gridCol w:w="1125"/>
        <w:gridCol w:w="110"/>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8" w:name="xdx_49A_20250101__20251231_z8wiRCPVYUC1"/>
            <w:bookmarkEnd w:id="798"/>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bookmarkStart w:id="799" w:name="xdx_497_20240101__20241231_zTk59QyD7Op3"/>
            <w:bookmarkEnd w:id="799"/>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800" w:name="xdx_402_eus-gaap--IncomeLossFromContinui"/>
            <w:bookmarkEnd w:id="800"/>
          </w:p>
        </w:tc>
      </w:tr>
      <w:tr>
        <w:trPr/>
        <w:tc>
          <w:tcPr>
            <w:tcW w:w="4295" w:type="dxa"/>
            <w:tcBorders/>
            <w:shd w:fill="CCEEFF" w:val="clear"/>
            <w:vAlign w:val="center"/>
          </w:tcPr>
          <w:p>
            <w:pPr>
              <w:pStyle w:val="TableContents"/>
              <w:bidi w:val="0"/>
              <w:spacing w:before="0" w:after="283"/>
              <w:jc w:val="left"/>
              <w:rPr/>
            </w:pPr>
            <w:r>
              <w:rPr/>
              <w:t>Domestic</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(1,839</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36</w:t>
            </w:r>
          </w:p>
        </w:tc>
        <w:tc>
          <w:tcPr>
            <w:tcW w:w="110" w:type="dxa"/>
            <w:tcBorders/>
            <w:shd w:fill="CCEEFF" w:val="clear"/>
            <w:vAlign w:val="center"/>
          </w:tcPr>
          <w:p>
            <w:pPr>
              <w:pStyle w:val="TableContents"/>
              <w:bidi w:val="0"/>
              <w:spacing w:before="0" w:after="283"/>
              <w:jc w:val="left"/>
              <w:rPr/>
            </w:pPr>
            <w:r>
              <w:rPr/>
              <w:t> </w:t>
            </w:r>
            <w:bookmarkStart w:id="801" w:name="xdx_407_eus-gaap--IncomeLossFromContinui"/>
            <w:bookmarkEnd w:id="801"/>
          </w:p>
        </w:tc>
      </w:tr>
      <w:tr>
        <w:trPr/>
        <w:tc>
          <w:tcPr>
            <w:tcW w:w="4295"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pPr>
            <w:r>
              <w:rPr/>
              <w:t>(1,152</w:t>
            </w:r>
          </w:p>
        </w:tc>
        <w:tc>
          <w:tcPr>
            <w:tcW w:w="141"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pPr>
            <w:r>
              <w:rPr/>
              <w:t>(12,030</w:t>
            </w:r>
          </w:p>
        </w:tc>
        <w:tc>
          <w:tcPr>
            <w:tcW w:w="110" w:type="dxa"/>
            <w:tcBorders/>
            <w:shd w:fill="FFFFFF" w:val="clear"/>
            <w:vAlign w:val="center"/>
          </w:tcPr>
          <w:p>
            <w:pPr>
              <w:pStyle w:val="TableContents"/>
              <w:bidi w:val="0"/>
              <w:spacing w:before="0" w:after="283"/>
              <w:jc w:val="left"/>
              <w:rPr/>
            </w:pPr>
            <w:r>
              <w:rPr/>
              <w:t>)</w:t>
            </w:r>
            <w:bookmarkStart w:id="802" w:name="xdx_409_eus-gaap--IncomeLossFromContinui"/>
            <w:bookmarkEnd w:id="802"/>
          </w:p>
        </w:tc>
      </w:tr>
      <w:tr>
        <w:trPr/>
        <w:tc>
          <w:tcPr>
            <w:tcW w:w="4295" w:type="dxa"/>
            <w:tcBorders/>
            <w:shd w:fill="CCEEFF" w:val="clear"/>
            <w:vAlign w:val="center"/>
          </w:tcPr>
          <w:p>
            <w:pPr>
              <w:pStyle w:val="TableContents"/>
              <w:bidi w:val="0"/>
              <w:spacing w:before="0" w:after="283"/>
              <w:jc w:val="left"/>
              <w:rPr/>
            </w:pPr>
            <w:r>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jc w:val="right"/>
              <w:rPr/>
            </w:pPr>
            <w:r>
              <w:rPr/>
              <w:t>(2,991</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CCEEFF" w:val="clear"/>
            <w:tcMar>
              <w:bottom w:w="28" w:type="dxa"/>
            </w:tcMar>
            <w:vAlign w:val="center"/>
          </w:tcPr>
          <w:p>
            <w:pPr>
              <w:pStyle w:val="TableContents"/>
              <w:bidi w:val="0"/>
              <w:spacing w:before="0" w:after="283"/>
              <w:jc w:val="right"/>
              <w:rPr/>
            </w:pPr>
            <w:r>
              <w:rPr/>
              <w:t>(11,994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803" w:name="xdx_8AD_zk3x4wRuxMZ5"/>
      <w:bookmarkEnd w:id="803"/>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804" w:name="xdx_898_eus-gaap--ScheduleOfComponentsOf"/>
      <w:bookmarkEnd w:id="804"/>
      <w:r>
        <w:rPr>
          <w:rFonts w:ascii="Times New Roman;Times;Serif" w:hAnsi="Times New Roman;Times;Serif"/>
          <w:b w:val="false"/>
          <w:i w:val="false"/>
          <w:caps w:val="false"/>
          <w:smallCaps w:val="false"/>
          <w:sz w:val="20"/>
        </w:rPr>
        <w:t>The benefit (provision) for income taxes from continuing operations consists of the following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805" w:name="xdx_8BE_zSatuDWp2Ljj"/>
      <w:bookmarkEnd w:id="805"/>
      <w:r>
        <w:rPr>
          <w:rFonts w:ascii="Times New Roman;Times;Serif" w:hAnsi="Times New Roman;Times;Serif"/>
          <w:b w:val="false"/>
          <w:i w:val="false"/>
          <w:caps w:val="false"/>
          <w:smallCaps w:val="false"/>
          <w:sz w:val="20"/>
        </w:rPr>
        <w:t>Schedule of Benefit (Provision) for Income Taxes from Continuing Operations </w:t>
      </w:r>
    </w:p>
    <w:tbl>
      <w:tblPr>
        <w:tblW w:w="4902" w:type="dxa"/>
        <w:jc w:val="left"/>
        <w:tblInd w:w="0" w:type="dxa"/>
        <w:tblLayout w:type="fixed"/>
        <w:tblCellMar>
          <w:top w:w="0" w:type="dxa"/>
          <w:left w:w="0" w:type="dxa"/>
          <w:bottom w:w="0" w:type="dxa"/>
          <w:right w:w="0" w:type="dxa"/>
        </w:tblCellMar>
      </w:tblPr>
      <w:tblGrid>
        <w:gridCol w:w="2015"/>
        <w:gridCol w:w="60"/>
        <w:gridCol w:w="405"/>
        <w:gridCol w:w="752"/>
        <w:gridCol w:w="219"/>
        <w:gridCol w:w="138"/>
        <w:gridCol w:w="324"/>
        <w:gridCol w:w="879"/>
        <w:gridCol w:w="110"/>
      </w:tblGrid>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6" w:name="xdx_493_20250101__20251231_zvVpMe9o26V3"/>
            <w:bookmarkEnd w:id="806"/>
          </w:p>
        </w:tc>
        <w:tc>
          <w:tcPr>
            <w:tcW w:w="11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bookmarkStart w:id="807" w:name="xdx_494_20240101__20241231_zn7Ym2slHn5a"/>
            <w:bookmarkEnd w:id="807"/>
          </w:p>
        </w:tc>
        <w:tc>
          <w:tcPr>
            <w:tcW w:w="12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9"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2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808" w:name="xdx_402_eus-gaap--CurrentFederalTaxExpen"/>
            <w:bookmarkEnd w:id="808"/>
          </w:p>
        </w:tc>
      </w:tr>
      <w:tr>
        <w:trPr/>
        <w:tc>
          <w:tcPr>
            <w:tcW w:w="2015" w:type="dxa"/>
            <w:tcBorders/>
            <w:shd w:fill="CCEEFF" w:val="clear"/>
            <w:vAlign w:val="center"/>
          </w:tcPr>
          <w:p>
            <w:pPr>
              <w:pStyle w:val="TableContents"/>
              <w:bidi w:val="0"/>
              <w:spacing w:before="0" w:after="283"/>
              <w:jc w:val="left"/>
              <w:rPr/>
            </w:pPr>
            <w:r>
              <w:rPr/>
              <w:t>Current  –  domestic</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w:t>
            </w:r>
          </w:p>
        </w:tc>
        <w:tc>
          <w:tcPr>
            <w:tcW w:w="752" w:type="dxa"/>
            <w:tcBorders/>
            <w:shd w:fill="CCEEFF" w:val="clear"/>
            <w:vAlign w:val="center"/>
          </w:tcPr>
          <w:p>
            <w:pPr>
              <w:pStyle w:val="TableContents"/>
              <w:bidi w:val="0"/>
              <w:spacing w:before="0" w:after="283"/>
              <w:jc w:val="right"/>
              <w:rPr/>
            </w:pPr>
            <w:r>
              <w:rPr/>
              <w:t>—</w:t>
            </w:r>
          </w:p>
        </w:tc>
        <w:tc>
          <w:tcPr>
            <w:tcW w:w="219"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879" w:type="dxa"/>
            <w:tcBorders/>
            <w:shd w:fill="CCEEFF" w:val="clear"/>
            <w:vAlign w:val="center"/>
          </w:tcPr>
          <w:p>
            <w:pPr>
              <w:pStyle w:val="TableContents"/>
              <w:bidi w:val="0"/>
              <w:spacing w:before="0" w:after="283"/>
              <w:jc w:val="right"/>
              <w:rPr/>
            </w:pPr>
            <w:r>
              <w:rPr/>
              <w:t>(21</w:t>
            </w:r>
          </w:p>
        </w:tc>
        <w:tc>
          <w:tcPr>
            <w:tcW w:w="110" w:type="dxa"/>
            <w:tcBorders/>
            <w:shd w:fill="CCEEFF" w:val="clear"/>
            <w:vAlign w:val="center"/>
          </w:tcPr>
          <w:p>
            <w:pPr>
              <w:pStyle w:val="TableContents"/>
              <w:bidi w:val="0"/>
              <w:spacing w:before="0" w:after="283"/>
              <w:jc w:val="left"/>
              <w:rPr/>
            </w:pPr>
            <w:r>
              <w:rPr/>
              <w:t>)</w:t>
            </w:r>
            <w:bookmarkStart w:id="809" w:name="xdx_404_eus-gaap--CurrentForeignTaxExpen"/>
            <w:bookmarkEnd w:id="809"/>
          </w:p>
        </w:tc>
      </w:tr>
      <w:tr>
        <w:trPr/>
        <w:tc>
          <w:tcPr>
            <w:tcW w:w="2015" w:type="dxa"/>
            <w:tcBorders/>
            <w:shd w:fill="FFFFFF" w:val="clear"/>
            <w:vAlign w:val="center"/>
          </w:tcPr>
          <w:p>
            <w:pPr>
              <w:pStyle w:val="TableContents"/>
              <w:bidi w:val="0"/>
              <w:spacing w:before="0" w:after="283"/>
              <w:jc w:val="left"/>
              <w:rPr/>
            </w:pPr>
            <w:r>
              <w:rPr/>
              <w:t>Current  –  foreign</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219" w:type="dxa"/>
            <w:tcBorders/>
            <w:shd w:fill="FFFFFF" w:val="clear"/>
            <w:vAlign w:val="center"/>
          </w:tcPr>
          <w:p>
            <w:pPr>
              <w:pStyle w:val="TableContents"/>
              <w:bidi w:val="0"/>
              <w:spacing w:before="0" w:after="283"/>
              <w:jc w:val="left"/>
              <w:rPr/>
            </w:pPr>
            <w:r>
              <w:rPr/>
              <w:t>)</w:t>
            </w:r>
          </w:p>
        </w:tc>
        <w:tc>
          <w:tcPr>
            <w:tcW w:w="138" w:type="dxa"/>
            <w:tcBorders/>
            <w:shd w:fill="FFFFFF" w:val="clear"/>
            <w:vAlign w:val="center"/>
          </w:tcPr>
          <w:p>
            <w:pPr>
              <w:pStyle w:val="TableContents"/>
              <w:bidi w:val="0"/>
              <w:spacing w:before="0" w:after="283"/>
              <w:jc w:val="left"/>
              <w:rPr/>
            </w:pPr>
            <w:r>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9" w:type="dxa"/>
            <w:tcBorders>
              <w:bottom w:val="single" w:sz="8" w:space="0" w:color="000000"/>
            </w:tcBorders>
            <w:shd w:fill="FFFFFF" w:val="clear"/>
            <w:tcMar>
              <w:bottom w:w="28" w:type="dxa"/>
            </w:tcMar>
            <w:vAlign w:val="center"/>
          </w:tcPr>
          <w:p>
            <w:pPr>
              <w:pStyle w:val="TableContents"/>
              <w:bidi w:val="0"/>
              <w:spacing w:before="0" w:after="283"/>
              <w:jc w:val="right"/>
              <w:rPr/>
            </w:pPr>
            <w:r>
              <w:rPr/>
              <w:t>803</w:t>
            </w:r>
          </w:p>
        </w:tc>
        <w:tc>
          <w:tcPr>
            <w:tcW w:w="110" w:type="dxa"/>
            <w:tcBorders/>
            <w:shd w:fill="FFFFFF" w:val="clear"/>
            <w:vAlign w:val="center"/>
          </w:tcPr>
          <w:p>
            <w:pPr>
              <w:pStyle w:val="TableContents"/>
              <w:bidi w:val="0"/>
              <w:spacing w:before="0" w:after="283"/>
              <w:jc w:val="left"/>
              <w:rPr/>
            </w:pPr>
            <w:r>
              <w:rPr/>
              <w:t> </w:t>
            </w:r>
            <w:bookmarkStart w:id="810" w:name="xdx_40C_eus-gaap--CurrentIncomeTaxExpens"/>
            <w:bookmarkEnd w:id="810"/>
          </w:p>
        </w:tc>
      </w:tr>
      <w:tr>
        <w:trPr/>
        <w:tc>
          <w:tcPr>
            <w:tcW w:w="2015" w:type="dxa"/>
            <w:tcBorders/>
            <w:shd w:fill="CCEEFF" w:val="clear"/>
            <w:vAlign w:val="center"/>
          </w:tcPr>
          <w:p>
            <w:pPr>
              <w:pStyle w:val="TableContents"/>
              <w:bidi w:val="0"/>
              <w:spacing w:before="0" w:after="283"/>
              <w:jc w:val="left"/>
              <w:rPr/>
            </w:pPr>
            <w:r>
              <w:rPr/>
              <w:t>Current  –  total</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(7</w:t>
            </w:r>
          </w:p>
        </w:tc>
        <w:tc>
          <w:tcPr>
            <w:tcW w:w="219" w:type="dxa"/>
            <w:tcBorders/>
            <w:shd w:fill="CCEEFF" w:val="clear"/>
            <w:vAlign w:val="center"/>
          </w:tcPr>
          <w:p>
            <w:pPr>
              <w:pStyle w:val="TableContents"/>
              <w:bidi w:val="0"/>
              <w:spacing w:before="0" w:after="283"/>
              <w:jc w:val="left"/>
              <w:rPr/>
            </w:pPr>
            <w:r>
              <w:rPr/>
              <w:t>)</w:t>
            </w:r>
          </w:p>
        </w:tc>
        <w:tc>
          <w:tcPr>
            <w:tcW w:w="138"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879" w:type="dxa"/>
            <w:tcBorders/>
            <w:shd w:fill="CCEEFF" w:val="clear"/>
            <w:vAlign w:val="center"/>
          </w:tcPr>
          <w:p>
            <w:pPr>
              <w:pStyle w:val="TableContents"/>
              <w:bidi w:val="0"/>
              <w:spacing w:before="0" w:after="283"/>
              <w:jc w:val="right"/>
              <w:rPr/>
            </w:pPr>
            <w:r>
              <w:rPr/>
              <w:t>782</w:t>
            </w:r>
          </w:p>
        </w:tc>
        <w:tc>
          <w:tcPr>
            <w:tcW w:w="110" w:type="dxa"/>
            <w:tcBorders/>
            <w:shd w:fill="CCEEFF" w:val="clear"/>
            <w:vAlign w:val="center"/>
          </w:tcPr>
          <w:p>
            <w:pPr>
              <w:pStyle w:val="TableContents"/>
              <w:bidi w:val="0"/>
              <w:spacing w:before="0" w:after="283"/>
              <w:jc w:val="left"/>
              <w:rPr/>
            </w:pPr>
            <w:r>
              <w:rPr/>
              <w:t> </w:t>
            </w:r>
            <w:bookmarkStart w:id="811" w:name="xdx_404_eus-gaap--DeferredFederalIncomeT"/>
            <w:bookmarkEnd w:id="811"/>
          </w:p>
        </w:tc>
      </w:tr>
      <w:tr>
        <w:trPr/>
        <w:tc>
          <w:tcPr>
            <w:tcW w:w="2015" w:type="dxa"/>
            <w:tcBorders/>
            <w:shd w:fill="FFFFFF" w:val="clear"/>
            <w:vAlign w:val="center"/>
          </w:tcPr>
          <w:p>
            <w:pPr>
              <w:pStyle w:val="TableContents"/>
              <w:bidi w:val="0"/>
              <w:spacing w:before="0" w:after="283"/>
              <w:jc w:val="left"/>
              <w:rPr/>
            </w:pPr>
            <w:r>
              <w:rPr/>
              <w:t>Deferred  –  domestic</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19"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12" w:name="xdx_403_eus-gaap--IncomeTaxExpenseBenefi"/>
            <w:bookmarkEnd w:id="812"/>
          </w:p>
        </w:tc>
      </w:tr>
      <w:tr>
        <w:trPr/>
        <w:tc>
          <w:tcPr>
            <w:tcW w:w="2015"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4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2" w:type="dxa"/>
            <w:tcBorders>
              <w:bottom w:val="double" w:sz="6" w:space="0" w:color="000000"/>
            </w:tcBorders>
            <w:shd w:fill="CCEEFF" w:val="clear"/>
            <w:tcMar>
              <w:bottom w:w="28" w:type="dxa"/>
            </w:tcMar>
            <w:vAlign w:val="center"/>
          </w:tcPr>
          <w:p>
            <w:pPr>
              <w:pStyle w:val="TableContents"/>
              <w:bidi w:val="0"/>
              <w:spacing w:before="0" w:after="283"/>
              <w:jc w:val="right"/>
              <w:rPr/>
            </w:pPr>
            <w:r>
              <w:rPr/>
              <w:t>(7</w:t>
            </w:r>
          </w:p>
        </w:tc>
        <w:tc>
          <w:tcPr>
            <w:tcW w:w="219" w:type="dxa"/>
            <w:tcBorders/>
            <w:shd w:fill="CCEEFF" w:val="clear"/>
            <w:vAlign w:val="center"/>
          </w:tcPr>
          <w:p>
            <w:pPr>
              <w:pStyle w:val="TableContents"/>
              <w:bidi w:val="0"/>
              <w:spacing w:before="0" w:after="283"/>
              <w:jc w:val="left"/>
              <w:rPr/>
            </w:pPr>
            <w:r>
              <w:rPr/>
              <w:t>)</w:t>
            </w:r>
          </w:p>
        </w:tc>
        <w:tc>
          <w:tcPr>
            <w:tcW w:w="138" w:type="dxa"/>
            <w:tcBorders/>
            <w:shd w:fill="CCEEFF" w:val="clear"/>
            <w:vAlign w:val="center"/>
          </w:tcPr>
          <w:p>
            <w:pPr>
              <w:pStyle w:val="TableContents"/>
              <w:bidi w:val="0"/>
              <w:spacing w:before="0" w:after="283"/>
              <w:jc w:val="left"/>
              <w:rPr/>
            </w:pPr>
            <w:r>
              <w:rPr/>
              <w:t> </w:t>
            </w:r>
          </w:p>
        </w:tc>
        <w:tc>
          <w:tcPr>
            <w:tcW w:w="32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9" w:type="dxa"/>
            <w:tcBorders>
              <w:bottom w:val="double" w:sz="6" w:space="0" w:color="000000"/>
            </w:tcBorders>
            <w:shd w:fill="CCEEFF" w:val="clear"/>
            <w:tcMar>
              <w:bottom w:w="28" w:type="dxa"/>
            </w:tcMar>
            <w:vAlign w:val="center"/>
          </w:tcPr>
          <w:p>
            <w:pPr>
              <w:pStyle w:val="TableContents"/>
              <w:bidi w:val="0"/>
              <w:spacing w:before="0" w:after="283"/>
              <w:jc w:val="right"/>
              <w:rPr/>
            </w:pPr>
            <w:r>
              <w:rPr/>
              <w:t>782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bookmarkStart w:id="813" w:name="xdx_8A3_zqnDNnx9lN73"/>
      <w:bookmarkEnd w:id="813"/>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a taxable loss in each of the operating periods since incorporation. The income tax credits of $</w:t>
      </w:r>
      <w:bookmarkStart w:id="814" w:name="xdx_904_eus-gaap--TaxCreditCarryforwardA"/>
      <w:bookmarkEnd w:id="814"/>
      <w:r>
        <w:rPr>
          <w:rFonts w:ascii="Times New Roman;Times;Serif" w:hAnsi="Times New Roman;Times;Serif"/>
          <w:b w:val="false"/>
          <w:i w:val="false"/>
          <w:caps w:val="false"/>
          <w:smallCaps w:val="false"/>
          <w:sz w:val="20"/>
        </w:rPr>
        <w:t>0 million and $</w:t>
      </w:r>
      <w:bookmarkStart w:id="815" w:name="xdx_90B_eus-gaap--TaxCreditCarryforwardA"/>
      <w:bookmarkEnd w:id="815"/>
      <w:r>
        <w:rPr>
          <w:rFonts w:ascii="Times New Roman;Times;Serif" w:hAnsi="Times New Roman;Times;Serif"/>
          <w:b w:val="false"/>
          <w:i w:val="false"/>
          <w:caps w:val="false"/>
          <w:smallCaps w:val="false"/>
          <w:sz w:val="20"/>
        </w:rPr>
        <w:t>0.8 million for the years ended December 31, 2025 and 2024, respectively, represent UK research and development (“R&amp;D”) tax credits for expenditures in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16" w:name="xdx_892_eus-gaap--ScheduleOfEffectiveInc"/>
      <w:bookmarkEnd w:id="816"/>
      <w:r>
        <w:rPr>
          <w:rFonts w:ascii="Times New Roman;Times;Serif" w:hAnsi="Times New Roman;Times;Serif"/>
          <w:b w:val="false"/>
          <w:i w:val="false"/>
          <w:caps w:val="false"/>
          <w:smallCaps w:val="false"/>
          <w:sz w:val="20"/>
        </w:rPr>
        <w:t>A reconciliation of the (benefit) provision for income taxes from continuing operations with the amount computed by applying the statutory federal tax rate to loss from continuing operations before income taxes is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17" w:name="xdx_8B9_zqGFwXCu0skb"/>
      <w:bookmarkEnd w:id="817"/>
      <w:r>
        <w:rPr>
          <w:rFonts w:ascii="Times New Roman;Times;Serif" w:hAnsi="Times New Roman;Times;Serif"/>
          <w:b w:val="false"/>
          <w:i w:val="false"/>
          <w:caps w:val="false"/>
          <w:smallCaps w:val="false"/>
          <w:sz w:val="20"/>
        </w:rPr>
        <w:t>Schedule of Effective Income Tax Rate Reconciliation </w:t>
      </w:r>
    </w:p>
    <w:tbl>
      <w:tblPr>
        <w:tblW w:w="8639" w:type="dxa"/>
        <w:jc w:val="left"/>
        <w:tblInd w:w="0" w:type="dxa"/>
        <w:tblLayout w:type="fixed"/>
        <w:tblCellMar>
          <w:top w:w="0" w:type="dxa"/>
          <w:left w:w="0" w:type="dxa"/>
          <w:bottom w:w="0" w:type="dxa"/>
          <w:right w:w="0" w:type="dxa"/>
        </w:tblCellMar>
      </w:tblPr>
      <w:tblGrid>
        <w:gridCol w:w="5750"/>
        <w:gridCol w:w="60"/>
        <w:gridCol w:w="425"/>
        <w:gridCol w:w="2294"/>
        <w:gridCol w:w="110"/>
      </w:tblGrid>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18" w:name="xdx_490_20250101__20251231_zI883CWCpXH"/>
            <w:bookmarkEnd w:id="818"/>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center"/>
              <w:rPr/>
            </w:pPr>
            <w:r>
              <w:rPr/>
              <w:t> </w:t>
            </w:r>
          </w:p>
        </w:tc>
      </w:tr>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819" w:name="xdx_406_eus-gaap--IncomeTaxReconciliatio"/>
            <w:bookmarkEnd w:id="819"/>
          </w:p>
        </w:tc>
      </w:tr>
      <w:tr>
        <w:trPr/>
        <w:tc>
          <w:tcPr>
            <w:tcW w:w="5750" w:type="dxa"/>
            <w:tcBorders/>
            <w:shd w:fill="CCEEFF" w:val="clear"/>
            <w:vAlign w:val="center"/>
          </w:tcPr>
          <w:p>
            <w:pPr>
              <w:pStyle w:val="TableContents"/>
              <w:bidi w:val="0"/>
              <w:spacing w:before="0" w:after="283"/>
              <w:jc w:val="left"/>
              <w:rPr/>
            </w:pPr>
            <w:r>
              <w:rPr/>
              <w:t xml:space="preserve">U.S. </w:t>
            </w:r>
            <w:bookmarkStart w:id="820" w:name="xdx_901_eus-gaap--TaxJurisdictionOfDomic"/>
            <w:bookmarkEnd w:id="820"/>
            <w:r>
              <w:rPr/>
              <w:t>Federal Statutory Tax Rate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w:t>
            </w:r>
          </w:p>
        </w:tc>
        <w:tc>
          <w:tcPr>
            <w:tcW w:w="2294" w:type="dxa"/>
            <w:tcBorders/>
            <w:shd w:fill="CCEEFF" w:val="clear"/>
            <w:vAlign w:val="center"/>
          </w:tcPr>
          <w:p>
            <w:pPr>
              <w:pStyle w:val="TableContents"/>
              <w:bidi w:val="0"/>
              <w:spacing w:before="0" w:after="283"/>
              <w:jc w:val="right"/>
              <w:rPr/>
            </w:pPr>
            <w:r>
              <w:rPr/>
              <w:t>(609</w:t>
            </w:r>
          </w:p>
        </w:tc>
        <w:tc>
          <w:tcPr>
            <w:tcW w:w="110" w:type="dxa"/>
            <w:tcBorders/>
            <w:shd w:fill="CCEEFF" w:val="clear"/>
            <w:vAlign w:val="center"/>
          </w:tcPr>
          <w:p>
            <w:pPr>
              <w:pStyle w:val="TableContents"/>
              <w:bidi w:val="0"/>
              <w:spacing w:before="0" w:after="283"/>
              <w:jc w:val="left"/>
              <w:rPr/>
            </w:pPr>
            <w:r>
              <w:rPr/>
              <w:t>)</w:t>
            </w:r>
            <w:bookmarkStart w:id="821" w:name="xdx_408_eus-gaap--IncomeTaxReconciliatio"/>
            <w:bookmarkEnd w:id="821"/>
          </w:p>
        </w:tc>
      </w:tr>
      <w:tr>
        <w:trPr/>
        <w:tc>
          <w:tcPr>
            <w:tcW w:w="5750" w:type="dxa"/>
            <w:tcBorders/>
            <w:shd w:fill="FFFFFF" w:val="clear"/>
            <w:vAlign w:val="center"/>
          </w:tcPr>
          <w:p>
            <w:pPr>
              <w:pStyle w:val="TableContents"/>
              <w:bidi w:val="0"/>
              <w:spacing w:before="0" w:after="283"/>
              <w:jc w:val="left"/>
              <w:rPr/>
            </w:pPr>
            <w:r>
              <w:rPr/>
              <w:t>State and local income taxes, net of federal income tax effect</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(483</w:t>
            </w:r>
          </w:p>
        </w:tc>
        <w:tc>
          <w:tcPr>
            <w:tcW w:w="110" w:type="dxa"/>
            <w:tcBorders/>
            <w:shd w:fill="FFFFFF" w:val="clear"/>
            <w:vAlign w:val="center"/>
          </w:tcPr>
          <w:p>
            <w:pPr>
              <w:pStyle w:val="TableContents"/>
              <w:bidi w:val="0"/>
              <w:spacing w:before="0" w:after="283"/>
              <w:jc w:val="left"/>
              <w:rPr/>
            </w:pPr>
            <w:r>
              <w:rPr/>
              <w:t>)</w:t>
            </w:r>
            <w:bookmarkStart w:id="822" w:name="xdx_40C_eus-gaap--IncomeTaxReconciliatio"/>
            <w:bookmarkEnd w:id="822"/>
          </w:p>
        </w:tc>
      </w:tr>
      <w:tr>
        <w:trPr/>
        <w:tc>
          <w:tcPr>
            <w:tcW w:w="5750" w:type="dxa"/>
            <w:tcBorders/>
            <w:shd w:fill="CCEEFF" w:val="clear"/>
            <w:vAlign w:val="center"/>
          </w:tcPr>
          <w:p>
            <w:pPr>
              <w:pStyle w:val="TableContents"/>
              <w:bidi w:val="0"/>
              <w:spacing w:before="0" w:after="283"/>
              <w:jc w:val="left"/>
              <w:rPr/>
            </w:pPr>
            <w:r>
              <w:rPr/>
              <w:t>Foreign Tax Effects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UK</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23" w:name="xdx_40F_eus-gaap--IncomeTaxReconciliatio"/>
            <w:bookmarkEnd w:id="823"/>
          </w:p>
        </w:tc>
      </w:tr>
      <w:tr>
        <w:trPr/>
        <w:tc>
          <w:tcPr>
            <w:tcW w:w="5750" w:type="dxa"/>
            <w:tcBorders/>
            <w:shd w:fill="CCEEFF" w:val="clear"/>
            <w:vAlign w:val="center"/>
          </w:tcPr>
          <w:p>
            <w:pPr>
              <w:pStyle w:val="TableContents"/>
              <w:bidi w:val="0"/>
              <w:spacing w:before="0" w:after="283"/>
              <w:jc w:val="left"/>
              <w:rPr/>
            </w:pPr>
            <w:r>
              <w:rPr/>
              <w:t>Statutory Tax Rate Difference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8,940</w:t>
            </w:r>
          </w:p>
        </w:tc>
        <w:tc>
          <w:tcPr>
            <w:tcW w:w="110" w:type="dxa"/>
            <w:tcBorders/>
            <w:shd w:fill="CCEEFF" w:val="clear"/>
            <w:vAlign w:val="center"/>
          </w:tcPr>
          <w:p>
            <w:pPr>
              <w:pStyle w:val="TableContents"/>
              <w:bidi w:val="0"/>
              <w:spacing w:before="0" w:after="283"/>
              <w:jc w:val="left"/>
              <w:rPr/>
            </w:pPr>
            <w:r>
              <w:rPr/>
              <w:t> </w:t>
            </w:r>
            <w:bookmarkStart w:id="824" w:name="xdx_403_eus-gaap--IncomeTaxReconciliatio"/>
            <w:bookmarkEnd w:id="824"/>
          </w:p>
        </w:tc>
      </w:tr>
      <w:tr>
        <w:trPr/>
        <w:tc>
          <w:tcPr>
            <w:tcW w:w="5750" w:type="dxa"/>
            <w:tcBorders/>
            <w:shd w:fill="FFFFFF" w:val="clear"/>
            <w:vAlign w:val="center"/>
          </w:tcPr>
          <w:p>
            <w:pPr>
              <w:pStyle w:val="TableContents"/>
              <w:bidi w:val="0"/>
              <w:spacing w:before="0" w:after="283"/>
              <w:jc w:val="left"/>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(55,877</w:t>
            </w:r>
          </w:p>
        </w:tc>
        <w:tc>
          <w:tcPr>
            <w:tcW w:w="110" w:type="dxa"/>
            <w:tcBorders/>
            <w:shd w:fill="FFFFFF" w:val="clear"/>
            <w:vAlign w:val="center"/>
          </w:tcPr>
          <w:p>
            <w:pPr>
              <w:pStyle w:val="TableContents"/>
              <w:bidi w:val="0"/>
              <w:spacing w:before="0" w:after="283"/>
              <w:jc w:val="left"/>
              <w:rPr/>
            </w:pPr>
            <w:r>
              <w:rPr/>
              <w:t>)</w:t>
            </w:r>
            <w:bookmarkStart w:id="825" w:name="xdx_405_eus-gaap--IncomeTaxReconciliatio"/>
            <w:bookmarkEnd w:id="825"/>
          </w:p>
        </w:tc>
      </w:tr>
      <w:tr>
        <w:trPr/>
        <w:tc>
          <w:tcPr>
            <w:tcW w:w="5750" w:type="dxa"/>
            <w:tcBorders/>
            <w:shd w:fill="CCEEFF" w:val="clear"/>
            <w:vAlign w:val="center"/>
          </w:tcPr>
          <w:p>
            <w:pPr>
              <w:pStyle w:val="TableContents"/>
              <w:bidi w:val="0"/>
              <w:spacing w:before="0" w:after="283"/>
              <w:jc w:val="left"/>
              <w:rPr/>
            </w:pPr>
            <w:r>
              <w:rPr/>
              <w:t>Non-deductible expenses</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47,251</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Malaysia</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26" w:name="xdx_40E_eus-gaap--IncomeTaxReconciliatio"/>
            <w:bookmarkEnd w:id="826"/>
          </w:p>
        </w:tc>
      </w:tr>
      <w:tr>
        <w:trPr/>
        <w:tc>
          <w:tcPr>
            <w:tcW w:w="5750" w:type="dxa"/>
            <w:tcBorders/>
            <w:shd w:fill="CCEEFF" w:val="clear"/>
            <w:vAlign w:val="center"/>
          </w:tcPr>
          <w:p>
            <w:pPr>
              <w:pStyle w:val="TableContents"/>
              <w:bidi w:val="0"/>
              <w:spacing w:before="0" w:after="283"/>
              <w:jc w:val="left"/>
              <w:rPr/>
            </w:pPr>
            <w:r>
              <w:rPr/>
              <w:t>Statutory Tax Rate Difference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(35</w:t>
            </w:r>
          </w:p>
        </w:tc>
        <w:tc>
          <w:tcPr>
            <w:tcW w:w="110" w:type="dxa"/>
            <w:tcBorders/>
            <w:shd w:fill="CCEEFF" w:val="clear"/>
            <w:vAlign w:val="center"/>
          </w:tcPr>
          <w:p>
            <w:pPr>
              <w:pStyle w:val="TableContents"/>
              <w:bidi w:val="0"/>
              <w:spacing w:before="0" w:after="283"/>
              <w:jc w:val="left"/>
              <w:rPr/>
            </w:pPr>
            <w:r>
              <w:rPr/>
              <w:t>)</w:t>
            </w:r>
          </w:p>
        </w:tc>
      </w:tr>
      <w:tr>
        <w:trPr/>
        <w:tc>
          <w:tcPr>
            <w:tcW w:w="5750" w:type="dxa"/>
            <w:tcBorders/>
            <w:shd w:fill="FFFFFF" w:val="clear"/>
            <w:vAlign w:val="center"/>
          </w:tcPr>
          <w:p>
            <w:pPr>
              <w:pStyle w:val="TableContents"/>
              <w:bidi w:val="0"/>
              <w:spacing w:before="0" w:after="283"/>
              <w:jc w:val="left"/>
              <w:rPr/>
            </w:pPr>
            <w:r>
              <w:rPr/>
              <w:t>US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27" w:name="xdx_403_eus-gaap--IncomeTaxReconciliatio"/>
            <w:bookmarkEnd w:id="827"/>
          </w:p>
        </w:tc>
      </w:tr>
      <w:tr>
        <w:trPr/>
        <w:tc>
          <w:tcPr>
            <w:tcW w:w="5750"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1,921</w:t>
            </w:r>
          </w:p>
        </w:tc>
        <w:tc>
          <w:tcPr>
            <w:tcW w:w="110" w:type="dxa"/>
            <w:tcBorders/>
            <w:shd w:fill="CCEEFF" w:val="clear"/>
            <w:vAlign w:val="center"/>
          </w:tcPr>
          <w:p>
            <w:pPr>
              <w:pStyle w:val="TableContents"/>
              <w:bidi w:val="0"/>
              <w:spacing w:before="0" w:after="283"/>
              <w:jc w:val="left"/>
              <w:rPr/>
            </w:pPr>
            <w:r>
              <w:rPr/>
              <w:t> </w:t>
            </w:r>
            <w:bookmarkStart w:id="828" w:name="xdx_40E_eus-gaap--IncomeTaxReconciliatio"/>
            <w:bookmarkEnd w:id="828"/>
          </w:p>
        </w:tc>
      </w:tr>
      <w:tr>
        <w:trPr/>
        <w:tc>
          <w:tcPr>
            <w:tcW w:w="5750" w:type="dxa"/>
            <w:tcBorders/>
            <w:shd w:fill="FFFFFF" w:val="clear"/>
            <w:vAlign w:val="center"/>
          </w:tcPr>
          <w:p>
            <w:pPr>
              <w:pStyle w:val="TableContents"/>
              <w:bidi w:val="0"/>
              <w:spacing w:before="0" w:after="283"/>
              <w:jc w:val="left"/>
              <w:rPr/>
            </w:pPr>
            <w:r>
              <w:rPr/>
              <w:t>Non-deductible expenses</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(1,039</w:t>
            </w:r>
          </w:p>
        </w:tc>
        <w:tc>
          <w:tcPr>
            <w:tcW w:w="110" w:type="dxa"/>
            <w:tcBorders/>
            <w:shd w:fill="FFFFFF" w:val="clear"/>
            <w:vAlign w:val="center"/>
          </w:tcPr>
          <w:p>
            <w:pPr>
              <w:pStyle w:val="TableContents"/>
              <w:bidi w:val="0"/>
              <w:spacing w:before="0" w:after="283"/>
              <w:jc w:val="left"/>
              <w:rPr/>
            </w:pPr>
            <w:r>
              <w:rPr/>
              <w:t>)</w:t>
            </w:r>
            <w:bookmarkStart w:id="829" w:name="xdx_407_eus-gaap--IncomeTaxReconciliatio"/>
            <w:bookmarkEnd w:id="829"/>
          </w:p>
        </w:tc>
      </w:tr>
      <w:tr>
        <w:trPr/>
        <w:tc>
          <w:tcPr>
            <w:tcW w:w="5750" w:type="dxa"/>
            <w:tcBorders/>
            <w:shd w:fill="CCEEFF" w:val="clear"/>
            <w:vAlign w:val="center"/>
          </w:tcPr>
          <w:p>
            <w:pPr>
              <w:pStyle w:val="TableContents"/>
              <w:bidi w:val="0"/>
              <w:spacing w:before="0" w:after="283"/>
              <w:jc w:val="left"/>
              <w:rPr/>
            </w:pPr>
            <w:r>
              <w:rPr/>
              <w:t>Other adjustments</w:t>
            </w:r>
          </w:p>
        </w:tc>
        <w:tc>
          <w:tcPr>
            <w:tcW w:w="60" w:type="dxa"/>
            <w:tcBorders/>
            <w:shd w:fill="CCEEFF" w:val="cle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94" w:type="dxa"/>
            <w:tcBorders>
              <w:bottom w:val="single" w:sz="8" w:space="0" w:color="000000"/>
            </w:tcBorders>
            <w:shd w:fill="CCEEFF" w:val="clear"/>
            <w:tcMar>
              <w:bottom w:w="28" w:type="dxa"/>
            </w:tcMar>
            <w:vAlign w:val="center"/>
          </w:tcPr>
          <w:p>
            <w:pPr>
              <w:pStyle w:val="TableContents"/>
              <w:bidi w:val="0"/>
              <w:spacing w:before="0" w:after="283"/>
              <w:jc w:val="right"/>
              <w:rPr/>
            </w:pPr>
            <w:r>
              <w:rPr/>
              <w:t>(62</w:t>
            </w:r>
          </w:p>
        </w:tc>
        <w:tc>
          <w:tcPr>
            <w:tcW w:w="110" w:type="dxa"/>
            <w:tcBorders/>
            <w:shd w:fill="CCEEFF" w:val="clear"/>
            <w:vAlign w:val="center"/>
          </w:tcPr>
          <w:p>
            <w:pPr>
              <w:pStyle w:val="TableContents"/>
              <w:bidi w:val="0"/>
              <w:spacing w:before="0" w:after="283"/>
              <w:jc w:val="left"/>
              <w:rPr/>
            </w:pPr>
            <w:r>
              <w:rPr/>
              <w:t>)</w:t>
            </w:r>
            <w:bookmarkStart w:id="830" w:name="xdx_402_eus-gaap--IncomeTaxExpenseBenefi"/>
            <w:bookmarkEnd w:id="830"/>
          </w:p>
        </w:tc>
      </w:tr>
      <w:tr>
        <w:trPr/>
        <w:tc>
          <w:tcPr>
            <w:tcW w:w="575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Income tax benefit</w:t>
            </w:r>
          </w:p>
        </w:tc>
        <w:tc>
          <w:tcPr>
            <w:tcW w:w="60" w:type="dxa"/>
            <w:tcBorders/>
            <w:shd w:fill="FFFFFF" w:val="cle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22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firstLine="360"/>
        <w:jc w:val="both"/>
        <w:rPr>
          <w:caps w:val="false"/>
          <w:smallCaps w:val="false"/>
        </w:rPr>
      </w:pPr>
      <w:r>
        <w:rPr>
          <w:caps w:val="false"/>
          <w:smallCaps w:val="false"/>
        </w:rPr>
        <w:t> </w:t>
      </w:r>
    </w:p>
    <w:tbl>
      <w:tblPr>
        <w:tblW w:w="8339" w:type="dxa"/>
        <w:jc w:val="left"/>
        <w:tblInd w:w="0" w:type="dxa"/>
        <w:tblLayout w:type="fixed"/>
        <w:tblCellMar>
          <w:top w:w="0" w:type="dxa"/>
          <w:left w:w="0" w:type="dxa"/>
          <w:bottom w:w="0" w:type="dxa"/>
          <w:right w:w="0" w:type="dxa"/>
        </w:tblCellMar>
      </w:tblPr>
      <w:tblGrid>
        <w:gridCol w:w="5450"/>
        <w:gridCol w:w="60"/>
        <w:gridCol w:w="425"/>
        <w:gridCol w:w="2294"/>
        <w:gridCol w:w="110"/>
      </w:tblGrid>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31" w:name="xdx_497_20240101__20241231_zYdS2A0ycWS7"/>
            <w:bookmarkEnd w:id="831"/>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832" w:name="xdx_403_eus-gaap--IncomeLossFromContinui"/>
            <w:bookmarkEnd w:id="832"/>
          </w:p>
        </w:tc>
      </w:tr>
      <w:tr>
        <w:trPr/>
        <w:tc>
          <w:tcPr>
            <w:tcW w:w="5450" w:type="dxa"/>
            <w:tcBorders/>
            <w:shd w:fill="CCEEFF" w:val="clear"/>
            <w:vAlign w:val="center"/>
          </w:tcPr>
          <w:p>
            <w:pPr>
              <w:pStyle w:val="TableContents"/>
              <w:bidi w:val="0"/>
              <w:spacing w:before="0" w:after="283"/>
              <w:jc w:val="left"/>
              <w:rPr/>
            </w:pPr>
            <w:r>
              <w:rPr/>
              <w:t>Loss from continuing operations before taxes</w:t>
            </w:r>
          </w:p>
        </w:tc>
        <w:tc>
          <w:tcPr>
            <w:tcW w:w="60" w:type="dxa"/>
            <w:tcBorders/>
            <w:shd w:fill="CCEEFF" w:val="clear"/>
            <w:vAlign w:val="center"/>
          </w:tcPr>
          <w:p>
            <w:pPr>
              <w:pStyle w:val="TableContents"/>
              <w:bidi w:val="0"/>
              <w:spacing w:before="0" w:after="283"/>
              <w:jc w:val="left"/>
              <w:rPr/>
            </w:pPr>
            <w:r>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294" w:type="dxa"/>
            <w:tcBorders>
              <w:bottom w:val="double" w:sz="6" w:space="0" w:color="000000"/>
            </w:tcBorders>
            <w:shd w:fill="CCEEFF" w:val="clear"/>
            <w:tcMar>
              <w:bottom w:w="28" w:type="dxa"/>
            </w:tcMar>
            <w:vAlign w:val="center"/>
          </w:tcPr>
          <w:p>
            <w:pPr>
              <w:pStyle w:val="TableContents"/>
              <w:bidi w:val="0"/>
              <w:spacing w:before="0" w:after="283"/>
              <w:jc w:val="right"/>
              <w:rPr/>
            </w:pPr>
            <w:r>
              <w:rPr/>
              <w:t>(11,994</w:t>
            </w:r>
          </w:p>
        </w:tc>
        <w:tc>
          <w:tcPr>
            <w:tcW w:w="110" w:type="dxa"/>
            <w:tcBorders/>
            <w:shd w:fill="CCEEFF" w:val="clear"/>
            <w:vAlign w:val="center"/>
          </w:tcPr>
          <w:p>
            <w:pPr>
              <w:pStyle w:val="TableContents"/>
              <w:bidi w:val="0"/>
              <w:spacing w:before="0" w:after="283"/>
              <w:jc w:val="left"/>
              <w:rPr/>
            </w:pPr>
            <w:r>
              <w:rPr/>
              <w:t>)</w:t>
            </w:r>
            <w:bookmarkStart w:id="833" w:name="xdx_40A_eus-gaap--IncomeTaxReconciliatio"/>
            <w:bookmarkEnd w:id="833"/>
          </w:p>
        </w:tc>
      </w:tr>
      <w:tr>
        <w:trPr/>
        <w:tc>
          <w:tcPr>
            <w:tcW w:w="5450" w:type="dxa"/>
            <w:tcBorders/>
            <w:shd w:fill="FFFFFF" w:val="clear"/>
            <w:vAlign w:val="center"/>
          </w:tcPr>
          <w:p>
            <w:pPr>
              <w:pStyle w:val="TableContents"/>
              <w:bidi w:val="0"/>
              <w:spacing w:before="0" w:after="283"/>
              <w:jc w:val="left"/>
              <w:rPr/>
            </w:pPr>
            <w:r>
              <w:rPr/>
              <w:t>Income tax expense computed at statutory federal tax rate</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(2,527</w:t>
            </w:r>
          </w:p>
        </w:tc>
        <w:tc>
          <w:tcPr>
            <w:tcW w:w="110" w:type="dxa"/>
            <w:tcBorders/>
            <w:shd w:fill="FFFFFF" w:val="clear"/>
            <w:vAlign w:val="center"/>
          </w:tcPr>
          <w:p>
            <w:pPr>
              <w:pStyle w:val="TableContents"/>
              <w:bidi w:val="0"/>
              <w:spacing w:before="0" w:after="283"/>
              <w:jc w:val="left"/>
              <w:rPr/>
            </w:pPr>
            <w:r>
              <w:rPr/>
              <w:t>)</w:t>
            </w:r>
            <w:bookmarkStart w:id="834" w:name="xdx_402_ecustom--IncomeTaxReconciliation"/>
            <w:bookmarkEnd w:id="834"/>
          </w:p>
        </w:tc>
      </w:tr>
      <w:tr>
        <w:trPr/>
        <w:tc>
          <w:tcPr>
            <w:tcW w:w="5450" w:type="dxa"/>
            <w:tcBorders/>
            <w:shd w:fill="CCEEFF" w:val="clear"/>
            <w:vAlign w:val="center"/>
          </w:tcPr>
          <w:p>
            <w:pPr>
              <w:pStyle w:val="TableContents"/>
              <w:bidi w:val="0"/>
              <w:spacing w:before="0" w:after="283"/>
              <w:jc w:val="left"/>
              <w:rPr/>
            </w:pPr>
            <w:r>
              <w:rPr/>
              <w:t>Disallowed expenses and non-taxable income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35</w:t>
            </w:r>
          </w:p>
        </w:tc>
        <w:tc>
          <w:tcPr>
            <w:tcW w:w="110" w:type="dxa"/>
            <w:tcBorders/>
            <w:shd w:fill="CCEEFF" w:val="clear"/>
            <w:vAlign w:val="center"/>
          </w:tcPr>
          <w:p>
            <w:pPr>
              <w:pStyle w:val="TableContents"/>
              <w:bidi w:val="0"/>
              <w:spacing w:before="0" w:after="283"/>
              <w:jc w:val="left"/>
              <w:rPr/>
            </w:pPr>
            <w:r>
              <w:rPr/>
              <w:t> </w:t>
            </w:r>
            <w:bookmarkStart w:id="835" w:name="xdx_403_eus-gaap--IncomeTaxReconciliatio"/>
            <w:bookmarkEnd w:id="835"/>
          </w:p>
        </w:tc>
      </w:tr>
      <w:tr>
        <w:trPr/>
        <w:tc>
          <w:tcPr>
            <w:tcW w:w="5450" w:type="dxa"/>
            <w:tcBorders/>
            <w:shd w:fill="FFFFFF" w:val="clear"/>
            <w:vAlign w:val="center"/>
          </w:tcPr>
          <w:p>
            <w:pPr>
              <w:pStyle w:val="TableContents"/>
              <w:bidi w:val="0"/>
              <w:spacing w:before="0" w:after="283"/>
              <w:jc w:val="left"/>
              <w:rPr/>
            </w:pPr>
            <w:r>
              <w:rPr/>
              <w:t>Loss surrendered to generate R&amp;D credit</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36" w:name="xdx_405_ecustom--IncomeTaxReconciliation"/>
            <w:bookmarkEnd w:id="836"/>
          </w:p>
        </w:tc>
      </w:tr>
      <w:tr>
        <w:trPr/>
        <w:tc>
          <w:tcPr>
            <w:tcW w:w="5450" w:type="dxa"/>
            <w:tcBorders/>
            <w:shd w:fill="CCEEFF" w:val="clear"/>
            <w:vAlign w:val="center"/>
          </w:tcPr>
          <w:p>
            <w:pPr>
              <w:pStyle w:val="TableContents"/>
              <w:bidi w:val="0"/>
              <w:spacing w:before="0" w:after="283"/>
              <w:jc w:val="left"/>
              <w:rPr/>
            </w:pPr>
            <w:r>
              <w:rPr/>
              <w:t>Additional research and development tax relief</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837" w:name="xdx_401_eus-gaap--IncomeTaxReconciliatio"/>
            <w:bookmarkEnd w:id="837"/>
          </w:p>
        </w:tc>
      </w:tr>
      <w:tr>
        <w:trPr/>
        <w:tc>
          <w:tcPr>
            <w:tcW w:w="5450" w:type="dxa"/>
            <w:tcBorders/>
            <w:shd w:fill="FFFFFF" w:val="clear"/>
            <w:vAlign w:val="center"/>
          </w:tcPr>
          <w:p>
            <w:pPr>
              <w:pStyle w:val="TableContents"/>
              <w:bidi w:val="0"/>
              <w:spacing w:before="0" w:after="283"/>
              <w:jc w:val="left"/>
              <w:rPr/>
            </w:pPr>
            <w:r>
              <w:rPr/>
              <w:t>Stock Compensation</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30</w:t>
            </w:r>
          </w:p>
        </w:tc>
        <w:tc>
          <w:tcPr>
            <w:tcW w:w="110" w:type="dxa"/>
            <w:tcBorders/>
            <w:shd w:fill="FFFFFF" w:val="clear"/>
            <w:vAlign w:val="center"/>
          </w:tcPr>
          <w:p>
            <w:pPr>
              <w:pStyle w:val="TableContents"/>
              <w:bidi w:val="0"/>
              <w:spacing w:before="0" w:after="283"/>
              <w:jc w:val="left"/>
              <w:rPr/>
            </w:pPr>
            <w:r>
              <w:rPr/>
              <w:t> </w:t>
            </w:r>
            <w:bookmarkStart w:id="838" w:name="xdx_402_eus-gaap--IncomeTaxReconciliatio"/>
            <w:bookmarkEnd w:id="838"/>
          </w:p>
        </w:tc>
      </w:tr>
      <w:tr>
        <w:trPr/>
        <w:tc>
          <w:tcPr>
            <w:tcW w:w="5450"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2,798</w:t>
            </w:r>
          </w:p>
        </w:tc>
        <w:tc>
          <w:tcPr>
            <w:tcW w:w="110" w:type="dxa"/>
            <w:tcBorders/>
            <w:shd w:fill="CCEEFF" w:val="clear"/>
            <w:vAlign w:val="center"/>
          </w:tcPr>
          <w:p>
            <w:pPr>
              <w:pStyle w:val="TableContents"/>
              <w:bidi w:val="0"/>
              <w:spacing w:before="0" w:after="283"/>
              <w:jc w:val="left"/>
              <w:rPr/>
            </w:pPr>
            <w:r>
              <w:rPr/>
              <w:t> </w:t>
            </w:r>
            <w:bookmarkStart w:id="839" w:name="xdx_401_eus-gaap--IncomeTaxReconciliatio"/>
            <w:bookmarkEnd w:id="839"/>
          </w:p>
        </w:tc>
      </w:tr>
      <w:tr>
        <w:trPr/>
        <w:tc>
          <w:tcPr>
            <w:tcW w:w="5450" w:type="dxa"/>
            <w:tcBorders/>
            <w:shd w:fill="FFFFFF" w:val="clear"/>
            <w:vAlign w:val="center"/>
          </w:tcPr>
          <w:p>
            <w:pPr>
              <w:pStyle w:val="TableContents"/>
              <w:bidi w:val="0"/>
              <w:spacing w:before="0" w:after="283"/>
              <w:jc w:val="left"/>
              <w:rPr/>
            </w:pPr>
            <w:r>
              <w:rPr/>
              <w:t>Foreign items, including change in tax rates, and other</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(1,158</w:t>
            </w:r>
          </w:p>
        </w:tc>
        <w:tc>
          <w:tcPr>
            <w:tcW w:w="110" w:type="dxa"/>
            <w:tcBorders/>
            <w:shd w:fill="FFFFFF" w:val="clear"/>
            <w:vAlign w:val="center"/>
          </w:tcPr>
          <w:p>
            <w:pPr>
              <w:pStyle w:val="TableContents"/>
              <w:bidi w:val="0"/>
              <w:spacing w:before="0" w:after="283"/>
              <w:jc w:val="left"/>
              <w:rPr/>
            </w:pPr>
            <w:r>
              <w:rPr/>
              <w:t>)</w:t>
            </w:r>
            <w:bookmarkStart w:id="840" w:name="xdx_401_eus-gaap--IncomeTaxReconciliatio"/>
            <w:bookmarkEnd w:id="840"/>
          </w:p>
        </w:tc>
      </w:tr>
      <w:tr>
        <w:trPr/>
        <w:tc>
          <w:tcPr>
            <w:tcW w:w="5450" w:type="dxa"/>
            <w:tcBorders/>
            <w:shd w:fill="CCEEFF" w:val="clear"/>
            <w:vAlign w:val="center"/>
          </w:tcPr>
          <w:p>
            <w:pPr>
              <w:pStyle w:val="TableContents"/>
              <w:bidi w:val="0"/>
              <w:spacing w:before="0" w:after="283"/>
              <w:jc w:val="left"/>
              <w:rPr/>
            </w:pPr>
            <w:r>
              <w:rPr/>
              <w:t>Change in Tax Rate</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9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841" w:name="xdx_408_ecustom--IncomeTaxReconciliation"/>
            <w:bookmarkEnd w:id="841"/>
          </w:p>
        </w:tc>
      </w:tr>
      <w:tr>
        <w:trPr/>
        <w:tc>
          <w:tcPr>
            <w:tcW w:w="5450" w:type="dxa"/>
            <w:tcBorders/>
            <w:shd w:fill="FFFFFF" w:val="clear"/>
            <w:vAlign w:val="center"/>
          </w:tcPr>
          <w:p>
            <w:pPr>
              <w:pStyle w:val="TableContents"/>
              <w:bidi w:val="0"/>
              <w:spacing w:before="0" w:after="283"/>
              <w:jc w:val="left"/>
              <w:rPr/>
            </w:pPr>
            <w:r>
              <w:rPr/>
              <w:t>Section 382 Limitation</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9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42" w:name="xdx_409_ecustom--EffectiveIncomeTaxRateR"/>
            <w:bookmarkEnd w:id="842"/>
          </w:p>
        </w:tc>
      </w:tr>
      <w:tr>
        <w:trPr/>
        <w:tc>
          <w:tcPr>
            <w:tcW w:w="5450" w:type="dxa"/>
            <w:tcBorders/>
            <w:shd w:fill="CCEEFF" w:val="clear"/>
            <w:vAlign w:val="center"/>
          </w:tcPr>
          <w:p>
            <w:pPr>
              <w:pStyle w:val="TableContents"/>
              <w:bidi w:val="0"/>
              <w:spacing w:before="0" w:after="283"/>
              <w:jc w:val="left"/>
              <w:rPr/>
            </w:pPr>
            <w:r>
              <w:rPr/>
              <w:t>Other items</w:t>
            </w:r>
          </w:p>
        </w:tc>
        <w:tc>
          <w:tcPr>
            <w:tcW w:w="60" w:type="dxa"/>
            <w:tcBorders/>
            <w:shd w:fill="CCEEFF" w:val="clear"/>
            <w:vAlign w:val="center"/>
          </w:tcPr>
          <w:p>
            <w:pPr>
              <w:pStyle w:val="TableContents"/>
              <w:bidi w:val="0"/>
              <w:spacing w:before="0" w:after="283"/>
              <w:jc w:val="left"/>
              <w:rPr/>
            </w:pPr>
            <w:r>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94"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110" w:type="dxa"/>
            <w:tcBorders/>
            <w:shd w:fill="CCEEFF" w:val="clear"/>
            <w:vAlign w:val="center"/>
          </w:tcPr>
          <w:p>
            <w:pPr>
              <w:pStyle w:val="TableContents"/>
              <w:bidi w:val="0"/>
              <w:spacing w:before="0" w:after="283"/>
              <w:jc w:val="left"/>
              <w:rPr/>
            </w:pPr>
            <w:r>
              <w:rPr/>
              <w:t> </w:t>
            </w:r>
            <w:bookmarkStart w:id="843" w:name="xdx_405_eus-gaap--IncomeTaxExpenseBenefi"/>
            <w:bookmarkEnd w:id="843"/>
          </w:p>
        </w:tc>
      </w:tr>
      <w:tr>
        <w:trPr/>
        <w:tc>
          <w:tcPr>
            <w:tcW w:w="5450" w:type="dxa"/>
            <w:tcBorders/>
            <w:shd w:fill="FFFFFF" w:val="clear"/>
            <w:vAlign w:val="center"/>
          </w:tcPr>
          <w:p>
            <w:pPr>
              <w:pStyle w:val="TableContents"/>
              <w:bidi w:val="0"/>
              <w:spacing w:before="0" w:after="283"/>
              <w:jc w:val="left"/>
              <w:rPr/>
            </w:pPr>
            <w:r>
              <w:rPr/>
              <w:t> </w:t>
            </w:r>
            <w:r>
              <w:rPr>
                <w:rFonts w:ascii="Times New Roman;Times;Serif" w:hAnsi="Times New Roman;Times;Serif"/>
                <w:sz w:val="20"/>
              </w:rPr>
              <w:t>Income tax benefit</w:t>
            </w:r>
          </w:p>
        </w:tc>
        <w:tc>
          <w:tcPr>
            <w:tcW w:w="60" w:type="dxa"/>
            <w:tcBorders/>
            <w:shd w:fill="FFFFFF" w:val="clear"/>
            <w:vAlign w:val="center"/>
          </w:tcPr>
          <w:p>
            <w:pPr>
              <w:pStyle w:val="TableContents"/>
              <w:bidi w:val="0"/>
              <w:spacing w:before="0" w:after="283"/>
              <w:jc w:val="left"/>
              <w:rPr/>
            </w:pPr>
            <w:r>
              <w:rPr/>
              <w:t> </w:t>
            </w:r>
          </w:p>
        </w:tc>
        <w:tc>
          <w:tcPr>
            <w:tcW w:w="42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229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(782</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both"/>
        <w:rPr>
          <w:caps w:val="false"/>
          <w:smallCaps w:val="false"/>
        </w:rPr>
      </w:pPr>
      <w:bookmarkStart w:id="844" w:name="xdx_8A0_zI1bSEqHcHu7"/>
      <w:bookmarkEnd w:id="844"/>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845" w:name="xdx_89D_eus-gaap--ScheduleOfDeferredTaxA"/>
      <w:bookmarkEnd w:id="845"/>
      <w:r>
        <w:rPr>
          <w:rFonts w:ascii="Times New Roman;Times;Serif" w:hAnsi="Times New Roman;Times;Serif"/>
          <w:b w:val="false"/>
          <w:i w:val="false"/>
          <w:caps w:val="false"/>
          <w:smallCaps w:val="false"/>
          <w:sz w:val="20"/>
        </w:rPr>
        <w:t>Significant components of the Company’s deferred tax assets are shown below (in thousands):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46" w:name="xdx_8B9_z2u6za9PHft8"/>
      <w:bookmarkEnd w:id="846"/>
      <w:r>
        <w:rPr>
          <w:rFonts w:ascii="Times New Roman;Times;Serif" w:hAnsi="Times New Roman;Times;Serif"/>
          <w:b w:val="false"/>
          <w:i w:val="false"/>
          <w:caps w:val="false"/>
          <w:smallCaps w:val="false"/>
          <w:sz w:val="20"/>
        </w:rPr>
        <w:t>Schedule of Deferred Tax Assets </w:t>
      </w:r>
    </w:p>
    <w:tbl>
      <w:tblPr>
        <w:tblW w:w="9522" w:type="dxa"/>
        <w:jc w:val="left"/>
        <w:tblInd w:w="0" w:type="dxa"/>
        <w:tblLayout w:type="fixed"/>
        <w:tblCellMar>
          <w:top w:w="0" w:type="dxa"/>
          <w:left w:w="0" w:type="dxa"/>
          <w:bottom w:w="0" w:type="dxa"/>
          <w:right w:w="0" w:type="dxa"/>
        </w:tblCellMar>
      </w:tblPr>
      <w:tblGrid>
        <w:gridCol w:w="6635"/>
        <w:gridCol w:w="60"/>
        <w:gridCol w:w="208"/>
        <w:gridCol w:w="946"/>
        <w:gridCol w:w="141"/>
        <w:gridCol w:w="89"/>
        <w:gridCol w:w="208"/>
        <w:gridCol w:w="1125"/>
        <w:gridCol w:w="110"/>
      </w:tblGrid>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47" w:name="xdx_495_20251231_zm0zhq1OEfDa"/>
            <w:bookmarkEnd w:id="847"/>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bookmarkStart w:id="848" w:name="xdx_49E_20241231_zCXqbsvIXyH4"/>
            <w:bookmarkEnd w:id="848"/>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849" w:name="xdx_40D_eus-gaap--DeferredTaxAssetsOpera"/>
            <w:bookmarkEnd w:id="849"/>
          </w:p>
        </w:tc>
      </w:tr>
      <w:tr>
        <w:trPr/>
        <w:tc>
          <w:tcPr>
            <w:tcW w:w="6635" w:type="dxa"/>
            <w:tcBorders/>
            <w:shd w:fill="CCEEFF" w:val="clear"/>
            <w:vAlign w:val="center"/>
          </w:tcPr>
          <w:p>
            <w:pPr>
              <w:pStyle w:val="TableContents"/>
              <w:bidi w:val="0"/>
              <w:spacing w:before="0" w:after="283"/>
              <w:jc w:val="left"/>
              <w:rPr/>
            </w:pPr>
            <w:r>
              <w:rPr/>
              <w:t>Net operating loss and tax credit carryforwards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3,203</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59,417</w:t>
            </w:r>
          </w:p>
        </w:tc>
        <w:tc>
          <w:tcPr>
            <w:tcW w:w="110" w:type="dxa"/>
            <w:tcBorders/>
            <w:shd w:fill="CCEEFF" w:val="clear"/>
            <w:vAlign w:val="center"/>
          </w:tcPr>
          <w:p>
            <w:pPr>
              <w:pStyle w:val="TableContents"/>
              <w:bidi w:val="0"/>
              <w:spacing w:before="0" w:after="283"/>
              <w:jc w:val="left"/>
              <w:rPr/>
            </w:pPr>
            <w:r>
              <w:rPr/>
              <w:t> </w:t>
            </w:r>
            <w:bookmarkStart w:id="850" w:name="xdx_40A_ecustom--DeferredTaxAssetsTaxDef"/>
            <w:bookmarkEnd w:id="850"/>
          </w:p>
        </w:tc>
      </w:tr>
      <w:tr>
        <w:trPr/>
        <w:tc>
          <w:tcPr>
            <w:tcW w:w="6635" w:type="dxa"/>
            <w:tcBorders/>
            <w:shd w:fill="FFFFFF" w:val="clear"/>
            <w:vAlign w:val="center"/>
          </w:tcPr>
          <w:p>
            <w:pPr>
              <w:pStyle w:val="TableContents"/>
              <w:bidi w:val="0"/>
              <w:spacing w:before="0" w:after="283"/>
              <w:jc w:val="left"/>
              <w:rPr/>
            </w:pPr>
            <w:r>
              <w:rPr/>
              <w:t>Depreciation, amortization and impairment of property and equipment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39</w:t>
            </w:r>
          </w:p>
        </w:tc>
        <w:tc>
          <w:tcPr>
            <w:tcW w:w="110" w:type="dxa"/>
            <w:tcBorders/>
            <w:shd w:fill="FFFFFF" w:val="clear"/>
            <w:vAlign w:val="center"/>
          </w:tcPr>
          <w:p>
            <w:pPr>
              <w:pStyle w:val="TableContents"/>
              <w:bidi w:val="0"/>
              <w:spacing w:before="0" w:after="283"/>
              <w:jc w:val="left"/>
              <w:rPr/>
            </w:pPr>
            <w:r>
              <w:rPr/>
              <w:t> </w:t>
            </w:r>
            <w:bookmarkStart w:id="851" w:name="xdx_405_eus-gaap--DeferredTaxAssetsTaxDe"/>
            <w:bookmarkEnd w:id="851"/>
          </w:p>
        </w:tc>
      </w:tr>
      <w:tr>
        <w:trPr/>
        <w:tc>
          <w:tcPr>
            <w:tcW w:w="6635"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907</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250</w:t>
            </w:r>
          </w:p>
        </w:tc>
        <w:tc>
          <w:tcPr>
            <w:tcW w:w="110" w:type="dxa"/>
            <w:tcBorders/>
            <w:shd w:fill="CCEEFF" w:val="clear"/>
            <w:vAlign w:val="center"/>
          </w:tcPr>
          <w:p>
            <w:pPr>
              <w:pStyle w:val="TableContents"/>
              <w:bidi w:val="0"/>
              <w:spacing w:before="0" w:after="283"/>
              <w:jc w:val="left"/>
              <w:rPr/>
            </w:pPr>
            <w:r>
              <w:rPr/>
              <w:t> </w:t>
            </w:r>
            <w:bookmarkStart w:id="852" w:name="xdx_40F_eus-gaap--DeferredTaxAssetsInPro"/>
            <w:bookmarkEnd w:id="852"/>
          </w:p>
        </w:tc>
      </w:tr>
      <w:tr>
        <w:trPr/>
        <w:tc>
          <w:tcPr>
            <w:tcW w:w="6635" w:type="dxa"/>
            <w:tcBorders/>
            <w:shd w:fill="FFFFFF" w:val="clear"/>
            <w:vAlign w:val="center"/>
          </w:tcPr>
          <w:p>
            <w:pPr>
              <w:pStyle w:val="TableContents"/>
              <w:bidi w:val="0"/>
              <w:spacing w:before="0" w:after="283"/>
              <w:jc w:val="left"/>
              <w:rPr/>
            </w:pPr>
            <w:r>
              <w:rPr/>
              <w:t>Research and development credits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53" w:name="xdx_400_ecustom--DeferredTaxAssetsLeaseR"/>
            <w:bookmarkEnd w:id="853"/>
          </w:p>
        </w:tc>
      </w:tr>
      <w:tr>
        <w:trPr/>
        <w:tc>
          <w:tcPr>
            <w:tcW w:w="6635" w:type="dxa"/>
            <w:tcBorders/>
            <w:shd w:fill="CCEEFF" w:val="clear"/>
            <w:vAlign w:val="center"/>
          </w:tcPr>
          <w:p>
            <w:pPr>
              <w:pStyle w:val="TableContents"/>
              <w:bidi w:val="0"/>
              <w:spacing w:before="0" w:after="283"/>
              <w:jc w:val="left"/>
              <w:rPr/>
            </w:pPr>
            <w:r>
              <w:rPr/>
              <w:t>Right of use asset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(3</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w:t>
            </w:r>
            <w:bookmarkStart w:id="854" w:name="xdx_409_ecustom--DeferredTaxAssetsLeaseR"/>
            <w:bookmarkEnd w:id="854"/>
          </w:p>
        </w:tc>
      </w:tr>
      <w:tr>
        <w:trPr/>
        <w:tc>
          <w:tcPr>
            <w:tcW w:w="6635" w:type="dxa"/>
            <w:tcBorders/>
            <w:shd w:fill="FFFFFF" w:val="clear"/>
            <w:vAlign w:val="center"/>
          </w:tcPr>
          <w:p>
            <w:pPr>
              <w:pStyle w:val="TableContents"/>
              <w:bidi w:val="0"/>
              <w:spacing w:before="0" w:after="283"/>
              <w:jc w:val="left"/>
              <w:rPr/>
            </w:pPr>
            <w:r>
              <w:rPr/>
              <w:t>Lease liability</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3</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jc w:val="left"/>
              <w:rPr/>
            </w:pPr>
            <w:r>
              <w:rPr/>
              <w:t> </w:t>
            </w:r>
            <w:bookmarkStart w:id="855" w:name="xdx_40F_eus-gaap--DeferredTaxAssetsOther"/>
            <w:bookmarkEnd w:id="855"/>
          </w:p>
        </w:tc>
      </w:tr>
      <w:tr>
        <w:trPr/>
        <w:tc>
          <w:tcPr>
            <w:tcW w:w="663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114</w:t>
            </w:r>
          </w:p>
        </w:tc>
        <w:tc>
          <w:tcPr>
            <w:tcW w:w="110" w:type="dxa"/>
            <w:tcBorders/>
            <w:shd w:fill="CCEEFF" w:val="clear"/>
            <w:vAlign w:val="center"/>
          </w:tcPr>
          <w:p>
            <w:pPr>
              <w:pStyle w:val="TableContents"/>
              <w:bidi w:val="0"/>
              <w:spacing w:before="0" w:after="283"/>
              <w:jc w:val="left"/>
              <w:rPr/>
            </w:pPr>
            <w:r>
              <w:rPr/>
              <w:t> </w:t>
            </w:r>
            <w:bookmarkStart w:id="856" w:name="xdx_409_eus-gaap--DeferredTaxAssetsGross"/>
            <w:bookmarkEnd w:id="856"/>
          </w:p>
        </w:tc>
      </w:tr>
      <w:tr>
        <w:trPr/>
        <w:tc>
          <w:tcPr>
            <w:tcW w:w="6635" w:type="dxa"/>
            <w:tcBorders/>
            <w:shd w:fill="FFFFFF" w:val="clear"/>
            <w:vAlign w:val="center"/>
          </w:tcPr>
          <w:p>
            <w:pPr>
              <w:pStyle w:val="TableContents"/>
              <w:bidi w:val="0"/>
              <w:spacing w:before="0" w:after="283"/>
              <w:jc w:val="left"/>
              <w:rPr/>
            </w:pPr>
            <w:r>
              <w:rPr/>
              <w:t>Total deferred tax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4,110</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59,820</w:t>
            </w:r>
          </w:p>
        </w:tc>
        <w:tc>
          <w:tcPr>
            <w:tcW w:w="110" w:type="dxa"/>
            <w:tcBorders/>
            <w:shd w:fill="FFFFFF" w:val="clear"/>
            <w:vAlign w:val="center"/>
          </w:tcPr>
          <w:p>
            <w:pPr>
              <w:pStyle w:val="TableContents"/>
              <w:bidi w:val="0"/>
              <w:spacing w:before="0" w:after="283"/>
              <w:jc w:val="left"/>
              <w:rPr/>
            </w:pPr>
            <w:r>
              <w:rPr/>
              <w:t> </w:t>
            </w:r>
            <w:bookmarkStart w:id="857" w:name="xdx_406_eus-gaap--DeferredTaxAssetsValua"/>
            <w:bookmarkEnd w:id="857"/>
          </w:p>
        </w:tc>
      </w:tr>
      <w:tr>
        <w:trPr/>
        <w:tc>
          <w:tcPr>
            <w:tcW w:w="6635" w:type="dxa"/>
            <w:tcBorders/>
            <w:shd w:fill="CCEEFF" w:val="clear"/>
            <w:vAlign w:val="center"/>
          </w:tcPr>
          <w:p>
            <w:pPr>
              <w:pStyle w:val="TableContents"/>
              <w:bidi w:val="0"/>
              <w:spacing w:before="0" w:after="283"/>
              <w:jc w:val="left"/>
              <w:rPr/>
            </w:pPr>
            <w:r>
              <w:rPr/>
              <w:t>Valuation allowance for deferred tax assets</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(4,110</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(59,820</w:t>
            </w:r>
          </w:p>
        </w:tc>
        <w:tc>
          <w:tcPr>
            <w:tcW w:w="110" w:type="dxa"/>
            <w:tcBorders/>
            <w:shd w:fill="CCEEFF" w:val="clear"/>
            <w:vAlign w:val="center"/>
          </w:tcPr>
          <w:p>
            <w:pPr>
              <w:pStyle w:val="TableContents"/>
              <w:bidi w:val="0"/>
              <w:spacing w:before="0" w:after="283"/>
              <w:jc w:val="left"/>
              <w:rPr/>
            </w:pPr>
            <w:r>
              <w:rPr/>
              <w:t>)</w:t>
            </w:r>
            <w:bookmarkStart w:id="858" w:name="xdx_408_eus-gaap--DeferredTaxAssetsNet_i"/>
            <w:bookmarkEnd w:id="858"/>
          </w:p>
        </w:tc>
      </w:tr>
      <w:tr>
        <w:trPr/>
        <w:tc>
          <w:tcPr>
            <w:tcW w:w="6635" w:type="dxa"/>
            <w:tcBorders/>
            <w:shd w:fill="FFFFFF" w:val="clear"/>
            <w:vAlign w:val="center"/>
          </w:tcPr>
          <w:p>
            <w:pPr>
              <w:pStyle w:val="TableContents"/>
              <w:bidi w:val="0"/>
              <w:spacing w:before="0" w:after="283"/>
              <w:jc w:val="left"/>
              <w:rPr/>
            </w:pPr>
            <w:r>
              <w:rPr/>
              <w:t>Net deferred tax assets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59" w:name="xdx_8A4_z8nttwxtyeIa"/>
      <w:bookmarkEnd w:id="859"/>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valuation allowance has been established, as realization of such assets is uncertain. The Company’s management evaluated the positive and negative evidence bearing upon the realizability of its deferred assets, and has determined that, at present, the Company may not be able to recognize the benefits of the deferred tax assets under the more likely than not criteria. Accordingly, a valuation allowance of approximately $</w:t>
      </w:r>
      <w:bookmarkStart w:id="860" w:name="xdx_90A_eus-gaap--DeferredTaxAssetsValua"/>
      <w:bookmarkEnd w:id="860"/>
      <w:r>
        <w:rPr>
          <w:rFonts w:ascii="Times New Roman;Times;Serif" w:hAnsi="Times New Roman;Times;Serif"/>
          <w:b w:val="false"/>
          <w:i w:val="false"/>
          <w:caps w:val="false"/>
          <w:smallCaps w:val="false"/>
          <w:sz w:val="20"/>
        </w:rPr>
        <w:t>4.1 million has been established at December 31, 2025. The valuation allowance has increased by approximately $</w:t>
      </w:r>
      <w:bookmarkStart w:id="861" w:name="xdx_907_eus-gaap--ValuationAllowanceDefe"/>
      <w:bookmarkEnd w:id="861"/>
      <w:r>
        <w:rPr>
          <w:rFonts w:ascii="Times New Roman;Times;Serif" w:hAnsi="Times New Roman;Times;Serif"/>
          <w:b w:val="false"/>
          <w:i w:val="false"/>
          <w:caps w:val="false"/>
          <w:smallCaps w:val="false"/>
          <w:sz w:val="20"/>
        </w:rPr>
        <w:t>55.7 million in 2025.</w:t>
      </w:r>
    </w:p>
    <w:p>
      <w:pPr>
        <w:pStyle w:val="TextBody"/>
        <w:bidi w:val="0"/>
        <w:spacing w:before="0" w:after="0"/>
        <w:ind w:left="20" w:right="0" w:firstLine="221"/>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specified in the Tax Reform Act of 1986, due to ownership changes, the Company’s ability to utilize its net operating loss (“NOL”) carryforwards may be limited. Utilization of the NOLs may be subject to a substantial annual limitation under Section 382 of the Internal Revenue Code of 1986 due to ownership change limitations that have occurred previously or that could occur in the future. These ownership changes may limit the amount of NOL and R&amp;D credit carryforwards that can be utilized annually to offset future taxable income and tax, respectively. The Company completed a Section 382 study and has concluded that an ownership change occurred on March 4, 2015 and July 21, 2017. As a result of the ownership changes, the NOLs are limited.</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Company has federal NOLs of $</w:t>
      </w:r>
      <w:bookmarkStart w:id="862" w:name="xdx_907_eus-gaap--OperatingLossCarryforw"/>
      <w:bookmarkEnd w:id="862"/>
      <w:r>
        <w:rPr>
          <w:rFonts w:ascii="Times New Roman;Times;Serif" w:hAnsi="Times New Roman;Times;Serif"/>
          <w:b w:val="false"/>
          <w:i w:val="false"/>
          <w:caps w:val="false"/>
          <w:smallCaps w:val="false"/>
          <w:sz w:val="20"/>
        </w:rPr>
        <w:t>8.0 million and $</w:t>
      </w:r>
      <w:bookmarkStart w:id="863" w:name="xdx_906_eus-gaap--OperatingLossCarryforw"/>
      <w:bookmarkEnd w:id="863"/>
      <w:r>
        <w:rPr>
          <w:rFonts w:ascii="Times New Roman;Times;Serif" w:hAnsi="Times New Roman;Times;Serif"/>
          <w:b w:val="false"/>
          <w:i w:val="false"/>
          <w:caps w:val="false"/>
          <w:smallCaps w:val="false"/>
          <w:sz w:val="20"/>
        </w:rPr>
        <w:t>3.5 million, respectively. The federal NOLs have an indefinite life. As of December 31, 2025 and 2024, the Company has state NOLs of $</w:t>
      </w:r>
      <w:bookmarkStart w:id="864" w:name="xdx_902_eus-gaap--OperatingLossCarryforw"/>
      <w:bookmarkEnd w:id="864"/>
      <w:r>
        <w:rPr>
          <w:rFonts w:ascii="Times New Roman;Times;Serif" w:hAnsi="Times New Roman;Times;Serif"/>
          <w:b w:val="false"/>
          <w:i w:val="false"/>
          <w:caps w:val="false"/>
          <w:smallCaps w:val="false"/>
          <w:sz w:val="20"/>
        </w:rPr>
        <w:t>21.4 million and $</w:t>
      </w:r>
      <w:bookmarkStart w:id="865" w:name="xdx_90A_eus-gaap--OperatingLossCarryforw"/>
      <w:bookmarkEnd w:id="865"/>
      <w:r>
        <w:rPr>
          <w:rFonts w:ascii="Times New Roman;Times;Serif" w:hAnsi="Times New Roman;Times;Serif"/>
          <w:b w:val="false"/>
          <w:i w:val="false"/>
          <w:caps w:val="false"/>
          <w:smallCaps w:val="false"/>
          <w:sz w:val="20"/>
        </w:rPr>
        <w:t>16.8 million, respectively, which will begin to expire in 2028. As of December 31, 2025 and 2024, the Company had foreign NOLs of $</w:t>
      </w:r>
      <w:bookmarkStart w:id="866" w:name="xdx_904_eus-gaap--OperatingLossCarryforw"/>
      <w:bookmarkEnd w:id="866"/>
      <w:r>
        <w:rPr>
          <w:rFonts w:ascii="Times New Roman;Times;Serif" w:hAnsi="Times New Roman;Times;Serif"/>
          <w:b w:val="false"/>
          <w:i w:val="false"/>
          <w:caps w:val="false"/>
          <w:smallCaps w:val="false"/>
          <w:sz w:val="20"/>
        </w:rPr>
        <w:t>0 million and $</w:t>
      </w:r>
      <w:bookmarkStart w:id="867" w:name="xdx_909_eus-gaap--OperatingLossCarryforw"/>
      <w:bookmarkEnd w:id="867"/>
      <w:r>
        <w:rPr>
          <w:rFonts w:ascii="Times New Roman;Times;Serif" w:hAnsi="Times New Roman;Times;Serif"/>
          <w:b w:val="false"/>
          <w:i w:val="false"/>
          <w:caps w:val="false"/>
          <w:smallCaps w:val="false"/>
          <w:sz w:val="20"/>
        </w:rPr>
        <w:t>230.0 million, respectively. Following the liquidation and subsequent deconsolidation of the Company’s former UK subsidiary, the Company no longer has any foreign NOLs.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has evaluated all significant tax positions at December 31, 2025 and 2024 and concluded that there are </w:t>
      </w:r>
      <w:bookmarkStart w:id="868" w:name="xdx_902_eus-gaap--UnrecognizedTaxBenefit"/>
      <w:bookmarkStart w:id="869" w:name="xdx_902_eus-gaap--UnrecognizedTaxBenefit"/>
      <w:bookmarkEnd w:id="868"/>
      <w:bookmarkEnd w:id="869"/>
      <w:r>
        <w:rPr>
          <w:rFonts w:ascii="Times New Roman;Times;Serif" w:hAnsi="Times New Roman;Times;Serif"/>
          <w:b w:val="false"/>
          <w:i w:val="false"/>
          <w:caps w:val="false"/>
          <w:smallCaps w:val="false"/>
          <w:sz w:val="20"/>
        </w:rPr>
        <w:t>no material uncertain tax positions. The Company would recognize both interest and penalties related to unrecognized benefits in income tax expense. The Company has not recorded any interest and penalties on any unrecognized tax benefits since its inception.</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years 2022 - 2024 remain open to examination by major taxing jurisdictions to which the Company is subject, which are primarily in the United States, as carryforward attributes generated in years past may still be adjusted upon examination by the Internal Revenue Service (“IRS”) or state tax authorities. The Company is currently not under examination by the IRS or any other jurisdictions for any tax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20" w:right="0" w:firstLine="3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provided a deferred tax liability on the cumulative amount of unremitted foreign earnings of international subsidiaries because it is our intent to permanently reinvest such earnings outside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20" w:right="0" w:firstLine="3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aggregate deficit in foreign earnings and therefore has not provided any deferred tax liability on its outside book-tax basis difference in its foreign subsidiaries and because it is also our intent to permanently reinvest any earnings outside of the United States. We would recognize this deferred tax liability if we were to experience a change in circumstances producing a change in that intention. As a result of the repeal of Section 902 foreign tax credit under the Tax Act, future distributions would not be offset by a foreign tax credit.</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for tax years beginning after December 31, 2021, taxpayers are required to capitalize any expenses incurred that are considered incidental to research and experimentation (R&amp;E) activities under IRC Section 174. While taxpayers historically had the option of deducting these expenses under IRC Section 174, the December 2017 Tax Cuts and Jobs Act mandates capitalization and amortization of R&amp;E expenses for tax years tax years beginning after December 31, 2021. Expenses incurred in connection with R&amp;E activities in the US must be amortized over a 5-year period if incurred, and R&amp;E expenses incurred outside the US must be amortized over a 15-year period. R&amp;E activities are broader in scope than qualified research activities that are considered under IRC Section 41 (relating to the research tax credit). For the year ended December 31, 2025, the Company performed an analysis based on available guidance and determined that the company does not have any R&amp;E expenses in the US. The company will continue to monitor this issue for future developments, but it does not expect R&amp;E capitalization and amortization to require it to pay cash taxes now or in the near future.</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70" w:name="xdx_80B_eus-gaap--EarningsPerShareTextBl"/>
      <w:bookmarkEnd w:id="870"/>
      <w:r>
        <w:rPr>
          <w:rFonts w:ascii="Times New Roman;Times;Serif" w:hAnsi="Times New Roman;Times;Serif"/>
          <w:b/>
          <w:i w:val="false"/>
          <w:caps w:val="false"/>
          <w:smallCaps w:val="false"/>
          <w:sz w:val="20"/>
        </w:rPr>
        <w:t xml:space="preserve">18. </w:t>
      </w:r>
      <w:bookmarkStart w:id="871" w:name="xdx_822_zvEztH2wdr66"/>
      <w:bookmarkEnd w:id="871"/>
      <w:r>
        <w:rPr>
          <w:rFonts w:ascii="Times New Roman;Times;Serif" w:hAnsi="Times New Roman;Times;Serif"/>
          <w:b/>
          <w:i w:val="false"/>
          <w:caps w:val="false"/>
          <w:smallCaps w:val="false"/>
          <w:sz w:val="20"/>
        </w:rPr>
        <w:t>Net Loss Per Share</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872" w:name="xdx_898_eus-gaap--ScheduleOfEarningsPerS"/>
      <w:bookmarkEnd w:id="872"/>
      <w:r>
        <w:rPr>
          <w:rFonts w:ascii="Times New Roman;Times;Serif" w:hAnsi="Times New Roman;Times;Serif"/>
          <w:b w:val="false"/>
          <w:i w:val="false"/>
          <w:caps w:val="false"/>
          <w:smallCaps w:val="false"/>
          <w:sz w:val="20"/>
        </w:rPr>
        <w:t>Basic and diluted net loss per share attributable to common stockholders was calculated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73" w:name="xdx_8BF_zcM25TaVtMm"/>
      <w:bookmarkEnd w:id="873"/>
      <w:r>
        <w:rPr>
          <w:rFonts w:ascii="Times New Roman;Times;Serif" w:hAnsi="Times New Roman;Times;Serif"/>
          <w:b w:val="false"/>
          <w:i w:val="false"/>
          <w:caps w:val="false"/>
          <w:smallCaps w:val="false"/>
          <w:sz w:val="20"/>
        </w:rPr>
        <w:t>Schedule of Basic and Diluted Net Loss Per Share </w:t>
      </w:r>
    </w:p>
    <w:tbl>
      <w:tblPr>
        <w:tblW w:w="10205" w:type="dxa"/>
        <w:jc w:val="left"/>
        <w:tblInd w:w="0" w:type="dxa"/>
        <w:tblLayout w:type="fixed"/>
        <w:tblCellMar>
          <w:top w:w="0" w:type="dxa"/>
          <w:left w:w="0" w:type="dxa"/>
          <w:bottom w:w="0" w:type="dxa"/>
          <w:right w:w="0" w:type="dxa"/>
        </w:tblCellMar>
      </w:tblPr>
      <w:tblGrid>
        <w:gridCol w:w="7362"/>
        <w:gridCol w:w="60"/>
        <w:gridCol w:w="172"/>
        <w:gridCol w:w="1207"/>
        <w:gridCol w:w="116"/>
        <w:gridCol w:w="73"/>
        <w:gridCol w:w="172"/>
        <w:gridCol w:w="930"/>
        <w:gridCol w:w="113"/>
      </w:tblGrid>
      <w:tr>
        <w:trPr/>
        <w:tc>
          <w:tcPr>
            <w:tcW w:w="73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74" w:name="xdx_498_20250101__20251231_zOsMGAoNWeQd"/>
            <w:bookmarkEnd w:id="874"/>
          </w:p>
        </w:tc>
        <w:tc>
          <w:tcPr>
            <w:tcW w:w="13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bookmarkStart w:id="875" w:name="xdx_49A_20240101__20241231_z4vr7hpThDQ6"/>
            <w:bookmarkEnd w:id="875"/>
          </w:p>
        </w:tc>
        <w:tc>
          <w:tcPr>
            <w:tcW w:w="11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73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Years ended December 31,</w:t>
            </w:r>
          </w:p>
        </w:tc>
        <w:tc>
          <w:tcPr>
            <w:tcW w:w="113" w:type="dxa"/>
            <w:tcBorders/>
            <w:vAlign w:val="center"/>
          </w:tcPr>
          <w:p>
            <w:pPr>
              <w:pStyle w:val="TableContents"/>
              <w:bidi w:val="0"/>
              <w:spacing w:before="0" w:after="283"/>
              <w:jc w:val="left"/>
              <w:rPr/>
            </w:pPr>
            <w:r>
              <w:rPr/>
              <w:t> </w:t>
            </w:r>
          </w:p>
        </w:tc>
      </w:tr>
      <w:tr>
        <w:trPr/>
        <w:tc>
          <w:tcPr>
            <w:tcW w:w="73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1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3" w:type="dxa"/>
            <w:tcBorders/>
            <w:vAlign w:val="center"/>
          </w:tcPr>
          <w:p>
            <w:pPr>
              <w:pStyle w:val="TableContents"/>
              <w:bidi w:val="0"/>
              <w:spacing w:before="0" w:after="283"/>
              <w:jc w:val="left"/>
              <w:rPr/>
            </w:pPr>
            <w:r>
              <w:rPr/>
              <w:t> </w:t>
            </w:r>
          </w:p>
        </w:tc>
      </w:tr>
      <w:tr>
        <w:trPr/>
        <w:tc>
          <w:tcPr>
            <w:tcW w:w="7362"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876" w:name="xdx_407_eus-gaap--NetIncomeLoss_pn3n3_zM"/>
            <w:bookmarkEnd w:id="876"/>
          </w:p>
        </w:tc>
      </w:tr>
      <w:tr>
        <w:trPr/>
        <w:tc>
          <w:tcPr>
            <w:tcW w:w="7362"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1207" w:type="dxa"/>
            <w:tcBorders/>
            <w:shd w:fill="FFFFFF" w:val="clear"/>
            <w:vAlign w:val="center"/>
          </w:tcPr>
          <w:p>
            <w:pPr>
              <w:pStyle w:val="TableContents"/>
              <w:bidi w:val="0"/>
              <w:spacing w:before="0" w:after="283"/>
              <w:jc w:val="right"/>
              <w:rPr/>
            </w:pPr>
            <w:r>
              <w:rPr/>
              <w:t>(2,998</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930" w:type="dxa"/>
            <w:tcBorders/>
            <w:shd w:fill="FFFFFF" w:val="clear"/>
            <w:vAlign w:val="center"/>
          </w:tcPr>
          <w:p>
            <w:pPr>
              <w:pStyle w:val="TableContents"/>
              <w:bidi w:val="0"/>
              <w:spacing w:before="0" w:after="283"/>
              <w:jc w:val="right"/>
              <w:rPr/>
            </w:pPr>
            <w:r>
              <w:rPr/>
              <w:t>(11,212</w:t>
            </w:r>
          </w:p>
        </w:tc>
        <w:tc>
          <w:tcPr>
            <w:tcW w:w="113" w:type="dxa"/>
            <w:tcBorders/>
            <w:shd w:fill="FFFFFF" w:val="clear"/>
            <w:vAlign w:val="center"/>
          </w:tcPr>
          <w:p>
            <w:pPr>
              <w:pStyle w:val="TableContents"/>
              <w:bidi w:val="0"/>
              <w:spacing w:before="0" w:after="283"/>
              <w:jc w:val="left"/>
              <w:rPr/>
            </w:pPr>
            <w:r>
              <w:rPr/>
              <w:t>)</w:t>
            </w:r>
            <w:bookmarkStart w:id="877" w:name="xdx_40F_eus-gaap--PreferredStockDividend"/>
            <w:bookmarkEnd w:id="877"/>
          </w:p>
        </w:tc>
      </w:tr>
      <w:tr>
        <w:trPr/>
        <w:tc>
          <w:tcPr>
            <w:tcW w:w="7362" w:type="dxa"/>
            <w:tcBorders/>
            <w:shd w:fill="CCEEFF" w:val="clear"/>
            <w:vAlign w:val="center"/>
          </w:tcPr>
          <w:p>
            <w:pPr>
              <w:pStyle w:val="TableContents"/>
              <w:bidi w:val="0"/>
              <w:spacing w:before="0" w:after="283"/>
              <w:jc w:val="left"/>
              <w:rPr/>
            </w:pPr>
            <w:r>
              <w:rPr/>
              <w:t>Dividend on convertible exchangeable preferred shares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(61</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878" w:name="xdx_407_ecustom--DeemedDividendOnWarrant"/>
            <w:bookmarkEnd w:id="878"/>
          </w:p>
        </w:tc>
      </w:tr>
      <w:tr>
        <w:trPr/>
        <w:tc>
          <w:tcPr>
            <w:tcW w:w="7362" w:type="dxa"/>
            <w:tcBorders/>
            <w:shd w:fill="FFFFFF" w:val="clear"/>
            <w:vAlign w:val="center"/>
          </w:tcPr>
          <w:p>
            <w:pPr>
              <w:pStyle w:val="TableContents"/>
              <w:bidi w:val="0"/>
              <w:spacing w:before="0" w:after="283"/>
              <w:jc w:val="left"/>
              <w:rPr/>
            </w:pPr>
            <w:r>
              <w:rPr/>
              <w:t>Deemed dividend on warrant exchange</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pPr>
            <w:r>
              <w:rPr/>
              <w:t>(11,033</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879" w:name="xdx_409_eus-gaap--NetIncomeLossAvailable"/>
            <w:bookmarkEnd w:id="879"/>
          </w:p>
        </w:tc>
      </w:tr>
      <w:tr>
        <w:trPr/>
        <w:tc>
          <w:tcPr>
            <w:tcW w:w="7362" w:type="dxa"/>
            <w:tcBorders/>
            <w:shd w:fill="CCEEFF" w:val="clear"/>
            <w:vAlign w:val="center"/>
          </w:tcPr>
          <w:p>
            <w:pPr>
              <w:pStyle w:val="TableContents"/>
              <w:bidi w:val="0"/>
              <w:spacing w:before="0" w:after="283"/>
              <w:jc w:val="left"/>
              <w:rPr/>
            </w:pPr>
            <w:r>
              <w:rPr/>
              <w:t>Net loss attributable to common shareholders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207" w:type="dxa"/>
            <w:tcBorders/>
            <w:shd w:fill="CCEEFF" w:val="clear"/>
            <w:vAlign w:val="center"/>
          </w:tcPr>
          <w:p>
            <w:pPr>
              <w:pStyle w:val="TableContents"/>
              <w:bidi w:val="0"/>
              <w:spacing w:before="0" w:after="283"/>
              <w:jc w:val="right"/>
              <w:rPr/>
            </w:pPr>
            <w:r>
              <w:rPr/>
              <w:t>(14,092</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930" w:type="dxa"/>
            <w:tcBorders/>
            <w:shd w:fill="CCEEFF" w:val="clear"/>
            <w:vAlign w:val="center"/>
          </w:tcPr>
          <w:p>
            <w:pPr>
              <w:pStyle w:val="TableContents"/>
              <w:bidi w:val="0"/>
              <w:spacing w:before="0" w:after="283"/>
              <w:jc w:val="right"/>
              <w:rPr/>
            </w:pPr>
            <w:r>
              <w:rPr/>
              <w:t>(11,212</w:t>
            </w:r>
          </w:p>
        </w:tc>
        <w:tc>
          <w:tcPr>
            <w:tcW w:w="113" w:type="dxa"/>
            <w:tcBorders/>
            <w:shd w:fill="CCEEFF" w:val="clear"/>
            <w:vAlign w:val="center"/>
          </w:tcPr>
          <w:p>
            <w:pPr>
              <w:pStyle w:val="TableContents"/>
              <w:bidi w:val="0"/>
              <w:spacing w:before="0" w:after="283"/>
              <w:jc w:val="left"/>
              <w:rPr/>
            </w:pPr>
            <w:r>
              <w:rPr/>
              <w:t>)</w:t>
            </w:r>
          </w:p>
        </w:tc>
      </w:tr>
      <w:tr>
        <w:trPr/>
        <w:tc>
          <w:tcPr>
            <w:tcW w:w="736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362" w:type="dxa"/>
            <w:tcBorders/>
            <w:shd w:fill="CCEEFF" w:val="clear"/>
            <w:vAlign w:val="center"/>
          </w:tcPr>
          <w:p>
            <w:pPr>
              <w:pStyle w:val="TableContents"/>
              <w:bidi w:val="0"/>
              <w:spacing w:before="0" w:after="283"/>
              <w:jc w:val="left"/>
              <w:rPr/>
            </w:pPr>
            <w:r>
              <w:rPr/>
              <w:t>Denominator:</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62" w:type="dxa"/>
            <w:tcBorders/>
            <w:shd w:fill="FFFFFF" w:val="clear"/>
            <w:vAlign w:val="center"/>
          </w:tcPr>
          <w:p>
            <w:pPr>
              <w:pStyle w:val="TableContents"/>
              <w:bidi w:val="0"/>
              <w:spacing w:before="0" w:after="283"/>
              <w:jc w:val="left"/>
              <w:rPr/>
            </w:pPr>
            <w:r>
              <w:rPr/>
              <w:t>Weighted-average number of common shares used in loss per share – basic and diluted</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880" w:name="xdx_902_eus-gaap--WeightedAverageNumberO"/>
            <w:bookmarkStart w:id="881" w:name="xdx_902_eus-gaap--WeightedAverageNumberO"/>
            <w:bookmarkEnd w:id="880"/>
            <w:bookmarkEnd w:id="881"/>
            <w:r>
              <w:rPr/>
              <w:t>2,185,075</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882" w:name="xdx_908_eus-gaap--WeightedAverageNumberO"/>
            <w:bookmarkStart w:id="883" w:name="xdx_90C_eus-gaap--WeightedAverageNumberO"/>
            <w:bookmarkEnd w:id="882"/>
            <w:bookmarkEnd w:id="883"/>
            <w:r>
              <w:rPr/>
              <w:t>22,314</w:t>
            </w:r>
          </w:p>
        </w:tc>
        <w:tc>
          <w:tcPr>
            <w:tcW w:w="113" w:type="dxa"/>
            <w:tcBorders/>
            <w:shd w:fill="FFFFFF" w:val="clear"/>
            <w:vAlign w:val="center"/>
          </w:tcPr>
          <w:p>
            <w:pPr>
              <w:pStyle w:val="TableContents"/>
              <w:bidi w:val="0"/>
              <w:spacing w:before="0" w:after="283"/>
              <w:jc w:val="left"/>
              <w:rPr/>
            </w:pPr>
            <w:r>
              <w:rPr/>
              <w:t> </w:t>
            </w:r>
          </w:p>
        </w:tc>
      </w:tr>
      <w:tr>
        <w:trPr/>
        <w:tc>
          <w:tcPr>
            <w:tcW w:w="7362" w:type="dxa"/>
            <w:tcBorders/>
            <w:shd w:fill="CCEEFF" w:val="clear"/>
            <w:vAlign w:val="center"/>
          </w:tcPr>
          <w:p>
            <w:pPr>
              <w:pStyle w:val="TableContents"/>
              <w:bidi w:val="0"/>
              <w:spacing w:before="0" w:after="283"/>
              <w:jc w:val="left"/>
              <w:rPr/>
            </w:pPr>
            <w:r>
              <w:rPr/>
              <w:t>Loss per share - basic and diluted</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07"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884" w:name="xdx_907_eus-gaap--EarningsPerShareDilute"/>
            <w:bookmarkStart w:id="885" w:name="xdx_90A_eus-gaap--EarningsPerShareBasic_"/>
            <w:bookmarkEnd w:id="884"/>
            <w:bookmarkEnd w:id="885"/>
            <w:r>
              <w:rPr/>
              <w:t>(6.45</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93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886" w:name="xdx_906_eus-gaap--EarningsPerShareDilute"/>
            <w:bookmarkStart w:id="887" w:name="xdx_901_eus-gaap--EarningsPerShareBasic_"/>
            <w:bookmarkEnd w:id="886"/>
            <w:bookmarkEnd w:id="887"/>
            <w:r>
              <w:rPr/>
              <w:t>(502.46</w:t>
            </w:r>
          </w:p>
        </w:tc>
        <w:tc>
          <w:tcPr>
            <w:tcW w:w="11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888" w:name="xdx_8AD_z7eJonZPsOS4"/>
      <w:bookmarkEnd w:id="888"/>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dilutive securities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89" w:name="xdx_8BD_zkuIY5csoprd"/>
      <w:bookmarkStart w:id="890" w:name="xdx_896_eus-gaap--ScheduleOfAntidilutive"/>
      <w:bookmarkEnd w:id="889"/>
      <w:bookmarkEnd w:id="890"/>
      <w:r>
        <w:rPr>
          <w:rFonts w:ascii="Times New Roman;Times;Serif" w:hAnsi="Times New Roman;Times;Serif"/>
          <w:b w:val="false"/>
          <w:i w:val="false"/>
          <w:caps w:val="false"/>
          <w:smallCaps w:val="false"/>
          <w:sz w:val="20"/>
        </w:rPr>
        <w:t>Schedule of Antidilutive Securities Excluded from Computation of Earnings Per Share </w:t>
      </w:r>
    </w:p>
    <w:tbl>
      <w:tblPr>
        <w:tblW w:w="6763" w:type="dxa"/>
        <w:jc w:val="left"/>
        <w:tblInd w:w="0" w:type="dxa"/>
        <w:tblLayout w:type="fixed"/>
        <w:tblCellMar>
          <w:top w:w="0" w:type="dxa"/>
          <w:left w:w="0" w:type="dxa"/>
          <w:bottom w:w="0" w:type="dxa"/>
          <w:right w:w="0" w:type="dxa"/>
        </w:tblCellMar>
      </w:tblPr>
      <w:tblGrid>
        <w:gridCol w:w="3680"/>
        <w:gridCol w:w="60"/>
        <w:gridCol w:w="114"/>
        <w:gridCol w:w="1300"/>
        <w:gridCol w:w="60"/>
        <w:gridCol w:w="60"/>
        <w:gridCol w:w="97"/>
        <w:gridCol w:w="1317"/>
        <w:gridCol w:w="75"/>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91" w:name="xdx_492_20250101__20251231_zCWKlYnthA15"/>
            <w:bookmarkEnd w:id="891"/>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92" w:name="xdx_490_20240101__20241231_zypnikh0VYZ3"/>
            <w:bookmarkEnd w:id="892"/>
          </w:p>
        </w:tc>
        <w:tc>
          <w:tcPr>
            <w:tcW w:w="1414" w:type="dxa"/>
            <w:gridSpan w:val="2"/>
            <w:tcBorders/>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893" w:name="xdx_40F_eus-gaap--AntidilutiveSecurities"/>
            <w:bookmarkEnd w:id="893"/>
          </w:p>
        </w:tc>
      </w:tr>
      <w:tr>
        <w:trPr/>
        <w:tc>
          <w:tcPr>
            <w:tcW w:w="3680"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24,921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494</w:t>
            </w:r>
          </w:p>
        </w:tc>
        <w:tc>
          <w:tcPr>
            <w:tcW w:w="75" w:type="dxa"/>
            <w:tcBorders/>
            <w:shd w:fill="CCEEFF" w:val="clear"/>
            <w:vAlign w:val="center"/>
          </w:tcPr>
          <w:p>
            <w:pPr>
              <w:pStyle w:val="TableContents"/>
              <w:bidi w:val="0"/>
              <w:spacing w:before="0" w:after="283"/>
              <w:jc w:val="left"/>
              <w:rPr/>
            </w:pPr>
            <w:r>
              <w:rPr/>
              <w:t> </w:t>
            </w:r>
            <w:bookmarkStart w:id="894" w:name="xdx_40D_eus-gaap--AntidilutiveSecurities"/>
            <w:bookmarkEnd w:id="894"/>
          </w:p>
        </w:tc>
      </w:tr>
      <w:tr>
        <w:trPr/>
        <w:tc>
          <w:tcPr>
            <w:tcW w:w="3680" w:type="dxa"/>
            <w:tcBorders/>
            <w:shd w:fill="FFFFFF" w:val="clear"/>
            <w:vAlign w:val="center"/>
          </w:tcPr>
          <w:p>
            <w:pPr>
              <w:pStyle w:val="TableContents"/>
              <w:bidi w:val="0"/>
              <w:spacing w:before="0" w:after="283"/>
              <w:jc w:val="left"/>
              <w:rPr/>
            </w:pPr>
            <w:r>
              <w:rPr/>
              <w:t>Restricted Stock Units</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17" w:type="dxa"/>
            <w:tcBorders/>
            <w:shd w:fill="FFFFFF" w:val="clear"/>
            <w:vAlign w:val="center"/>
          </w:tcPr>
          <w:p>
            <w:pPr>
              <w:pStyle w:val="TableContents"/>
              <w:bidi w:val="0"/>
              <w:spacing w:before="0" w:after="283"/>
              <w:jc w:val="right"/>
              <w:rPr/>
            </w:pPr>
            <w:r>
              <w:rPr/>
              <w:t>164</w:t>
            </w:r>
          </w:p>
        </w:tc>
        <w:tc>
          <w:tcPr>
            <w:tcW w:w="75" w:type="dxa"/>
            <w:tcBorders/>
            <w:shd w:fill="FFFFFF" w:val="clear"/>
            <w:vAlign w:val="center"/>
          </w:tcPr>
          <w:p>
            <w:pPr>
              <w:pStyle w:val="TableContents"/>
              <w:bidi w:val="0"/>
              <w:spacing w:before="0" w:after="283"/>
              <w:jc w:val="left"/>
              <w:rPr/>
            </w:pPr>
            <w:r>
              <w:rPr/>
              <w:t> </w:t>
            </w:r>
            <w:bookmarkStart w:id="895" w:name="xdx_40D_eus-gaap--AntidilutiveSecurities"/>
            <w:bookmarkEnd w:id="895"/>
          </w:p>
        </w:tc>
      </w:tr>
      <w:tr>
        <w:trPr/>
        <w:tc>
          <w:tcPr>
            <w:tcW w:w="3680" w:type="dxa"/>
            <w:tcBorders/>
            <w:shd w:fill="CCEEFF" w:val="clear"/>
            <w:vAlign w:val="center"/>
          </w:tcPr>
          <w:p>
            <w:pPr>
              <w:pStyle w:val="TableContents"/>
              <w:bidi w:val="0"/>
              <w:spacing w:before="0" w:after="283"/>
              <w:jc w:val="left"/>
              <w:rPr/>
            </w:pPr>
            <w:r>
              <w:rPr/>
              <w:t>Series A preferred stock</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bookmarkStart w:id="896" w:name="xdx_40C_eus-gaap--AntidilutiveSecurities"/>
            <w:bookmarkEnd w:id="896"/>
          </w:p>
        </w:tc>
      </w:tr>
      <w:tr>
        <w:trPr/>
        <w:tc>
          <w:tcPr>
            <w:tcW w:w="3680" w:type="dxa"/>
            <w:tcBorders/>
            <w:shd w:fill="FFFFFF" w:val="clear"/>
            <w:vAlign w:val="center"/>
          </w:tcPr>
          <w:p>
            <w:pPr>
              <w:pStyle w:val="TableContents"/>
              <w:bidi w:val="0"/>
              <w:spacing w:before="0" w:after="283"/>
              <w:jc w:val="left"/>
              <w:rPr/>
            </w:pPr>
            <w:r>
              <w:rPr/>
              <w:t>Common stock warrants</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r>
              <w:rPr/>
              <w:t>3,178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7" w:type="dxa"/>
            <w:tcBorders>
              <w:bottom w:val="single" w:sz="8" w:space="0" w:color="000000"/>
            </w:tcBorders>
            <w:shd w:fill="FFFFFF" w:val="clear"/>
            <w:tcMar>
              <w:bottom w:w="28" w:type="dxa"/>
            </w:tcMar>
            <w:vAlign w:val="center"/>
          </w:tcPr>
          <w:p>
            <w:pPr>
              <w:pStyle w:val="TableContents"/>
              <w:bidi w:val="0"/>
              <w:spacing w:before="0" w:after="283"/>
              <w:jc w:val="right"/>
              <w:rPr/>
            </w:pPr>
            <w:r>
              <w:rPr/>
              <w:t>117,182</w:t>
            </w:r>
          </w:p>
        </w:tc>
        <w:tc>
          <w:tcPr>
            <w:tcW w:w="75" w:type="dxa"/>
            <w:tcBorders/>
            <w:shd w:fill="FFFFFF" w:val="clear"/>
            <w:vAlign w:val="center"/>
          </w:tcPr>
          <w:p>
            <w:pPr>
              <w:pStyle w:val="TableContents"/>
              <w:bidi w:val="0"/>
              <w:spacing w:before="0" w:after="283"/>
              <w:jc w:val="left"/>
              <w:rPr/>
            </w:pPr>
            <w:r>
              <w:rPr/>
              <w:t> </w:t>
            </w:r>
            <w:bookmarkStart w:id="897" w:name="xdx_406_eus-gaap--AntidilutiveSecurities"/>
            <w:bookmarkEnd w:id="897"/>
          </w:p>
        </w:tc>
      </w:tr>
      <w:tr>
        <w:trPr/>
        <w:tc>
          <w:tcPr>
            <w:tcW w:w="3680" w:type="dxa"/>
            <w:tcBorders/>
            <w:shd w:fill="CCEEFF" w:val="clear"/>
            <w:vAlign w:val="center"/>
          </w:tcPr>
          <w:p>
            <w:pPr>
              <w:pStyle w:val="TableContents"/>
              <w:bidi w:val="0"/>
              <w:spacing w:before="0" w:after="283"/>
              <w:jc w:val="left"/>
              <w:rPr/>
            </w:pPr>
            <w:r>
              <w:rPr/>
              <w:t>Total shares excluded from calculation</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pPr>
            <w:r>
              <w:rPr/>
              <w:t>28,111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17" w:type="dxa"/>
            <w:tcBorders>
              <w:bottom w:val="double" w:sz="6" w:space="0" w:color="000000"/>
            </w:tcBorders>
            <w:shd w:fill="CCEEFF" w:val="clear"/>
            <w:tcMar>
              <w:bottom w:w="28" w:type="dxa"/>
            </w:tcMar>
            <w:vAlign w:val="center"/>
          </w:tcPr>
          <w:p>
            <w:pPr>
              <w:pStyle w:val="TableContents"/>
              <w:bidi w:val="0"/>
              <w:spacing w:before="0" w:after="283"/>
              <w:jc w:val="right"/>
              <w:rPr/>
            </w:pPr>
            <w:r>
              <w:rPr/>
              <w:t>117,842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98" w:name="xdx_8A9_zdEdRxwKx5Ti"/>
      <w:bookmarkEnd w:id="898"/>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99" w:name="xdx_80E_eus-gaap--SegmentReportingDisclo"/>
      <w:bookmarkEnd w:id="899"/>
      <w:r>
        <w:rPr>
          <w:rFonts w:ascii="Times New Roman;Times;Serif" w:hAnsi="Times New Roman;Times;Serif"/>
          <w:b/>
          <w:i w:val="false"/>
          <w:caps w:val="false"/>
          <w:smallCaps w:val="false"/>
          <w:sz w:val="20"/>
        </w:rPr>
        <w:t xml:space="preserve">19. </w:t>
      </w:r>
      <w:bookmarkStart w:id="900" w:name="xdx_821_z8fg69B6rtI"/>
      <w:bookmarkEnd w:id="900"/>
      <w:r>
        <w:rPr>
          <w:rFonts w:ascii="Times New Roman;Times;Serif" w:hAnsi="Times New Roman;Times;Serif"/>
          <w:b/>
          <w:i w:val="false"/>
          <w:caps w:val="false"/>
          <w:smallCaps w:val="false"/>
          <w:sz w:val="20"/>
        </w:rPr>
        <w:t>Geographic and Segment Information</w:t>
      </w:r>
    </w:p>
    <w:p>
      <w:pPr>
        <w:pStyle w:val="TextBody"/>
        <w:bidi w:val="0"/>
        <w:spacing w:before="0" w:after="0"/>
        <w:ind w:left="240" w:right="0" w:hanging="217"/>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901" w:name="xdx_897_eus-gaap--ScheduleOfRevenuesFrom"/>
      <w:bookmarkEnd w:id="901"/>
      <w:r>
        <w:rPr>
          <w:rFonts w:ascii="Times New Roman;Times;Serif" w:hAnsi="Times New Roman;Times;Serif"/>
          <w:b w:val="false"/>
          <w:i w:val="false"/>
          <w:caps w:val="false"/>
          <w:smallCaps w:val="false"/>
          <w:sz w:val="20"/>
        </w:rPr>
        <w:t>Geographic information for the years ended December 31, 2025 and 2024 is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02" w:name="xdx_8B0_zHaC8f3v0Fsg"/>
      <w:bookmarkEnd w:id="902"/>
      <w:r>
        <w:rPr>
          <w:rFonts w:ascii="Times New Roman;Times;Serif" w:hAnsi="Times New Roman;Times;Serif"/>
          <w:b w:val="false"/>
          <w:i w:val="false"/>
          <w:caps w:val="false"/>
          <w:smallCaps w:val="false"/>
          <w:sz w:val="20"/>
        </w:rPr>
        <w:t>Schedule of Geographic Information </w:t>
      </w:r>
    </w:p>
    <w:tbl>
      <w:tblPr>
        <w:tblW w:w="4527" w:type="dxa"/>
        <w:jc w:val="left"/>
        <w:tblInd w:w="0" w:type="dxa"/>
        <w:tblLayout w:type="fixed"/>
        <w:tblCellMar>
          <w:top w:w="0" w:type="dxa"/>
          <w:left w:w="0" w:type="dxa"/>
          <w:bottom w:w="0" w:type="dxa"/>
          <w:right w:w="0" w:type="dxa"/>
        </w:tblCellMar>
      </w:tblPr>
      <w:tblGrid>
        <w:gridCol w:w="1640"/>
        <w:gridCol w:w="60"/>
        <w:gridCol w:w="208"/>
        <w:gridCol w:w="946"/>
        <w:gridCol w:w="141"/>
        <w:gridCol w:w="89"/>
        <w:gridCol w:w="208"/>
        <w:gridCol w:w="1125"/>
        <w:gridCol w:w="110"/>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03" w:name="xdx_492_20250101__20251231_zWjB9udMPKn5"/>
            <w:bookmarkEnd w:id="903"/>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bookmarkStart w:id="904" w:name="xdx_495_20240101__20241231_zfC2IM7dnZHh"/>
            <w:bookmarkEnd w:id="904"/>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1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05" w:name="xdx_403_eus-gaap--RevenueFromContractWit"/>
            <w:bookmarkEnd w:id="905"/>
          </w:p>
        </w:tc>
      </w:tr>
      <w:tr>
        <w:trPr/>
        <w:tc>
          <w:tcPr>
            <w:tcW w:w="1640" w:type="dxa"/>
            <w:tcBorders/>
            <w:shd w:fill="FFFFFF" w:val="clear"/>
            <w:vAlign w:val="center"/>
          </w:tcPr>
          <w:p>
            <w:pPr>
              <w:pStyle w:val="TableContents"/>
              <w:bidi w:val="0"/>
              <w:spacing w:before="0" w:after="283"/>
              <w:jc w:val="left"/>
              <w:rPr/>
            </w:pPr>
            <w:r>
              <w:rPr/>
              <w:t>United Kingdom</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946"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1125" w:type="dxa"/>
            <w:tcBorders/>
            <w:shd w:fill="FFFFFF" w:val="cle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left"/>
              <w:rPr/>
            </w:pPr>
            <w:r>
              <w:rPr/>
              <w:t> </w:t>
            </w:r>
            <w:bookmarkStart w:id="906" w:name="xdx_401_eus-gaap--RevenueFromContractWit"/>
            <w:bookmarkEnd w:id="906"/>
          </w:p>
        </w:tc>
      </w:tr>
      <w:tr>
        <w:trPr/>
        <w:tc>
          <w:tcPr>
            <w:tcW w:w="1640" w:type="dxa"/>
            <w:tcBorders/>
            <w:shd w:fill="CCEEFF" w:val="clear"/>
            <w:vAlign w:val="center"/>
          </w:tcPr>
          <w:p>
            <w:pPr>
              <w:pStyle w:val="TableContents"/>
              <w:bidi w:val="0"/>
              <w:spacing w:before="0" w:after="283"/>
              <w:jc w:val="left"/>
              <w:rPr/>
            </w:pPr>
            <w:r>
              <w:rPr/>
              <w:t>Malaysia</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747</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907" w:name="xdx_408_eus-gaap--RevenueFromContractWit"/>
            <w:bookmarkEnd w:id="907"/>
          </w:p>
        </w:tc>
      </w:tr>
      <w:tr>
        <w:trPr/>
        <w:tc>
          <w:tcPr>
            <w:tcW w:w="164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pPr>
            <w:r>
              <w:rPr/>
              <w:t>747</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b/>
              </w:rPr>
            </w:pPr>
            <w:r>
              <w:rPr>
                <w:b/>
              </w:rPr>
              <w:t>Net (loss) / gain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08" w:name="xdx_401_eus-gaap--NetIncomeLoss_pn3n3_hs"/>
            <w:bookmarkEnd w:id="908"/>
          </w:p>
        </w:tc>
      </w:tr>
      <w:tr>
        <w:trPr/>
        <w:tc>
          <w:tcPr>
            <w:tcW w:w="1640"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(1,857</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125" w:type="dxa"/>
            <w:tcBorders/>
            <w:shd w:fill="CCEEFF" w:val="clear"/>
            <w:vAlign w:val="center"/>
          </w:tcPr>
          <w:p>
            <w:pPr>
              <w:pStyle w:val="TableContents"/>
              <w:bidi w:val="0"/>
              <w:spacing w:before="0" w:after="283"/>
              <w:jc w:val="right"/>
              <w:rPr/>
            </w:pPr>
            <w:r>
              <w:rPr/>
              <w:t>(37</w:t>
            </w:r>
          </w:p>
        </w:tc>
        <w:tc>
          <w:tcPr>
            <w:tcW w:w="110" w:type="dxa"/>
            <w:tcBorders/>
            <w:shd w:fill="CCEEFF" w:val="clear"/>
            <w:vAlign w:val="center"/>
          </w:tcPr>
          <w:p>
            <w:pPr>
              <w:pStyle w:val="TableContents"/>
              <w:bidi w:val="0"/>
              <w:spacing w:before="0" w:after="283"/>
              <w:jc w:val="left"/>
              <w:rPr/>
            </w:pPr>
            <w:r>
              <w:rPr/>
              <w:t>)</w:t>
            </w:r>
            <w:bookmarkStart w:id="909" w:name="xdx_40D_eus-gaap--NetIncomeLoss_pn3n3_hs"/>
            <w:bookmarkEnd w:id="909"/>
          </w:p>
        </w:tc>
      </w:tr>
      <w:tr>
        <w:trPr/>
        <w:tc>
          <w:tcPr>
            <w:tcW w:w="1640" w:type="dxa"/>
            <w:tcBorders/>
            <w:shd w:fill="FFFFFF" w:val="clear"/>
            <w:vAlign w:val="center"/>
          </w:tcPr>
          <w:p>
            <w:pPr>
              <w:pStyle w:val="TableContents"/>
              <w:bidi w:val="0"/>
              <w:spacing w:before="0" w:after="283"/>
              <w:jc w:val="left"/>
              <w:rPr/>
            </w:pPr>
            <w:r>
              <w:rPr/>
              <w:t>Malaysia</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119</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10" w:name="xdx_401_eus-gaap--NetIncomeLoss_pn3n3_hs"/>
            <w:bookmarkEnd w:id="910"/>
          </w:p>
        </w:tc>
      </w:tr>
      <w:tr>
        <w:trPr/>
        <w:tc>
          <w:tcPr>
            <w:tcW w:w="1640" w:type="dxa"/>
            <w:tcBorders/>
            <w:shd w:fill="CCEEFF" w:val="clear"/>
            <w:vAlign w:val="center"/>
          </w:tcPr>
          <w:p>
            <w:pPr>
              <w:pStyle w:val="TableContents"/>
              <w:bidi w:val="0"/>
              <w:spacing w:before="0" w:after="283"/>
              <w:jc w:val="left"/>
              <w:rPr/>
            </w:pPr>
            <w:r>
              <w:rPr/>
              <w:t>United Kingdom</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(1,260</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pPr>
            <w:r>
              <w:rPr/>
              <w:t>(11,175</w:t>
            </w:r>
          </w:p>
        </w:tc>
        <w:tc>
          <w:tcPr>
            <w:tcW w:w="110" w:type="dxa"/>
            <w:tcBorders/>
            <w:shd w:fill="CCEEFF" w:val="clear"/>
            <w:vAlign w:val="center"/>
          </w:tcPr>
          <w:p>
            <w:pPr>
              <w:pStyle w:val="TableContents"/>
              <w:bidi w:val="0"/>
              <w:spacing w:before="0" w:after="283"/>
              <w:jc w:val="left"/>
              <w:rPr/>
            </w:pPr>
            <w:r>
              <w:rPr/>
              <w:t>)</w:t>
            </w:r>
            <w:bookmarkStart w:id="911" w:name="xdx_40E_eus-gaap--NetIncomeLoss_pn3n3_zj"/>
            <w:bookmarkEnd w:id="911"/>
          </w:p>
        </w:tc>
      </w:tr>
      <w:tr>
        <w:trPr/>
        <w:tc>
          <w:tcPr>
            <w:tcW w:w="1640" w:type="dxa"/>
            <w:tcBorders/>
            <w:shd w:fill="FFFFFF" w:val="clear"/>
            <w:vAlign w:val="center"/>
          </w:tcPr>
          <w:p>
            <w:pPr>
              <w:pStyle w:val="TableContents"/>
              <w:bidi w:val="0"/>
              <w:spacing w:before="0" w:after="283"/>
              <w:jc w:val="left"/>
              <w:rPr>
                <w:b/>
              </w:rPr>
            </w:pPr>
            <w:r>
              <w:rPr>
                <w:b/>
              </w:rPr>
              <w:t>Total Net Loss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pPr>
            <w:r>
              <w:rPr/>
              <w:t>(2,998</w:t>
            </w:r>
          </w:p>
        </w:tc>
        <w:tc>
          <w:tcPr>
            <w:tcW w:w="141"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4635" w:type="dxa"/>
        <w:jc w:val="left"/>
        <w:tblInd w:w="0" w:type="dxa"/>
        <w:tblLayout w:type="fixed"/>
        <w:tblCellMar>
          <w:top w:w="0" w:type="dxa"/>
          <w:left w:w="0" w:type="dxa"/>
          <w:bottom w:w="0" w:type="dxa"/>
          <w:right w:w="0" w:type="dxa"/>
        </w:tblCellMar>
      </w:tblPr>
      <w:tblGrid>
        <w:gridCol w:w="2945"/>
        <w:gridCol w:w="60"/>
        <w:gridCol w:w="140"/>
        <w:gridCol w:w="560"/>
        <w:gridCol w:w="95"/>
        <w:gridCol w:w="60"/>
        <w:gridCol w:w="140"/>
        <w:gridCol w:w="560"/>
        <w:gridCol w:w="75"/>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12" w:name="xdx_495_20251231_zfVY2ppjGkrl"/>
            <w:bookmarkEnd w:id="912"/>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13" w:name="xdx_49F_20241231_zIQ5noc3BzX"/>
            <w:bookmarkEnd w:id="913"/>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914" w:name="xdx_409_eus-gaap--Assets_iI_pn3n3_hsrt--"/>
            <w:bookmarkEnd w:id="914"/>
          </w:p>
        </w:tc>
      </w:tr>
      <w:tr>
        <w:trPr/>
        <w:tc>
          <w:tcPr>
            <w:tcW w:w="2945" w:type="dxa"/>
            <w:tcBorders/>
            <w:shd w:fill="FFFFFF" w:val="clear"/>
            <w:vAlign w:val="center"/>
          </w:tcPr>
          <w:p>
            <w:pPr>
              <w:pStyle w:val="TableContents"/>
              <w:bidi w:val="0"/>
              <w:spacing w:before="0" w:after="283"/>
              <w:jc w:val="left"/>
              <w:rPr/>
            </w:pPr>
            <w:r>
              <w:rPr/>
              <w:t>United States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2,031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3,285</w:t>
            </w:r>
          </w:p>
        </w:tc>
        <w:tc>
          <w:tcPr>
            <w:tcW w:w="75" w:type="dxa"/>
            <w:tcBorders/>
            <w:shd w:fill="FFFFFF" w:val="clear"/>
            <w:vAlign w:val="center"/>
          </w:tcPr>
          <w:p>
            <w:pPr>
              <w:pStyle w:val="TableContents"/>
              <w:bidi w:val="0"/>
              <w:spacing w:before="0" w:after="283"/>
              <w:jc w:val="left"/>
              <w:rPr/>
            </w:pPr>
            <w:r>
              <w:rPr/>
              <w:t> </w:t>
            </w:r>
            <w:bookmarkStart w:id="915" w:name="xdx_402_eus-gaap--Assets_iI_pn3n3_hsrt--"/>
            <w:bookmarkEnd w:id="915"/>
          </w:p>
        </w:tc>
      </w:tr>
      <w:tr>
        <w:trPr/>
        <w:tc>
          <w:tcPr>
            <w:tcW w:w="2945" w:type="dxa"/>
            <w:tcBorders/>
            <w:shd w:fill="CCEEFF" w:val="clear"/>
            <w:vAlign w:val="center"/>
          </w:tcPr>
          <w:p>
            <w:pPr>
              <w:pStyle w:val="TableContents"/>
              <w:bidi w:val="0"/>
              <w:spacing w:before="0" w:after="283"/>
              <w:jc w:val="left"/>
              <w:rPr/>
            </w:pPr>
            <w:r>
              <w:rPr/>
              <w:t>Malaysia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6,154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916" w:name="xdx_40E_eus-gaap--Assets_iI_pn3n3_hsrt--"/>
            <w:bookmarkEnd w:id="916"/>
          </w:p>
        </w:tc>
      </w:tr>
      <w:tr>
        <w:trPr/>
        <w:tc>
          <w:tcPr>
            <w:tcW w:w="2945" w:type="dxa"/>
            <w:tcBorders/>
            <w:shd w:fill="FFFFFF" w:val="clear"/>
            <w:vAlign w:val="center"/>
          </w:tcPr>
          <w:p>
            <w:pPr>
              <w:pStyle w:val="TableContents"/>
              <w:bidi w:val="0"/>
              <w:spacing w:before="0" w:after="283"/>
              <w:jc w:val="left"/>
              <w:rPr/>
            </w:pPr>
            <w:r>
              <w:rPr/>
              <w:t>United Kingdom</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809</w:t>
            </w:r>
          </w:p>
        </w:tc>
        <w:tc>
          <w:tcPr>
            <w:tcW w:w="75" w:type="dxa"/>
            <w:tcBorders/>
            <w:shd w:fill="FFFFFF" w:val="clear"/>
            <w:vAlign w:val="center"/>
          </w:tcPr>
          <w:p>
            <w:pPr>
              <w:pStyle w:val="TableContents"/>
              <w:bidi w:val="0"/>
              <w:spacing w:before="0" w:after="283"/>
              <w:jc w:val="left"/>
              <w:rPr/>
            </w:pPr>
            <w:r>
              <w:rPr/>
              <w:t> </w:t>
            </w:r>
            <w:bookmarkStart w:id="917" w:name="xdx_40E_eus-gaap--Assets_iI_pn3n3_ziX4lu"/>
            <w:bookmarkEnd w:id="917"/>
          </w:p>
        </w:tc>
      </w:tr>
      <w:tr>
        <w:trPr/>
        <w:tc>
          <w:tcPr>
            <w:tcW w:w="294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8,185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4,094</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b/>
              </w:rPr>
            </w:pPr>
            <w:r>
              <w:rPr>
                <w:b/>
              </w:rPr>
              <w:t>Long Lived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918" w:name="xdx_40D_eus-gaap--PropertyPlantAndEquipm"/>
            <w:bookmarkEnd w:id="918"/>
          </w:p>
        </w:tc>
      </w:tr>
      <w:tr>
        <w:trPr/>
        <w:tc>
          <w:tcPr>
            <w:tcW w:w="2945"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bookmarkStart w:id="919" w:name="xdx_402_eus-gaap--PropertyPlantAndEquipm"/>
            <w:bookmarkEnd w:id="919"/>
          </w:p>
        </w:tc>
      </w:tr>
      <w:tr>
        <w:trPr/>
        <w:tc>
          <w:tcPr>
            <w:tcW w:w="2945" w:type="dxa"/>
            <w:tcBorders/>
            <w:shd w:fill="FFFFFF" w:val="clear"/>
            <w:vAlign w:val="center"/>
          </w:tcPr>
          <w:p>
            <w:pPr>
              <w:pStyle w:val="TableContents"/>
              <w:bidi w:val="0"/>
              <w:spacing w:before="0" w:after="283"/>
              <w:jc w:val="left"/>
              <w:rPr/>
            </w:pPr>
            <w:r>
              <w:rPr/>
              <w:t>Malaysia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920" w:name="xdx_40B_eus-gaap--PropertyPlantAndEquipm"/>
            <w:bookmarkEnd w:id="920"/>
          </w:p>
        </w:tc>
      </w:tr>
      <w:tr>
        <w:trPr/>
        <w:tc>
          <w:tcPr>
            <w:tcW w:w="2945" w:type="dxa"/>
            <w:tcBorders/>
            <w:shd w:fill="CCEEFF" w:val="clear"/>
            <w:vAlign w:val="center"/>
          </w:tcPr>
          <w:p>
            <w:pPr>
              <w:pStyle w:val="TableContents"/>
              <w:bidi w:val="0"/>
              <w:spacing w:before="0" w:after="283"/>
              <w:jc w:val="left"/>
              <w:rPr/>
            </w:pPr>
            <w:r>
              <w:rPr/>
              <w:t>United Kingdom</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bookmarkStart w:id="921" w:name="xdx_40D_eus-gaap--PropertyPlantAndEquipm"/>
            <w:bookmarkEnd w:id="921"/>
          </w:p>
        </w:tc>
      </w:tr>
      <w:tr>
        <w:trPr/>
        <w:tc>
          <w:tcPr>
            <w:tcW w:w="2945" w:type="dxa"/>
            <w:tcBorders/>
            <w:shd w:fill="FFFFFF" w:val="clear"/>
            <w:vAlign w:val="center"/>
          </w:tcPr>
          <w:p>
            <w:pPr>
              <w:pStyle w:val="TableContents"/>
              <w:bidi w:val="0"/>
              <w:spacing w:before="0" w:after="283"/>
              <w:jc w:val="left"/>
              <w:rPr>
                <w:b/>
              </w:rPr>
            </w:pPr>
            <w:r>
              <w:rPr>
                <w:b/>
              </w:rPr>
              <w:t>Total Long Lived Assets,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22" w:name="xdx_8AE_zGuF6SRyjlje"/>
      <w:bookmarkEnd w:id="92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V_1">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latter part of 2025, following the acquisition of our wholly owned subsidiary, Fitters Sdn. Bhd. (“Fitters”), the Company operated as a single</w:t>
      </w:r>
      <w:bookmarkStart w:id="923" w:name="xdx_904_eus-gaap--NumberOfReportableSegm"/>
      <w:bookmarkEnd w:id="923"/>
      <w:r>
        <w:rPr>
          <w:rFonts w:ascii="Times New Roman;Times;Serif" w:hAnsi="Times New Roman;Times;Serif"/>
          <w:b w:val="false"/>
          <w:i w:val="false"/>
          <w:caps w:val="false"/>
          <w:smallCaps w:val="false"/>
          <w:sz w:val="20"/>
        </w:rPr>
        <w:t>1 segment engaged in the distribution of fire safety materials, equipment and fire prevention systems. Prior to the acquisition of Fitters, the Company operated as a single segment engaged in the development of innovative cancer medicines based on cell cycle, transcriptional regulation and mitosis control biology. Consistent with our operational structure, our Chief Executive Officer (CEO), as the chief operating decision maker, makes resource allocation and business process decisions globally across our consolidated business. Managing and allocating resources at the consolidated level enables our CEO to assess the overall level of resources available and how to best deploy these resources across functions such as production, research and development, business development, or administration and research and development projects in line with our overarching long-term corporate-wide strategic goals, rather than on a geographic or some other basis. Consistent with this decision-making process, our CEO considers consolidated net loss, which is our single segment’s principal measure of segment profit and loss, when evaluating performance and allocating company-wide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expenses are amounts that are regularly provided to the CEO and comprise the identical captions that are reported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bookmarkStart w:id="924" w:name="xdx_894_eus-gaap--ScheduleOfSegmentRepor"/>
      <w:bookmarkEnd w:id="924"/>
      <w:r>
        <w:rPr>
          <w:rFonts w:ascii="Times New Roman;Times;Serif" w:hAnsi="Times New Roman;Times;Serif"/>
          <w:b w:val="false"/>
          <w:i w:val="false"/>
          <w:caps w:val="false"/>
          <w:smallCaps w:val="false"/>
          <w:sz w:val="20"/>
        </w:rPr>
        <w:t>A summary of our consolidated net loss for the years ended December 31, 2025 and 2024 is as follows, including the significant expenses provided to and regularly reviewed by our CEO:</w:t>
      </w:r>
    </w:p>
    <w:p>
      <w:pPr>
        <w:pStyle w:val="TextBody"/>
        <w:bidi w:val="0"/>
        <w:spacing w:before="0" w:after="0"/>
        <w:ind w:left="20" w:right="0" w:firstLine="442"/>
        <w:jc w:val="both"/>
        <w:rPr>
          <w:rFonts w:ascii="Times New Roman;Times;Serif" w:hAnsi="Times New Roman;Times;Serif"/>
          <w:b w:val="false"/>
          <w:i w:val="false"/>
          <w:caps w:val="false"/>
          <w:smallCaps w:val="false"/>
          <w:sz w:val="20"/>
        </w:rPr>
      </w:pPr>
      <w:bookmarkStart w:id="925" w:name="xdx_8B9_zZ2TZuZozXGd"/>
      <w:bookmarkEnd w:id="925"/>
      <w:r>
        <w:rPr>
          <w:rFonts w:ascii="Times New Roman;Times;Serif" w:hAnsi="Times New Roman;Times;Serif"/>
          <w:b w:val="false"/>
          <w:i w:val="false"/>
          <w:caps w:val="false"/>
          <w:smallCaps w:val="false"/>
          <w:sz w:val="20"/>
        </w:rPr>
        <w:t>Schedule of Summary of Consolidated Net Loss </w:t>
      </w:r>
    </w:p>
    <w:tbl>
      <w:tblPr>
        <w:tblW w:w="5195" w:type="dxa"/>
        <w:jc w:val="left"/>
        <w:tblInd w:w="0" w:type="dxa"/>
        <w:tblLayout w:type="fixed"/>
        <w:tblCellMar>
          <w:top w:w="0" w:type="dxa"/>
          <w:left w:w="0" w:type="dxa"/>
          <w:bottom w:w="0" w:type="dxa"/>
          <w:right w:w="0" w:type="dxa"/>
        </w:tblCellMar>
      </w:tblPr>
      <w:tblGrid>
        <w:gridCol w:w="3200"/>
        <w:gridCol w:w="60"/>
        <w:gridCol w:w="140"/>
        <w:gridCol w:w="635"/>
        <w:gridCol w:w="95"/>
        <w:gridCol w:w="60"/>
        <w:gridCol w:w="140"/>
        <w:gridCol w:w="755"/>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6" w:name="xdx_49C_20250101__20251231_zLFeAytPzAB2"/>
            <w:bookmarkEnd w:id="926"/>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7" w:name="xdx_493_20240101__20241231_zwqSM0Cu8PTk"/>
            <w:bookmarkEnd w:id="927"/>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928" w:name="xdx_408_eus-gaap--RevenueFromContractWit"/>
            <w:bookmarkEnd w:id="928"/>
          </w:p>
        </w:tc>
      </w:tr>
      <w:tr>
        <w:trPr/>
        <w:tc>
          <w:tcPr>
            <w:tcW w:w="320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43</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29" w:name="xdx_401_ecustom--CostOfSales_pn3n3_hus-g"/>
            <w:bookmarkEnd w:id="929"/>
          </w:p>
        </w:tc>
      </w:tr>
      <w:tr>
        <w:trPr/>
        <w:tc>
          <w:tcPr>
            <w:tcW w:w="320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930" w:name="xdx_40B_eus-gaap--ResearchAndDevelopment"/>
            <w:bookmarkEnd w:id="930"/>
          </w:p>
        </w:tc>
      </w:tr>
      <w:tr>
        <w:trPr/>
        <w:tc>
          <w:tcPr>
            <w:tcW w:w="320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6,655</w:t>
            </w:r>
          </w:p>
        </w:tc>
        <w:tc>
          <w:tcPr>
            <w:tcW w:w="110" w:type="dxa"/>
            <w:tcBorders/>
            <w:shd w:fill="CCEEFF" w:val="clear"/>
            <w:vAlign w:val="center"/>
          </w:tcPr>
          <w:p>
            <w:pPr>
              <w:pStyle w:val="TableContents"/>
              <w:bidi w:val="0"/>
              <w:spacing w:before="0" w:after="283"/>
              <w:jc w:val="left"/>
              <w:rPr/>
            </w:pPr>
            <w:r>
              <w:rPr/>
              <w:t> </w:t>
            </w:r>
            <w:bookmarkStart w:id="931" w:name="xdx_407_eus-gaap--SellingGeneralAndAdmin"/>
            <w:bookmarkEnd w:id="931"/>
          </w:p>
        </w:tc>
      </w:tr>
      <w:tr>
        <w:trPr/>
        <w:tc>
          <w:tcPr>
            <w:tcW w:w="320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7,717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5,392</w:t>
            </w:r>
          </w:p>
        </w:tc>
        <w:tc>
          <w:tcPr>
            <w:tcW w:w="110" w:type="dxa"/>
            <w:tcBorders/>
            <w:shd w:fill="FFFFFF" w:val="clear"/>
            <w:vAlign w:val="center"/>
          </w:tcPr>
          <w:p>
            <w:pPr>
              <w:pStyle w:val="TableContents"/>
              <w:bidi w:val="0"/>
              <w:spacing w:before="0" w:after="283"/>
              <w:jc w:val="left"/>
              <w:rPr/>
            </w:pPr>
            <w:r>
              <w:rPr/>
              <w:t> </w:t>
            </w:r>
            <w:bookmarkStart w:id="932" w:name="xdx_40F_eus-gaap--OperatingExpenses_pn3n"/>
            <w:bookmarkEnd w:id="932"/>
          </w:p>
        </w:tc>
      </w:tr>
      <w:tr>
        <w:trPr/>
        <w:tc>
          <w:tcPr>
            <w:tcW w:w="320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9,174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12,047</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33" w:name="xdx_402_eus-gaap--OperatingIncomeLoss_pn"/>
            <w:bookmarkEnd w:id="933"/>
          </w:p>
        </w:tc>
      </w:tr>
      <w:tr>
        <w:trPr/>
        <w:tc>
          <w:tcPr>
            <w:tcW w:w="3200"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(8,427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(12,004</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34" w:name="xdx_40E_eus-gaap--NonoperatingIncomeExpe"/>
            <w:bookmarkEnd w:id="934"/>
          </w:p>
        </w:tc>
      </w:tr>
      <w:tr>
        <w:trPr/>
        <w:tc>
          <w:tcPr>
            <w:tcW w:w="3200"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5,436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110" w:type="dxa"/>
            <w:tcBorders/>
            <w:shd w:fill="CCEEFF" w:val="clear"/>
            <w:vAlign w:val="center"/>
          </w:tcPr>
          <w:p>
            <w:pPr>
              <w:pStyle w:val="TableContents"/>
              <w:bidi w:val="0"/>
              <w:spacing w:before="0" w:after="283"/>
              <w:jc w:val="left"/>
              <w:rPr/>
            </w:pPr>
            <w:r>
              <w:rPr/>
              <w:t> </w:t>
            </w:r>
            <w:bookmarkStart w:id="935" w:name="xdx_402_eus-gaap--IncomeLossFromContinui"/>
            <w:bookmarkEnd w:id="935"/>
          </w:p>
        </w:tc>
      </w:tr>
      <w:tr>
        <w:trPr/>
        <w:tc>
          <w:tcPr>
            <w:tcW w:w="3200" w:type="dxa"/>
            <w:tcBorders/>
            <w:shd w:fill="FFFFFF" w:val="clear"/>
            <w:vAlign w:val="center"/>
          </w:tcPr>
          <w:p>
            <w:pPr>
              <w:pStyle w:val="TableContents"/>
              <w:bidi w:val="0"/>
              <w:spacing w:before="0" w:after="283"/>
              <w:jc w:val="left"/>
              <w:rPr>
                <w:b/>
              </w:rPr>
            </w:pPr>
            <w:r>
              <w:rPr>
                <w:b/>
              </w:rPr>
              <w:t>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(2,991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(11,994</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36" w:name="xdx_405_eus-gaap--IncomeTaxExpenseBenefi"/>
            <w:bookmarkEnd w:id="936"/>
          </w:p>
        </w:tc>
      </w:tr>
      <w:tr>
        <w:trPr/>
        <w:tc>
          <w:tcPr>
            <w:tcW w:w="3200" w:type="dxa"/>
            <w:tcBorders/>
            <w:shd w:fill="FFFFFF" w:val="clear"/>
            <w:vAlign w:val="center"/>
          </w:tcPr>
          <w:p>
            <w:pPr>
              <w:pStyle w:val="TableContents"/>
              <w:bidi w:val="0"/>
              <w:spacing w:before="0" w:after="283"/>
              <w:jc w:val="left"/>
              <w:rPr/>
            </w:pPr>
            <w:r>
              <w:rPr/>
              <w:t>Income tax benefit / (charge)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782</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37" w:name="xdx_405_eus-gaap--NetIncomeLoss_pn3n3_hu"/>
            <w:bookmarkEnd w:id="937"/>
          </w:p>
        </w:tc>
      </w:tr>
      <w:tr>
        <w:trPr/>
        <w:tc>
          <w:tcPr>
            <w:tcW w:w="320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(2,998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(11,212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938" w:name="xdx_8A4_zcKuGXMlC8e4"/>
      <w:bookmarkEnd w:id="93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9" w:name="xdx_808_eus-gaap--SubsequentEventsTextBl"/>
      <w:bookmarkEnd w:id="939"/>
      <w:r>
        <w:rPr>
          <w:rFonts w:ascii="Times New Roman;Times;Serif" w:hAnsi="Times New Roman;Times;Serif"/>
          <w:b/>
          <w:i w:val="false"/>
          <w:caps w:val="false"/>
          <w:smallCaps w:val="false"/>
          <w:sz w:val="20"/>
        </w:rPr>
        <w:t xml:space="preserve">20. </w:t>
      </w:r>
      <w:bookmarkStart w:id="940" w:name="xdx_82F_z1rLHA7HOzz9"/>
      <w:bookmarkEnd w:id="940"/>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4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the Board of Directors of Bio Green Med Solution, Inc. (the “Company”) declared a quarterly cash dividend of $</w:t>
      </w:r>
      <w:bookmarkStart w:id="941" w:name="xdx_904_eus-gaap--SharesIssuedPricePerSh"/>
      <w:bookmarkEnd w:id="941"/>
      <w:r>
        <w:rPr>
          <w:rFonts w:ascii="Times New Roman;Times;Serif" w:hAnsi="Times New Roman;Times;Serif"/>
          <w:b w:val="false"/>
          <w:i w:val="false"/>
          <w:caps w:val="false"/>
          <w:smallCaps w:val="false"/>
          <w:sz w:val="20"/>
        </w:rPr>
        <w:t xml:space="preserve">0.15 per share on the Company’s </w:t>
      </w:r>
      <w:bookmarkStart w:id="942" w:name="xdx_90E_eus-gaap--PreferredStockDividend"/>
      <w:bookmarkEnd w:id="942"/>
      <w:r>
        <w:rPr>
          <w:rFonts w:ascii="Times New Roman;Times;Serif" w:hAnsi="Times New Roman;Times;Serif"/>
          <w:b w:val="false"/>
          <w:i w:val="false"/>
          <w:caps w:val="false"/>
          <w:smallCaps w:val="false"/>
          <w:sz w:val="20"/>
        </w:rPr>
        <w:t>6% Convertible Exchangeable Preferred Stock (the “Preferred Stock”). The dividend was paid on February 1, 2026, to Preferred Stock stockholders of record as of the close of business on January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Delisting of 6% Convertible Exchangeable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4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 to Nasdaq notices received September 11, 2025 and March 12, 2026 in connection with the Company’s failure to satisfy a continued listing rule in relation to its </w:t>
      </w:r>
      <w:bookmarkStart w:id="943" w:name="xdx_90A_eus-gaap--PreferredStockDividend"/>
      <w:bookmarkStart w:id="944" w:name="xdx_90D_eus-gaap--PreferredStockDividend"/>
      <w:bookmarkEnd w:id="943"/>
      <w:bookmarkEnd w:id="944"/>
      <w:r>
        <w:rPr>
          <w:rFonts w:ascii="Times New Roman;Times;Serif" w:hAnsi="Times New Roman;Times;Serif"/>
          <w:b w:val="false"/>
          <w:i w:val="false"/>
          <w:caps w:val="false"/>
          <w:smallCaps w:val="false"/>
          <w:sz w:val="20"/>
        </w:rPr>
        <w:t>6% Convertible Exchangeable Preferred Stock (listed on The Nasdaq Capital Market under the symbol “BGMSP”), trading of the Preferred Stock was suspended at the opening of business on March 23, 2026, and a Form 25-NSE was filed with the Securities and Exchange Commission, which removed the Company’s securities from listing and registration on The Nasdaq Stock Market.</w:t>
      </w:r>
    </w:p>
    <w:p>
      <w:pPr>
        <w:pStyle w:val="TextBody"/>
        <w:bidi w:val="0"/>
        <w:spacing w:before="0" w:after="0"/>
        <w:ind w:left="0" w:right="0" w:firstLine="442"/>
        <w:jc w:val="both"/>
        <w:rPr>
          <w:caps w:val="false"/>
          <w:smallCaps w:val="false"/>
        </w:rPr>
      </w:pPr>
      <w:r>
        <w:rPr>
          <w:caps w:val="false"/>
          <w:smallCaps w:val="false"/>
        </w:rPr>
        <w:t> </w:t>
      </w:r>
    </w:p>
    <w:p>
      <w:pPr>
        <w:pStyle w:val="TextBody"/>
        <w:bidi w:val="0"/>
        <w:spacing w:before="0" w:after="0"/>
        <w:ind w:left="0" w:right="0" w:firstLine="44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expected that the Preferred Stock will be delisted from The Nasdaq Capital Market on or after April 2, 2026. The Company believes that the Preferred Stock may be quoted and traded on the OTC Markets after April 2, 2026. The delisting does not affect the Company’s Common Stock (listed on The Nasdaq Capital Market under the symbol “BGMS”).</w:t>
      </w:r>
    </w:p>
    <w:p>
      <w:pPr>
        <w:pStyle w:val="TextBody"/>
        <w:bidi w:val="0"/>
        <w:spacing w:before="0" w:after="0"/>
        <w:ind w:left="0" w:right="0" w:firstLine="442"/>
        <w:jc w:val="both"/>
        <w:rPr>
          <w:caps w:val="false"/>
          <w:smallCaps w:val="false"/>
        </w:rPr>
      </w:pPr>
      <w:bookmarkStart w:id="945" w:name="xdx_817_zFlL8uh7P7v"/>
      <w:bookmarkEnd w:id="945"/>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46" w:name="sp_019"/>
      <w:bookmarkEnd w:id="946"/>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2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47" w:name="sp_020"/>
      <w:bookmarkEnd w:id="947"/>
      <w:r>
        <w:rPr>
          <w:rFonts w:ascii="Times New Roman;Times;Serif" w:hAnsi="Times New Roman;Times;Serif"/>
          <w:b/>
          <w:i w:val="false"/>
          <w:caps w:val="false"/>
          <w:smallCaps w:val="false"/>
          <w:sz w:val="20"/>
        </w:rPr>
        <w:t>Item 9A. Controls and Procedures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Disclosure Controls: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An evaluation was performed under the supervision and with the participation of the Company’s management, including the Chief Executive Officer and Chief Financial Officer, on the effectiveness of the Company’s disclosure controls and procedures as of December 31, 2025.</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this evaluation, our Chief Executive Officer and Chief Financial Officer concluded that, as of December 31, 2025, the end of the period covered by this report, our disclosure controls and procedures were effective.</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Management’s Annual Report on Internal Control Over Financial Reporting:</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0" w:after="0"/>
        <w:ind w:left="20" w:right="0" w:firstLine="22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the assets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unauthorized acquisition, use or disposition of the Company’s assets that could have a material effect on the financial statements.</w:t>
            </w:r>
          </w:p>
        </w:tc>
      </w:tr>
    </w:tbl>
    <w:p>
      <w:pPr>
        <w:pStyle w:val="TextBody"/>
        <w:bidi w:val="0"/>
        <w:spacing w:before="0" w:after="0"/>
        <w:ind w:left="480" w:right="0" w:hanging="217"/>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override. Because of such limitations, there is a risk that material misstatements may not be prevented or detected on a timely basis by internal control over financial reporting. However, these inherent limitations are known features of the financial reporting process, and it is possible to design safeguards into the process to reduce, though not eliminate, this risk.</w:t>
      </w:r>
    </w:p>
    <w:p>
      <w:pPr>
        <w:pStyle w:val="TextBody"/>
        <w:bidi w:val="0"/>
        <w:spacing w:before="0" w:after="0"/>
        <w:ind w:left="20" w:right="0" w:firstLine="221"/>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based on the framework in Internal Control — Integrated Framework issued by the Committee of Sponsoring Organizations of the Treadway Commission (COSO) in 2013.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assessed the effectiveness of our internal control over financial reporting as of December 31, 2025. Management’s assessment included an evaluation of the design of our internal control over financial reporting and testing of the operational effectiveness of our internal control over financial reporting. Management reviewed the results of its assessment with the Audit Committee.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this assessment, management determined that, as of December 31, 2025, our internal control over financial reporting was effective to provide reasonable assurance regarding the reliability of financial reporting and the preparation of financial statements for external purposes in accordance with accounting principles generally accepted in the United States of America.</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include an attestation report of our registered independent public accounting firm regarding internal control over financial reporting. Management’s report was not subject to attestation by our registered public accounting firm pursuant to rules of the Securities and Exchange Commission that permit us to provide only management’s report in this annual report.</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 Changes in Internal Control Over Financial Reporting</w:t>
      </w:r>
    </w:p>
    <w:p>
      <w:pPr>
        <w:pStyle w:val="TextBody"/>
        <w:bidi w:val="0"/>
        <w:spacing w:before="0" w:after="0"/>
        <w:ind w:left="24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of Fitters Sdn. Bhd., the Company evaluated the internal controls environment and related processes of the newly acquired subsidiary. The Company concluded that the internal controls environment inherent at the subsidiary was robust enough to allow the continuation of the preparation of the subsidiary level financial statements by existing financial personnel, supported and supervised by the Chief Financial Officer. At entity level, which incorporates the consolidation of all subsidiary companies, there have not been any significant changes in our internal control over financial reporting (as defined in Rule 13a-15(f)) during the fiscal year ended December 31, 2025 that have materially affected or are reasonably likely to materially affect, our internal control over financial reporting.</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48" w:name="sp_021"/>
      <w:bookmarkEnd w:id="948"/>
      <w:r>
        <w:rPr>
          <w:rFonts w:ascii="Times New Roman;Times;Serif" w:hAnsi="Times New Roman;Times;Serif"/>
          <w:b/>
          <w:i w:val="false"/>
          <w:caps w:val="false"/>
          <w:smallCaps w:val="false"/>
          <w:sz w:val="20"/>
        </w:rPr>
        <w:t>Item 9B. Other information</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Amendments to Amended and Restated Certificate of Incorporation for to Increase Shares and for Reverse Stock Splits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14" w:right="0" w:firstLine="3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2025, after obtaining the approval of the Board of Directors and majority stockholder of the Company, as disclosed in the Company’s Definitive Information Statement on Schedule 14C filed with the Securities and Exchange Commission on April 3, 2025 (the “Schedule 14C”), the Company filed a Certificate of Amendment to its Amended and Restated Certificate of Incorporation (the “Certificate of Amendment”) with the Secretary of State of the State of Delaware. The Certificate of Amendment became effective upon filing to increase the number of authorized shares of the Company’s common stock from two hundred fifty million (250,000,000) to six hundred million (600,000,000). The amendment did not result in any changes to the issued and outstanding shares of the Company’s common stock, and only affects the number of shares that may be issued by the Company in the future.</w:t>
      </w:r>
    </w:p>
    <w:p>
      <w:pPr>
        <w:pStyle w:val="TextBody"/>
        <w:bidi w:val="0"/>
        <w:spacing w:before="0" w:after="0"/>
        <w:ind w:left="14" w:right="0" w:firstLine="340"/>
        <w:jc w:val="both"/>
        <w:rPr>
          <w:caps w:val="false"/>
          <w:smallCaps w:val="false"/>
        </w:rPr>
      </w:pPr>
      <w:r>
        <w:rPr>
          <w:caps w:val="false"/>
          <w:smallCaps w:val="false"/>
        </w:rPr>
        <w:t> </w:t>
      </w:r>
    </w:p>
    <w:p>
      <w:pPr>
        <w:pStyle w:val="TextBody"/>
        <w:bidi w:val="0"/>
        <w:spacing w:before="0" w:after="0"/>
        <w:ind w:left="14" w:right="0" w:firstLine="3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the “Company filed an amendment to its Certificate of Incorporation (the “May Certificate of Amendment”) to implement a one-for-sixteen reverse stock split. The effective date of the Certificate of Amendment is May 12, 2025 (the “May 12 Effective Date”). The Company’s common stock began trading on a split-adjusted basis when the market opens on the May 12 Effective Date. The Board of Directors of the Company approved the amendment to the Company’s Certificate of Incorporation primarily to meet the share bid price requirements of The Nasdaq Capital Market. The Company’s stockholders approved the Certificate of Amendment at a special meeting of its stockholders held on February 6, 2025. As a result of the reverse stock split, on the Effective Date, every sixteen shares of common stock then issued and outstanding automatically were combined into one share of common stock, with no change in par value per share. No fractional shares were outstanding following the reverse stock split, and any fractional shares that would have resulted from the reverse stock split were (a) rounded up to the nearest whole number for any shareholder who would otherwise be entitled to receive one-half or more of a fractional split-adjusted share, and (b) rounded down to the nearest whole number for any shareholder who would otherwise be entitled to receive less than one-half of a fractional split-adjusted share.</w:t>
      </w:r>
    </w:p>
    <w:p>
      <w:pPr>
        <w:pStyle w:val="TextBody"/>
        <w:bidi w:val="0"/>
        <w:spacing w:before="0" w:after="0"/>
        <w:ind w:left="14" w:right="0" w:firstLine="3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2025, the Company) filed an amendment to its Certificate of Incorporation (“July Certificate of Amendment”) to implement a one-for-fifteen reverse stock split. The effective date of the Certificate of Amendment is July 7, 2025 (the “July 2 Effective Date”). The Company’s common stock will begin trading on a split-adjusted basis when the market opens on the July 2 Effective Date. The Board of Directors of the Company approved the amendment to the Company’s July Certificate of Incorporation primarily to meet the share bid price requirements of The Nasdaq Capital Market. The Company’s stockholders approved the Certificate of Amendment by majority written consent on May 12, 2025. As a result of the reverse stock split, on the Effective Date, every fifteen shares of common stock then issued and outstanding automatically were combined into one share of common stock, with no change in par value per share. No fractional shares were outstanding following the reverse stock split, and any fractional shares that would have resulted from the reverse stock split were (a) rounded up to the nearest whole number for any shareholder who would otherwise be entitled to receive one-half or more of a fractional split-adjusted share, and (b) rounded down to the nearest whole number for any shareholder who would otherwise be entitled to receive less than one-half of a fractional split-adjusted share.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Rule 10b5-1 Trading Arrangements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no director or officer of the Company </w:t>
      </w:r>
      <w:bookmarkStart w:id="949" w:name="xdx_90A_eecd--NonRule10b51ArrAdoptedFlag"/>
      <w:bookmarkStart w:id="950" w:name="xdx_900_eecd--Rule10b51ArrAdoptedFlag_db"/>
      <w:bookmarkEnd w:id="949"/>
      <w:bookmarkEnd w:id="950"/>
      <w:r>
        <w:rPr>
          <w:rFonts w:ascii="Times New Roman;Times;Serif" w:hAnsi="Times New Roman;Times;Serif"/>
          <w:b w:val="false"/>
          <w:i w:val="false"/>
          <w:caps w:val="false"/>
          <w:smallCaps w:val="false"/>
          <w:sz w:val="20"/>
        </w:rPr>
        <w:t xml:space="preserve">adopted, </w:t>
      </w:r>
      <w:bookmarkStart w:id="951" w:name="xdx_905_ecustom--NonRule10b51ArrModified"/>
      <w:bookmarkStart w:id="952" w:name="xdx_90B_ecustom--Rule10b51ArrModifiedFla"/>
      <w:bookmarkEnd w:id="951"/>
      <w:bookmarkEnd w:id="952"/>
      <w:r>
        <w:rPr>
          <w:rFonts w:ascii="Times New Roman;Times;Serif" w:hAnsi="Times New Roman;Times;Serif"/>
          <w:b w:val="false"/>
          <w:i w:val="false"/>
          <w:caps w:val="false"/>
          <w:smallCaps w:val="false"/>
          <w:sz w:val="20"/>
        </w:rPr>
        <w:t xml:space="preserve">modified or </w:t>
      </w:r>
      <w:bookmarkStart w:id="953" w:name="xdx_907_eecd--NonRule10b51ArrTrmntdFlag_"/>
      <w:bookmarkStart w:id="954" w:name="xdx_900_eecd--Rule10b51ArrTrmntdFlag_dbF"/>
      <w:bookmarkEnd w:id="953"/>
      <w:bookmarkEnd w:id="954"/>
      <w:r>
        <w:rPr>
          <w:rFonts w:ascii="Times New Roman;Times;Serif" w:hAnsi="Times New Roman;Times;Serif"/>
          <w:b w:val="false"/>
          <w:i w:val="false"/>
          <w:caps w:val="false"/>
          <w:smallCaps w:val="false"/>
          <w:sz w:val="20"/>
        </w:rPr>
        <w:t>terminated a “Rule 10b5-1 trading arrangement” or “non-Rule 10b5-1 trading arrangement,” as each term is defined in Item 408(a) of Regulation S-K.</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55" w:name="sp_022"/>
      <w:bookmarkEnd w:id="955"/>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2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56" w:name="sp_023"/>
      <w:bookmarkEnd w:id="956"/>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57" w:name="sp_024"/>
      <w:bookmarkEnd w:id="957"/>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item 10 is incorporated herein by reference from our Proxy Statement, which will be filed with the SEC with respect to our 2026 Annual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Our Code of Business Conduct and Ethics is a “code of ethics,” as defined in Item 406(b) of Regulation S-K. We will make any legally required disclosures regarding amendments to, or waivers of, provisions of our Code of Conduct on our website. The information contained on, or accessible from, our website is not part of this Annual Report on Form 10-K by reference or otherwise.</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58" w:name="sp_025"/>
      <w:bookmarkEnd w:id="958"/>
      <w:r>
        <w:rPr>
          <w:rFonts w:ascii="Times New Roman;Times;Serif" w:hAnsi="Times New Roman;Times;Serif"/>
          <w:b/>
          <w:i w:val="false"/>
          <w:caps w:val="false"/>
          <w:smallCaps w:val="false"/>
          <w:sz w:val="20"/>
        </w:rPr>
        <w:t>Item 11. Executive Compensation</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item 11 is incorporated herein by reference from our Proxy Statement, which will be filed with the SEC with respect to our 2026 Annual Meeting of Stockholders.</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59" w:name="sp_026"/>
      <w:bookmarkEnd w:id="959"/>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item 12 is incorporated herein by reference from our Proxy Statement, which will be filed with the SEC with respect to our 2026 Annual Meeting of Stockholders.</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60" w:name="sp_027"/>
      <w:bookmarkEnd w:id="960"/>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item 13 is incorporated herein by reference from our Proxy Statement, which will be filed with the SEC with respect to our 2026 Annual Meeting of Stockholders.</w:t>
      </w:r>
    </w:p>
    <w:p>
      <w:pPr>
        <w:pStyle w:val="TextBody"/>
        <w:bidi w:val="0"/>
        <w:spacing w:before="0" w:after="0"/>
        <w:ind w:left="20" w:right="0" w:firstLine="22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61" w:name="sp_028"/>
      <w:bookmarkEnd w:id="961"/>
      <w:r>
        <w:rPr>
          <w:rFonts w:ascii="Times New Roman;Times;Serif" w:hAnsi="Times New Roman;Times;Serif"/>
          <w:b/>
          <w:i w:val="false"/>
          <w:caps w:val="false"/>
          <w:smallCaps w:val="false"/>
          <w:sz w:val="20"/>
        </w:rPr>
        <w:t>Item 14. Principal Accountant Fees and Services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item 14 is incorporated herein by reference from our Proxy Statement, which will be filed with the SEC with respect to our 2026 Annual Meeting of Stockholders.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62" w:name="sp_029"/>
      <w:bookmarkEnd w:id="962"/>
      <w:r>
        <w:rPr>
          <w:rFonts w:ascii="Times New Roman;Times;Serif" w:hAnsi="Times New Roman;Times;Serif"/>
          <w:b/>
          <w:i w:val="false"/>
          <w:caps w:val="false"/>
          <w:smallCaps w:val="false"/>
          <w:sz w:val="20"/>
        </w:rPr>
        <w:t>PART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63" w:name="sp_030"/>
      <w:bookmarkEnd w:id="963"/>
      <w:r>
        <w:rPr>
          <w:rFonts w:ascii="Times New Roman;Times;Serif" w:hAnsi="Times New Roman;Times;Serif"/>
          <w:b/>
          <w:i w:val="false"/>
          <w:caps w:val="false"/>
          <w:smallCaps w:val="false"/>
          <w:sz w:val="20"/>
        </w:rPr>
        <w:t>Item 15. Exhibits and Financial Statement Schedules</w:t>
      </w:r>
    </w:p>
    <w:p>
      <w:pPr>
        <w:pStyle w:val="TextBody"/>
        <w:bidi w:val="0"/>
        <w:spacing w:before="0" w:after="0"/>
        <w:ind w:left="2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75"/>
        <w:gridCol w:w="230"/>
        <w:gridCol w:w="42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filed as part of this report are as follows:</w:t>
            </w:r>
          </w:p>
        </w:tc>
      </w:tr>
    </w:tbl>
    <w:p>
      <w:pPr>
        <w:pStyle w:val="TextBody"/>
        <w:bidi w:val="0"/>
        <w:spacing w:before="0" w:after="0"/>
        <w:ind w:left="480" w:right="0" w:hanging="21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“Index to Consolidated Financial Statements and Financial Statement Schedules” at Item 8 of this Annual Report on Form 10-K.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caps w:val="false"/>
                <w:smallCaps w:val="false"/>
              </w:rPr>
            </w:pPr>
            <w:r>
              <w:rPr>
                <w:caps w:val="false"/>
                <w:smallCaps w:val="false"/>
              </w:rPr>
              <w:t> </w:t>
            </w:r>
          </w:p>
        </w:tc>
        <w:tc>
          <w:tcPr>
            <w:tcW w:w="99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financial statement schedules have not been included because they are not applicable or the information is included in the financial statements or notes thereto.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caps w:val="false"/>
                <w:smallCaps w:val="false"/>
              </w:rPr>
            </w:pPr>
            <w:r>
              <w:rPr>
                <w:caps w:val="false"/>
                <w:smallCaps w:val="false"/>
              </w:rPr>
              <w:t> </w:t>
            </w:r>
          </w:p>
        </w:tc>
        <w:tc>
          <w:tcPr>
            <w:tcW w:w="99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list of exhibits filed as part of this Annual Report on Form 10-K.</w:t>
            </w:r>
          </w:p>
        </w:tc>
      </w:tr>
    </w:tbl>
    <w:p>
      <w:pPr>
        <w:pStyle w:val="TextBody"/>
        <w:bidi w:val="0"/>
        <w:spacing w:before="0" w:after="0"/>
        <w:ind w:left="920" w:right="0" w:hanging="215"/>
        <w:jc w:val="both"/>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75"/>
        <w:gridCol w:w="245"/>
        <w:gridCol w:w="7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06"/>
        <w:gridCol w:w="60"/>
        <w:gridCol w:w="9239"/>
      </w:tblGrid>
      <w:tr>
        <w:trPr/>
        <w:tc>
          <w:tcPr>
            <w:tcW w:w="90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0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9"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Agreement for the Sale and Purchase of Certain Assets dated March 10, 2025 by and between Bio Green Med Solution, Inc., Cyclacel Limited, and with Carrie James and James Hopkirk, the liquidators of Cyclacel Limited (previously filed as Exhibit 2.1 the Registrant’s Current Report on Form 8-K, originally filed with the SEC on March 14, 2025 and incorporated herein by reference).</w:t>
              </w:r>
            </w:hyperlink>
          </w:p>
        </w:tc>
      </w:tr>
      <w:tr>
        <w:trPr/>
        <w:tc>
          <w:tcPr>
            <w:tcW w:w="90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9"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Amended and Restated Certificate of Incorporation of Bio Green Med Solution, Inc. (previously filed as Exhibit 3.1 to the Registrant’s Annual Report on Form 10-K, originally filed with the SEC on April 1, 2013, and incorporated herein by reference).</w:t>
              </w:r>
            </w:hyperlink>
          </w:p>
        </w:tc>
      </w:tr>
      <w:tr>
        <w:trPr/>
        <w:tc>
          <w:tcPr>
            <w:tcW w:w="90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39"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Exchange Agreement dated May 6, 2025 (incorporated by reference to Exhibit 2.1 to the Company’s Current Report on Form 8-K filed with the Securities Exchange Commission on May 6, 2025)</w:t>
              </w:r>
            </w:hyperlink>
          </w:p>
        </w:tc>
      </w:tr>
      <w:tr>
        <w:trPr/>
        <w:tc>
          <w:tcPr>
            <w:tcW w:w="90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39"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Amendment No. 1 to Exchange Agreement dated July 7, 2025 (incorporated by reference to Exhibit 2.1 to the Company’s Current Report on Form 8-K filed with the Securities Exchange Commission on July 7, 2025)</w:t>
              </w:r>
            </w:hyperlink>
          </w:p>
        </w:tc>
      </w:tr>
      <w:tr>
        <w:trPr/>
        <w:tc>
          <w:tcPr>
            <w:tcW w:w="90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39"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Asset Purchase Agreement dated October 6, 2025 by and between Bio Green Med Solution, Inc., and Tethra Biosciences Inc. (incorporated by reference to Exhibit 2.1 to the Company’s Current Report on Form 8-K filed with the Securities Exchange Commission on October 7, 2025)</w:t>
              </w:r>
            </w:hyperlink>
          </w:p>
        </w:tc>
      </w:tr>
      <w:tr>
        <w:trPr/>
        <w:tc>
          <w:tcPr>
            <w:tcW w:w="90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9" w:type="dxa"/>
            <w:tcBorders/>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Certificate of Amendment to the Amended and Restated Certificate of Incorporation of Bio Green Med Solution, Inc. (previously filed as Exhibit 3.1 to the Registrant’s Current Report on Form 8-K, originally filed with the SEC on May 27, 2016, and incorporated herein by reference).</w:t>
              </w:r>
            </w:hyperlink>
          </w:p>
        </w:tc>
      </w:tr>
      <w:tr>
        <w:trPr/>
        <w:tc>
          <w:tcPr>
            <w:tcW w:w="90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9" w:type="dxa"/>
            <w:tcBorders/>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Certificate of Amendment to the Amended and Restated Certificate of Incorporation of Bio Green Med Solution, Inc. (previously filed as Exhibit 3.1 to the Registrant’s Current Report on Form 8-K, originally filed with the SEC on April 14, 2020, and incorporated herein by reference).</w:t>
              </w:r>
            </w:hyperlink>
          </w:p>
        </w:tc>
      </w:tr>
      <w:tr>
        <w:trPr/>
        <w:tc>
          <w:tcPr>
            <w:tcW w:w="90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9" w:type="dxa"/>
            <w:tcBorders/>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Certificate of Amendment to the Amended and Restated Certificate of Incorporation of Bio Green Med Solution, Inc. (previously filed as Exhibit 3.4 to the Registrant’s Registration Statement on Form S-1, originally filed with the SEC on January 19, 2024, and incorporated herein by reference).</w:t>
              </w:r>
            </w:hyperlink>
          </w:p>
        </w:tc>
      </w:tr>
      <w:tr>
        <w:trPr/>
        <w:tc>
          <w:tcPr>
            <w:tcW w:w="90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9" w:type="dxa"/>
            <w:tcBorders/>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Certificate of Correction to the Certificate of Amendment to the Amended and Restated Certificate of Incorporation of Bio Green Med Solution, Inc. (previously filed as Exhibit 3.5 to the Registrant’s Registration Statement on Form S-1, originally filed with the SEC on January 19, 2024, and incorporated herein by reference).</w:t>
              </w:r>
            </w:hyperlink>
          </w:p>
        </w:tc>
      </w:tr>
      <w:tr>
        <w:trPr/>
        <w:tc>
          <w:tcPr>
            <w:tcW w:w="90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9" w:type="dxa"/>
            <w:tcBorders/>
            <w:tcMar>
              <w:bottom w:w="0" w:type="dxa"/>
            </w:tcMar>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Second Amended and Restated Bylaws of Bio Green Med Solution, Inc. (previously filed as Exhibit 3.1 to the Registrant’s Current Report on Form 8-K, originally filed with the SEC on May 7, 2020, and incorporated herein by reference).</w:t>
              </w:r>
            </w:hyperlink>
          </w:p>
        </w:tc>
      </w:tr>
      <w:tr>
        <w:trPr/>
        <w:tc>
          <w:tcPr>
            <w:tcW w:w="90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39" w:type="dxa"/>
            <w:tcBorders/>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Amendment No. 1 to the Second Amended and Restated Bylaws of Bio Green Med Solution, Inc. (previously filed as Exhibit 3.1 to the Registrant’s Current Report on Form 8-K, originally filed with the SEC on November 7, 2023, and incorporated herein by reference).</w:t>
              </w:r>
            </w:hyperlink>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Certificate of Designation of 6% Convertible Exchangeable Preferred Stock (previously filed as Exhibit 3.2 to the Registrant’s Current Report on Form 8-K, originally filed with the SEC on November 5, 2004, and incorporated herein by reference).</w:t>
              </w:r>
            </w:hyperlink>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Certificate of Designation of Series A Preferred Stock (previously filed as Exhibit 3.5 to the Registrant’s Registration Statement on Form S-1 (No. 333-218305), originally filed with the SEC on July 17, 2017, and incorporated herein by reference).</w:t>
              </w:r>
            </w:hyperlink>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Certificate of Designation of Preferences, Rights and Limitations of the Series B Convertible Preferred Stock (previously filed as Exhibit 3.1 to the Registrant’s Current Report on Form 8-K, originally filed with the SEC on December 22, 2020, and incorporated herein by reference).</w:t>
              </w:r>
            </w:hyperlink>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Certificate of Designation of Preferences, Rights and Limitations of Series C Preferred Stock (previously filed as Exhibit 3.1 the Registrant’s Current Report on Form 8-K, originally filed with the SEC on January 6, 2025 and incorporated herein by reference).</w:t>
              </w:r>
            </w:hyperlink>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Certificate of Designation of Preferences, Rights and Limitations of Series D Preferred Stock (previously filed as Exhibit 3.2 the Registrant’s Current Report on Form 8-K, originally filed with the SEC on January 6, 2025 and incorporated herein by reference).</w:t>
              </w:r>
            </w:hyperlink>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Amended and Restated Certificate of Designation of Preferences, Rights and Limitations of Series C Preferred Stock filed with the Secretary of State of the State of Delaware on February 10, 2025 (previously filed as Exhibit 3.2 the Registrant’s Current Report on Form 8-K, originally filed with the SEC on February 12, 2025 and incorporated herein by reference).</w:t>
              </w:r>
            </w:hyperlink>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Amended and Restated Certificate of Designation of Preferences, Rights and Limitations of Series D Convertible Preferred Stock filed with the Secretary of State of the State of Delaware on February 6, 2025 (previously filed as Exhibit 3.4 the Registrant’s Current Report on Form 8-K, originally filed with the SEC on February 12, 2025 and incorporated herein by reference).</w:t>
              </w:r>
            </w:hyperlink>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Certificate of Amendment to the Amended and Restated Certificate of Incorporation of Bio Green Med Solution, Inc. filed with the Secretary of State of the State of Delaware on February 10, 2025 (previously filed as Exhibit 3.5 the Registrant’s Current Report on Form 8-K, originally filed with the SEC on February 12, 2025 and incorporated herein by reference).</w:t>
              </w:r>
            </w:hyperlink>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Certificate of Designation of Preferences, Rights and Limitations of Series E Preferred Stock (previously filed as Exhibit 3.1 the Registrant’s Current Report on Form 8-K, originally filed with the SEC on March 24, 2025 and incorporated herein by reference).</w:t>
              </w:r>
            </w:hyperlink>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Certificate of Amendment to Amended and Restated Certificate of Incorporation filed with the Secretary of State of the State of Delaware on April 25, 2025 (previously filed as Exhibit 3.1 the Registrant’s Current Report on Form 8-K, originally filed with the SEC on April 25, 2025 and incorporated herein by reference).</w:t>
              </w:r>
            </w:hyperlink>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Amended and Restated Certificate of Designation of Preferences, Rights and Limitations of Series E Preferred Stock filed with the Secretary of State of the State of Delaware on April 25, 2025 (previously filed as Exhibit 3.2 the Registrant’s Current Report on Form 8-K, originally filed with the SEC on April 25, 2025 and incorporated herein by reference).</w:t>
              </w:r>
            </w:hyperlink>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Certificate of Amendment to Certificate of Incorporation, effective May 12, 2025 (previously filed as Exhibit 3.1 the Registrant’s Current Report on Form 8-K, originally filed with the SEC on May 7, 2025 and incorporated herein by reference).</w:t>
              </w:r>
            </w:hyperlink>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Certificate of Designation of Preferences, Rights and Limitations of Series F Preferred Stock (previously filed as Exhibit 3.1 the Registrant’s Current Report on Form 8-K, originally filed with the SEC on June 20, 2025 and incorporated herein by reference).</w:t>
              </w:r>
            </w:hyperlink>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Certificate of Amendment to Certificate of Incorporation, effective July 7, 2025 (previously filed as Exhibit 3.1 the Registrant’s Current Report on Form 8-K, originally filed with the SEC on July 2, 2025 and incorporated herein by reference).</w:t>
              </w:r>
            </w:hyperlink>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Amended and Restated Certificate of Designation of Preferences, Rights and Limitations of Series F Preferred Stock filed with the Secretary of State of the State of Delaware on July 28, 2025 (previously filed as Exhibit 3.1 the Registrant’s Current Report on Form 8-K, originally filed with the SEC on July 28, 2025 and incorporated herein by reference).</w:t>
              </w:r>
            </w:hyperlink>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750"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Certificate of Amendment to Amended and Restated Certificate of Incorporation (previously filed as Exhibit 3.1 the Registrant’s Current Report on Form 8-K, originally filed with the SEC on September 12, 2025 and incorporated herein by reference).</w:t>
              </w:r>
            </w:hyperlink>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34"/>
        <w:gridCol w:w="60"/>
        <w:gridCol w:w="9711"/>
      </w:tblGrid>
      <w:tr>
        <w:trPr/>
        <w:tc>
          <w:tcPr>
            <w:tcW w:w="4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11"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Specimen of common stock Certificate (previously filed as Exhibit 4.1 to Registrant’s Registration Statement on Form S-1, File No. 333-109653, originally filed with the SEC on February 17, 2004, as subsequently amended, and incorporated herein by reference).</w:t>
              </w:r>
            </w:hyperlink>
          </w:p>
        </w:tc>
      </w:tr>
      <w:tr>
        <w:trPr/>
        <w:tc>
          <w:tcPr>
            <w:tcW w:w="4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11"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Specimen of Preferred Stock Certificate of Designation (previously filed as Exhibit 3.2 to Registrant’s Registration Statement on Form S-1, File No. 333-119585, originally filed with the SEC on October 21, 2004, as subsequently amended, and incorporated herein by reference).</w:t>
              </w:r>
            </w:hyperlink>
          </w:p>
        </w:tc>
      </w:tr>
      <w:tr>
        <w:trPr/>
        <w:tc>
          <w:tcPr>
            <w:tcW w:w="4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11"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Form of Warrant to purchase shares of Bio Green Med Solution, Inc. common stock (previously filed as Exhibit 4.1 to the Registrant’s Current Report on Form 8-K, originally filed with the SEC on July 1, 2011, and incorporated herein by reference).</w:t>
              </w:r>
            </w:hyperlink>
          </w:p>
        </w:tc>
      </w:tr>
      <w:tr>
        <w:trPr/>
        <w:tc>
          <w:tcPr>
            <w:tcW w:w="4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11" w:type="dxa"/>
            <w:tcBorders/>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Registration Rights Agreement, dated as of December 14, 2012, by and between the Company and Aspire Capital Fund, LLC (previously filed as Exhibit 4.1 to the Registrant’s Current Report on Form 8-K, originally filed with the SEC on December 17, 2012, and incorporated herein by reference).</w:t>
              </w:r>
            </w:hyperlink>
          </w:p>
        </w:tc>
      </w:tr>
      <w:tr>
        <w:trPr/>
        <w:tc>
          <w:tcPr>
            <w:tcW w:w="4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11" w:type="dxa"/>
            <w:tcBorders/>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Registration Rights Agreement, dated November 14, 2013, by and between the Company and Aspire Capital Fund, LLC (previously filed as Exhibit 4.1 to the Registrant’s Quarterly Report on Form 10-Q, originally filed with the SEC on November 14, 2013, and incorporated herein by reference).</w:t>
              </w:r>
            </w:hyperlink>
          </w:p>
        </w:tc>
      </w:tr>
      <w:tr>
        <w:trPr/>
        <w:tc>
          <w:tcPr>
            <w:tcW w:w="4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11" w:type="dxa"/>
            <w:tcBorders/>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Form of Warrant to purchase shares of Bio Green Med Solution, Inc.’s common stock (previously filed as Exhibit 4.3 to the Registrant’s Registration Statement on Form S-1 (No. 333-218305), originally filed with the SEC on July 17, 2017, and incorporated herein by reference).</w:t>
              </w:r>
            </w:hyperlink>
          </w:p>
        </w:tc>
      </w:tr>
      <w:tr>
        <w:trPr/>
        <w:tc>
          <w:tcPr>
            <w:tcW w:w="4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11" w:type="dxa"/>
            <w:tcBorders/>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Form of Pre-Funded Warrant (previously filed as Exhibit 4.1 to the Registrant’s Current Report on Form 8-K, originally filed with the SEC on April 24, 2020, and incorporated herein by reference).</w:t>
              </w:r>
            </w:hyperlink>
          </w:p>
        </w:tc>
      </w:tr>
      <w:tr>
        <w:trPr/>
        <w:tc>
          <w:tcPr>
            <w:tcW w:w="4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11" w:type="dxa"/>
            <w:tcBorders/>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Form of Common Warrant (previously filed as Exhibit 4.1 to the Registrant’s Current Report on Form 8-K, originally filed with the SEC on April 24, 2020, and incorporated herein by reference).</w:t>
              </w:r>
            </w:hyperlink>
          </w:p>
        </w:tc>
      </w:tr>
      <w:tr>
        <w:trPr/>
        <w:tc>
          <w:tcPr>
            <w:tcW w:w="4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11" w:type="dxa"/>
            <w:tcBorders/>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Form of Warrant (previously filed as Exhibit 4.1 to the Registrant’s Current Report on Form 8-K, originally filed with the SEC on December 22, 2020, and incorporated herein by reference).</w:t>
              </w:r>
            </w:hyperlink>
          </w:p>
        </w:tc>
      </w:tr>
      <w:tr>
        <w:trPr/>
        <w:tc>
          <w:tcPr>
            <w:tcW w:w="4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11" w:type="dxa"/>
            <w:tcBorders/>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Form of Pre-Funded common stock Purchase Warrant (previously filed as Exhibit 4.1 to the Registrant’s Current Report on Form 8-K, originally filed with the SEC on December 26, 2023, and incorporated herein by reference).</w:t>
              </w:r>
            </w:hyperlink>
          </w:p>
        </w:tc>
      </w:tr>
      <w:tr>
        <w:trPr/>
        <w:tc>
          <w:tcPr>
            <w:tcW w:w="4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11" w:type="dxa"/>
            <w:tcBorders/>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Form of common stock Purchase Warrant (previously filed as Exhibit 4.2 to the Registrant’s Current Report on Form 8-K, originally filed with the SEC on December 26, 2023, and incorporated herein by reference).</w:t>
              </w:r>
            </w:hyperlink>
          </w:p>
        </w:tc>
      </w:tr>
      <w:tr>
        <w:trPr/>
        <w:tc>
          <w:tcPr>
            <w:tcW w:w="4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11" w:type="dxa"/>
            <w:tcBorders/>
            <w:vAlign w:val="center"/>
          </w:tcPr>
          <w:p>
            <w:pPr>
              <w:pStyle w:val="TableContents"/>
              <w:bidi w:val="0"/>
              <w:spacing w:before="0" w:after="283"/>
              <w:jc w:val="both"/>
              <w:rPr/>
            </w:pPr>
            <w:hyperlink w:anchor="ex4-12.htm">
              <w:r>
                <w:rPr>
                  <w:rStyle w:val="InternetLink"/>
                  <w:rFonts w:ascii="Times New Roman;Times;Serif" w:hAnsi="Times New Roman;Times;Serif"/>
                  <w:b w:val="false"/>
                  <w:i w:val="false"/>
                  <w:caps w:val="false"/>
                  <w:smallCaps w:val="false"/>
                  <w:sz w:val="20"/>
                </w:rPr>
                <w:t>Description of Securities.</w:t>
              </w:r>
            </w:hyperlink>
          </w:p>
        </w:tc>
      </w:tr>
      <w:tr>
        <w:trPr/>
        <w:tc>
          <w:tcPr>
            <w:tcW w:w="4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11" w:type="dxa"/>
            <w:tcBorders/>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Form of Pre-Funded Warrant (previously filed as Exhibit 4.1 the Registrant’s Current Report on Form 8-K, originally filed with the SEC on May 2, 2024 and incorporated herein by reference)</w:t>
              </w:r>
            </w:hyperlink>
          </w:p>
        </w:tc>
      </w:tr>
      <w:tr>
        <w:trPr/>
        <w:tc>
          <w:tcPr>
            <w:tcW w:w="4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11" w:type="dxa"/>
            <w:tcBorders/>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Form of Series A Warrant (previously filed as Exhibit 4.2 the Registrant’s Current Report on Form 8-K, originally filed with the SEC on May 2, 2024 and incorporated herein by reference)</w:t>
              </w:r>
            </w:hyperlink>
          </w:p>
        </w:tc>
      </w:tr>
      <w:tr>
        <w:trPr/>
        <w:tc>
          <w:tcPr>
            <w:tcW w:w="4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11" w:type="dxa"/>
            <w:tcBorders/>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Form of Series B Warrant (previously filed as Exhibit 4.3 the Registrant’s Current Report on Form 8-K, originally filed with the SEC on May 2, 2024 and incorporated herein by reference)</w:t>
              </w:r>
            </w:hyperlink>
          </w:p>
        </w:tc>
      </w:tr>
      <w:tr>
        <w:trPr/>
        <w:tc>
          <w:tcPr>
            <w:tcW w:w="4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11" w:type="dxa"/>
            <w:tcBorders/>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Form of Placement Agent Warrant (previously filed as Exhibit 4.4 the Registrant’s Current Report on Form 8-K, originally filed with the SEC on May 2, 2024 and incorporated herein by reference)</w:t>
              </w:r>
            </w:hyperlink>
          </w:p>
        </w:tc>
      </w:tr>
      <w:tr>
        <w:trPr/>
        <w:tc>
          <w:tcPr>
            <w:tcW w:w="4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11" w:type="dxa"/>
            <w:tcBorders/>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Form of Series C Warrant (previously filed as Exhibit 4.1 the Registrant’s Current Report on Form 8-K, originally filed with the SEC on November 15, 2024 and incorporated herein by reference).</w:t>
              </w:r>
            </w:hyperlink>
          </w:p>
        </w:tc>
      </w:tr>
      <w:tr>
        <w:trPr/>
        <w:tc>
          <w:tcPr>
            <w:tcW w:w="4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11" w:type="dxa"/>
            <w:tcBorders/>
            <w:vAlign w:val="center"/>
          </w:tcPr>
          <w:p>
            <w:pPr>
              <w:pStyle w:val="TableContents"/>
              <w:bidi w:val="0"/>
              <w:spacing w:before="0" w:after="283"/>
              <w:jc w:val="both"/>
              <w:rPr/>
            </w:pPr>
            <w:hyperlink r:id="rId62">
              <w:r>
                <w:rPr>
                  <w:rStyle w:val="InternetLink"/>
                  <w:rFonts w:ascii="Times New Roman;Times;Serif" w:hAnsi="Times New Roman;Times;Serif"/>
                  <w:b w:val="false"/>
                  <w:i w:val="false"/>
                  <w:caps w:val="false"/>
                  <w:smallCaps w:val="false"/>
                  <w:sz w:val="20"/>
                </w:rPr>
                <w:t>Form of Series D Warrant (previously filed as Exhibit 4.2 the Registrant’s Current Report on Form 8-K, originally filed with the SEC on November 15, 2024 and incorporated herein by reference).</w:t>
              </w:r>
            </w:hyperlink>
          </w:p>
        </w:tc>
      </w:tr>
      <w:tr>
        <w:trPr/>
        <w:tc>
          <w:tcPr>
            <w:tcW w:w="4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11" w:type="dxa"/>
            <w:tcBorders/>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Form of Placement Agent Warrant (previously filed as Exhibit 4.3 the Registrant’s Current Report on Form 8-K, originally filed with the SEC on November 15, 2024 and incorporated herein by reference).</w:t>
              </w:r>
            </w:hyperlink>
          </w:p>
        </w:tc>
      </w:tr>
      <w:tr>
        <w:trPr/>
        <w:tc>
          <w:tcPr>
            <w:tcW w:w="4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11" w:type="dxa"/>
            <w:tcBorders/>
            <w:vAlign w:val="center"/>
          </w:tcPr>
          <w:p>
            <w:pPr>
              <w:pStyle w:val="TableContents"/>
              <w:bidi w:val="0"/>
              <w:spacing w:before="0" w:after="283"/>
              <w:jc w:val="both"/>
              <w:rPr/>
            </w:pPr>
            <w:hyperlink r:id="rId64">
              <w:r>
                <w:rPr>
                  <w:rStyle w:val="InternetLink"/>
                  <w:rFonts w:ascii="Times New Roman;Times;Serif" w:hAnsi="Times New Roman;Times;Serif"/>
                  <w:b w:val="false"/>
                  <w:i w:val="false"/>
                  <w:caps w:val="false"/>
                  <w:smallCaps w:val="false"/>
                  <w:sz w:val="20"/>
                </w:rPr>
                <w:t>Form of Pre-Funded Warrant (previously filed as Exhibit 4.1 the Registrant’s Current Report on Form 8-K, originally filed with the SEC on January 6, 2025 and incorporated herein by reference).</w:t>
              </w:r>
            </w:hyperlink>
          </w:p>
        </w:tc>
      </w:tr>
      <w:tr>
        <w:trPr/>
        <w:tc>
          <w:tcPr>
            <w:tcW w:w="4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711" w:type="dxa"/>
            <w:tcBorders/>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Form of Series A Common Stock Purchase Warrant (previously filed as Exhibit 10.2 the Registrant’s Current Report on Form 8-K, originally filed with the SEC on June 20, 2025 and incorporated herein by reference).</w:t>
              </w:r>
            </w:hyperlink>
          </w:p>
        </w:tc>
      </w:tr>
      <w:tr>
        <w:trPr/>
        <w:tc>
          <w:tcPr>
            <w:tcW w:w="4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711" w:type="dxa"/>
            <w:tcBorders/>
            <w:vAlign w:val="center"/>
          </w:tcPr>
          <w:p>
            <w:pPr>
              <w:pStyle w:val="TableContents"/>
              <w:bidi w:val="0"/>
              <w:spacing w:before="0" w:after="283"/>
              <w:jc w:val="both"/>
              <w:rPr/>
            </w:pPr>
            <w:hyperlink r:id="rId66">
              <w:r>
                <w:rPr>
                  <w:rStyle w:val="InternetLink"/>
                  <w:rFonts w:ascii="Times New Roman;Times;Serif" w:hAnsi="Times New Roman;Times;Serif"/>
                  <w:b w:val="false"/>
                  <w:i w:val="false"/>
                  <w:caps w:val="false"/>
                  <w:smallCaps w:val="false"/>
                  <w:sz w:val="20"/>
                </w:rPr>
                <w:t>Form of Series B Common Stock Purchase Warrant (previously filed as Exhibit 10.3 the Registrant’s Current Report on Form 8-K, originally filed with the SEC on June 20, 2025 and incorporated herein by reference).</w:t>
              </w:r>
            </w:hyperlink>
          </w:p>
        </w:tc>
      </w:tr>
      <w:tr>
        <w:trPr/>
        <w:tc>
          <w:tcPr>
            <w:tcW w:w="4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711" w:type="dxa"/>
            <w:tcBorders/>
            <w:vAlign w:val="center"/>
          </w:tcPr>
          <w:p>
            <w:pPr>
              <w:pStyle w:val="TableContents"/>
              <w:bidi w:val="0"/>
              <w:spacing w:before="0" w:after="283"/>
              <w:jc w:val="both"/>
              <w:rPr/>
            </w:pPr>
            <w:hyperlink r:id="rId67">
              <w:r>
                <w:rPr>
                  <w:rStyle w:val="InternetLink"/>
                  <w:rFonts w:ascii="Times New Roman;Times;Serif" w:hAnsi="Times New Roman;Times;Serif"/>
                  <w:b w:val="false"/>
                  <w:i w:val="false"/>
                  <w:caps w:val="false"/>
                  <w:smallCaps w:val="false"/>
                  <w:sz w:val="20"/>
                </w:rPr>
                <w:t>Form of Series C Common Stock Purchase Warrant (previously filed as Exhibit 10.4 the Registrant’s Current Report on Form 8-K, originally filed with the SEC on June 20, 2025 and incorporated herein by reference).</w:t>
              </w:r>
            </w:hyperlink>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0"/>
        <w:gridCol w:w="60"/>
        <w:gridCol w:w="9645"/>
      </w:tblGrid>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8">
              <w:r>
                <w:rPr>
                  <w:rStyle w:val="InternetLink"/>
                  <w:rFonts w:ascii="Times New Roman;Times;Serif" w:hAnsi="Times New Roman;Times;Serif"/>
                  <w:b w:val="false"/>
                  <w:i w:val="false"/>
                  <w:caps w:val="false"/>
                  <w:smallCaps w:val="false"/>
                  <w:sz w:val="20"/>
                </w:rPr>
                <w:t>Form of Amended and Restated Series A Common Stock Purchase Warrant (previously filed as Exhibit 10.1 the Registrant’s Current Report on Form 8-K, originally filed with the SEC on September 1, 2025 and incorporated herein by reference).</w:t>
              </w:r>
            </w:hyperlink>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69">
              <w:r>
                <w:rPr>
                  <w:rStyle w:val="InternetLink"/>
                  <w:rFonts w:ascii="Times New Roman;Times;Serif" w:hAnsi="Times New Roman;Times;Serif"/>
                  <w:b w:val="false"/>
                  <w:i w:val="false"/>
                  <w:caps w:val="false"/>
                  <w:smallCaps w:val="false"/>
                  <w:sz w:val="20"/>
                </w:rPr>
                <w:t>Form of Amended and Restated Series B Common Stock Purchase Warrant (previously filed as Exhibit 10.2 the Registrant’s Current Report on Form 8-K, originally filed with the SEC on September 1, 2025 and incorporated herein by reference).</w:t>
              </w:r>
            </w:hyperlink>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0">
              <w:r>
                <w:rPr>
                  <w:rStyle w:val="InternetLink"/>
                  <w:rFonts w:ascii="Times New Roman;Times;Serif" w:hAnsi="Times New Roman;Times;Serif"/>
                  <w:b w:val="false"/>
                  <w:i w:val="false"/>
                  <w:caps w:val="false"/>
                  <w:smallCaps w:val="false"/>
                  <w:sz w:val="20"/>
                </w:rPr>
                <w:t>Form of Amended and Restated Series C Common Stock Purchase Warrant (previously filed as Exhibit 10.3 the Registrant’s Current Report on Form 8-K, originally filed with the SEC on September 1, 2025 and incorporated herein by reference).</w:t>
              </w:r>
            </w:hyperlink>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1">
              <w:r>
                <w:rPr>
                  <w:rStyle w:val="InternetLink"/>
                  <w:rFonts w:ascii="Times New Roman;Times;Serif" w:hAnsi="Times New Roman;Times;Serif"/>
                  <w:b w:val="false"/>
                  <w:i w:val="false"/>
                  <w:caps w:val="false"/>
                  <w:smallCaps w:val="false"/>
                  <w:sz w:val="20"/>
                </w:rPr>
                <w:t>Amended and Restated 2006 Equity Incentive Plan (previously filed as Exhibit 10.1 to Registrant’s Current Report on Form 8-K, originally filed with the SEC on May 24, 2012, and incorporated herein by reference).</w:t>
              </w:r>
            </w:hyperlink>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2">
              <w:r>
                <w:rPr>
                  <w:rStyle w:val="InternetLink"/>
                  <w:rFonts w:ascii="Times New Roman;Times;Serif" w:hAnsi="Times New Roman;Times;Serif"/>
                  <w:b w:val="false"/>
                  <w:i w:val="false"/>
                  <w:caps w:val="false"/>
                  <w:smallCaps w:val="false"/>
                  <w:sz w:val="20"/>
                </w:rPr>
                <w:t>2015 Equity Incentive Plan (previously filed as Exhibit 10.1 to Registrant’s Current Report on Form 8-K, originally filed with the SEC on May 22, 2015, and incorporated herein by reference).</w:t>
              </w:r>
            </w:hyperlink>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3">
              <w:r>
                <w:rPr>
                  <w:rStyle w:val="InternetLink"/>
                  <w:rFonts w:ascii="Times New Roman;Times;Serif" w:hAnsi="Times New Roman;Times;Serif"/>
                  <w:b w:val="false"/>
                  <w:i w:val="false"/>
                  <w:caps w:val="false"/>
                  <w:smallCaps w:val="false"/>
                  <w:sz w:val="20"/>
                </w:rPr>
                <w:t>Amended and Restated 2018 Equity Incentive Plan (previously filed as Exhibit 10.1 to Registrant’s Current Report on Form 8-K originally filed with the SEC on June 14, 2023, and incorporated herein by reference).</w:t>
              </w:r>
            </w:hyperlink>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4">
              <w:r>
                <w:rPr>
                  <w:rStyle w:val="InternetLink"/>
                  <w:rFonts w:ascii="Times New Roman;Times;Serif" w:hAnsi="Times New Roman;Times;Serif"/>
                  <w:b w:val="false"/>
                  <w:i w:val="false"/>
                  <w:caps w:val="false"/>
                  <w:smallCaps w:val="false"/>
                  <w:sz w:val="20"/>
                </w:rPr>
                <w:t>Clinical Collaboration Agreement by and between Bio Green Med Solution, Inc. and the University of Texas M.D. Anderson Cancer Center dated as of August 21, 2018 (previously filed as Exhibit 10.1 to the Registrant’s Quarterly Report on Form 10-Q for the quarterly period ended September 30, 2018 and incorporated herein by reference).</w:t>
              </w:r>
            </w:hyperlink>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5">
              <w:r>
                <w:rPr>
                  <w:rStyle w:val="InternetLink"/>
                  <w:rFonts w:ascii="Times New Roman;Times;Serif" w:hAnsi="Times New Roman;Times;Serif"/>
                  <w:b w:val="false"/>
                  <w:i w:val="false"/>
                  <w:caps w:val="false"/>
                  <w:smallCaps w:val="false"/>
                  <w:sz w:val="20"/>
                </w:rPr>
                <w:t>Bio Green Med Solution, Inc. 2020 Inducement Equity Incentive Plan (previously filed as Exhibit 10.1 to the Registrant’s Current Report on Form 10-Q, originally filed with the SEC on November 12, 2020, and incorporated herein by reference).</w:t>
              </w:r>
            </w:hyperlink>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6">
              <w:r>
                <w:rPr>
                  <w:rStyle w:val="InternetLink"/>
                  <w:rFonts w:ascii="Times New Roman;Times;Serif" w:hAnsi="Times New Roman;Times;Serif"/>
                  <w:b w:val="false"/>
                  <w:i w:val="false"/>
                  <w:caps w:val="false"/>
                  <w:smallCaps w:val="false"/>
                  <w:sz w:val="20"/>
                </w:rPr>
                <w:t>Form of Stock Option Grant Notice and Stock Option Agreement under the Bio Green Med Solution, Inc. 2020 Inducement Equity Incentive Plan (previously filed as Exhibit 10.2 to the Registrant’s Current Report on Form 10-Q, originally filed with the SEC on November 12, 2020, and incorporated herein by reference).</w:t>
              </w:r>
            </w:hyperlink>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7">
              <w:r>
                <w:rPr>
                  <w:rStyle w:val="InternetLink"/>
                  <w:rFonts w:ascii="Times New Roman;Times;Serif" w:hAnsi="Times New Roman;Times;Serif"/>
                  <w:b w:val="false"/>
                  <w:i w:val="false"/>
                  <w:caps w:val="false"/>
                  <w:smallCaps w:val="false"/>
                  <w:sz w:val="20"/>
                </w:rPr>
                <w:t>Employment Agreement between Bio Green Med Solution, Inc. and Spiro Rombotis (previously filed as Exhibit 10.1 to the Registrant’s Current Report on Form 8-K, originally filed with the SEC on May 4, 2023 and incorporated herein by reference).</w:t>
              </w:r>
            </w:hyperlink>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8">
              <w:r>
                <w:rPr>
                  <w:rStyle w:val="InternetLink"/>
                  <w:rFonts w:ascii="Times New Roman;Times;Serif" w:hAnsi="Times New Roman;Times;Serif"/>
                  <w:b w:val="false"/>
                  <w:i w:val="false"/>
                  <w:caps w:val="false"/>
                  <w:smallCaps w:val="false"/>
                  <w:sz w:val="20"/>
                </w:rPr>
                <w:t>Employment Agreement between Bio Green Med Solution, Inc. and Paul McBarron (previously filed as Exhibit 10.2 to the Registrant’s Current Report on Form 8-K, originally filed with the SEC on May 4, 2023 and incorporated herein by reference).</w:t>
              </w:r>
            </w:hyperlink>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79">
              <w:r>
                <w:rPr>
                  <w:rStyle w:val="InternetLink"/>
                  <w:rFonts w:ascii="Times New Roman;Times;Serif" w:hAnsi="Times New Roman;Times;Serif"/>
                  <w:b w:val="false"/>
                  <w:i w:val="false"/>
                  <w:caps w:val="false"/>
                  <w:smallCaps w:val="false"/>
                  <w:sz w:val="20"/>
                </w:rPr>
                <w:t>Form of Indemnification Agreement for directors (previously filed as Exhibit 10.16 to the Registrant’s Annual Report on Form 10-K/A, originally filed with the SEC on November 29, 2023, and incorporated herein by reference).</w:t>
              </w:r>
            </w:hyperlink>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0">
              <w:r>
                <w:rPr>
                  <w:rStyle w:val="InternetLink"/>
                  <w:rFonts w:ascii="Times New Roman;Times;Serif" w:hAnsi="Times New Roman;Times;Serif"/>
                  <w:b w:val="false"/>
                  <w:i w:val="false"/>
                  <w:caps w:val="false"/>
                  <w:smallCaps w:val="false"/>
                  <w:sz w:val="20"/>
                </w:rPr>
                <w:t>Placement Agency Agreement by and between Bio Green Med Solution, Inc. and Ladenburg Thalmann &amp; Co. Inc., dated December 21, 2023 (previously filed as Exhibit 10.1 the Registrant’s Current Report on Form 8-K, originally filed with the SEC on December 26, 2023 and incorporated herein by reference).</w:t>
              </w:r>
            </w:hyperlink>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1">
              <w:r>
                <w:rPr>
                  <w:rStyle w:val="InternetLink"/>
                  <w:rFonts w:ascii="Times New Roman;Times;Serif" w:hAnsi="Times New Roman;Times;Serif"/>
                  <w:b w:val="false"/>
                  <w:i w:val="false"/>
                  <w:caps w:val="false"/>
                  <w:smallCaps w:val="false"/>
                  <w:sz w:val="20"/>
                </w:rPr>
                <w:t>Securities Purchase Agreement by and between Bio Green Med Solution, Inc. and the Purchasers, dated December 21, 2023 (previously filed as Exhibit 10.2 the Registrant’s Current Report on Form 8-K, originally filed with the SEC on December 26, 2023 and incorporated herein by reference).</w:t>
              </w:r>
            </w:hyperlink>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2">
              <w:r>
                <w:rPr>
                  <w:rStyle w:val="InternetLink"/>
                  <w:rFonts w:ascii="Times New Roman;Times;Serif" w:hAnsi="Times New Roman;Times;Serif"/>
                  <w:b w:val="false"/>
                  <w:i w:val="false"/>
                  <w:caps w:val="false"/>
                  <w:smallCaps w:val="false"/>
                  <w:sz w:val="20"/>
                </w:rPr>
                <w:t>Securities Purchase Agreement by and between Bio Green Med Solution, Inc. and Spiro Rombotis and Paul McBarron, dated December 21, 2023 (previously filed as Exhibit 10.3 the Registrant’s Current Report on Form 8-K, originally filed with the SEC on December 26, 2023 and incorporated herein by reference).</w:t>
              </w:r>
            </w:hyperlink>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3">
              <w:r>
                <w:rPr>
                  <w:rStyle w:val="InternetLink"/>
                  <w:rFonts w:ascii="Times New Roman;Times;Serif" w:hAnsi="Times New Roman;Times;Serif"/>
                  <w:b w:val="false"/>
                  <w:i w:val="false"/>
                  <w:caps w:val="false"/>
                  <w:smallCaps w:val="false"/>
                  <w:sz w:val="20"/>
                </w:rPr>
                <w:t>Securities Purchase Agreement, dated as of April 30, 2024, between the Company and the purchaser named therein (previously filed as Exhibit 10.1 the Registrant’s Current Report on Form 8-K, originally filed with the SEC on May 2, 2024 and incorporated herein by reference).</w:t>
              </w:r>
            </w:hyperlink>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4">
              <w:r>
                <w:rPr>
                  <w:rStyle w:val="InternetLink"/>
                  <w:rFonts w:ascii="Times New Roman;Times;Serif" w:hAnsi="Times New Roman;Times;Serif"/>
                  <w:b w:val="false"/>
                  <w:i w:val="false"/>
                  <w:caps w:val="false"/>
                  <w:smallCaps w:val="false"/>
                  <w:sz w:val="20"/>
                </w:rPr>
                <w:t>Form of Registration Rights Agreement, dated as of April 30, 2024, between the Company and the purchaser named therein (previously filed as Exhibit 10.2 the Registrant’s Current Report on Form 8-K, originally filed with the SEC on May 2, 2024 and incorporated herein by reference).</w:t>
              </w:r>
            </w:hyperlink>
          </w:p>
        </w:tc>
      </w:tr>
      <w:tr>
        <w:trPr/>
        <w:tc>
          <w:tcPr>
            <w:tcW w:w="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5" w:type="dxa"/>
            <w:tcBorders/>
            <w:vAlign w:val="center"/>
          </w:tcPr>
          <w:p>
            <w:pPr>
              <w:pStyle w:val="TableContents"/>
              <w:bidi w:val="0"/>
              <w:spacing w:before="0" w:after="283"/>
              <w:jc w:val="both"/>
              <w:rPr/>
            </w:pPr>
            <w:hyperlink r:id="rId85">
              <w:r>
                <w:rPr>
                  <w:rStyle w:val="InternetLink"/>
                  <w:rFonts w:ascii="Times New Roman;Times;Serif" w:hAnsi="Times New Roman;Times;Serif"/>
                  <w:b w:val="false"/>
                  <w:i w:val="false"/>
                  <w:caps w:val="false"/>
                  <w:smallCaps w:val="false"/>
                  <w:sz w:val="20"/>
                </w:rPr>
                <w:t>Warrant Exercise and Reload Agreement, dated November 13, 2024 (previously filed as Exhibit 10.1 the Registrant’s Current Report on Form 8-K, originally filed with the SEC on November 15, 2024 and incorporated herein by reference).</w:t>
              </w:r>
            </w:hyperlink>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5"/>
        <w:gridCol w:w="60"/>
        <w:gridCol w:w="9620"/>
      </w:tblGrid>
      <w:tr>
        <w:trPr/>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0" w:type="dxa"/>
            <w:tcBorders/>
            <w:vAlign w:val="center"/>
          </w:tcPr>
          <w:p>
            <w:pPr>
              <w:pStyle w:val="TableContents"/>
              <w:bidi w:val="0"/>
              <w:spacing w:before="0" w:after="283"/>
              <w:jc w:val="both"/>
              <w:rPr/>
            </w:pPr>
            <w:hyperlink r:id="rId86">
              <w:r>
                <w:rPr>
                  <w:rStyle w:val="InternetLink"/>
                  <w:rFonts w:ascii="Times New Roman;Times;Serif" w:hAnsi="Times New Roman;Times;Serif"/>
                  <w:b w:val="false"/>
                  <w:i w:val="false"/>
                  <w:caps w:val="false"/>
                  <w:smallCaps w:val="false"/>
                  <w:sz w:val="20"/>
                </w:rPr>
                <w:t>Securities Purchase Agreement, dated as of January 2, 2025, by and between the Company and David Lazar (previously filed as Exhibit 10.1 the Registrant’s Current Report on Form 8-K, originally filed with the SEC on January 6, 2025 and incorporated herein by reference).</w:t>
              </w:r>
            </w:hyperlink>
          </w:p>
        </w:tc>
      </w:tr>
      <w:tr>
        <w:trPr/>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0" w:type="dxa"/>
            <w:tcBorders/>
            <w:vAlign w:val="center"/>
          </w:tcPr>
          <w:p>
            <w:pPr>
              <w:pStyle w:val="TableContents"/>
              <w:bidi w:val="0"/>
              <w:spacing w:before="0" w:after="283"/>
              <w:jc w:val="both"/>
              <w:rPr/>
            </w:pPr>
            <w:hyperlink r:id="rId87">
              <w:r>
                <w:rPr>
                  <w:rStyle w:val="InternetLink"/>
                  <w:rFonts w:ascii="Times New Roman;Times;Serif" w:hAnsi="Times New Roman;Times;Serif"/>
                  <w:b w:val="false"/>
                  <w:i w:val="false"/>
                  <w:caps w:val="false"/>
                  <w:smallCaps w:val="false"/>
                  <w:sz w:val="20"/>
                </w:rPr>
                <w:t>Form of Director Settlement Agreement and Release (previously filed as Exhibit 10.2 the Registrant’s Current Report on Form 8-K, originally filed with the SEC on January 6, 2025 and incorporated herein by reference).</w:t>
              </w:r>
            </w:hyperlink>
          </w:p>
        </w:tc>
      </w:tr>
      <w:tr>
        <w:trPr/>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0" w:type="dxa"/>
            <w:tcBorders/>
            <w:vAlign w:val="center"/>
          </w:tcPr>
          <w:p>
            <w:pPr>
              <w:pStyle w:val="TableContents"/>
              <w:bidi w:val="0"/>
              <w:spacing w:before="0" w:after="283"/>
              <w:jc w:val="both"/>
              <w:rPr/>
            </w:pPr>
            <w:hyperlink r:id="rId88">
              <w:r>
                <w:rPr>
                  <w:rStyle w:val="InternetLink"/>
                  <w:rFonts w:ascii="Times New Roman;Times;Serif" w:hAnsi="Times New Roman;Times;Serif"/>
                  <w:b w:val="false"/>
                  <w:i w:val="false"/>
                  <w:caps w:val="false"/>
                  <w:smallCaps w:val="false"/>
                  <w:sz w:val="20"/>
                </w:rPr>
                <w:t>Settlement and Release Agreement, dated as of January 2, 2025, by and between the Company and Spiro Rombotis (previously filed as Exhibit 10.3 the Registrant’s Current Report on Form 8-K, originally filed with the SEC on January 6, 2025 and incorporated herein by reference).</w:t>
              </w:r>
            </w:hyperlink>
          </w:p>
        </w:tc>
      </w:tr>
      <w:tr>
        <w:trPr/>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0" w:type="dxa"/>
            <w:tcBorders/>
            <w:vAlign w:val="center"/>
          </w:tcPr>
          <w:p>
            <w:pPr>
              <w:pStyle w:val="TableContents"/>
              <w:bidi w:val="0"/>
              <w:spacing w:before="0" w:after="283"/>
              <w:jc w:val="both"/>
              <w:rPr/>
            </w:pPr>
            <w:hyperlink r:id="rId89">
              <w:r>
                <w:rPr>
                  <w:rStyle w:val="InternetLink"/>
                  <w:rFonts w:ascii="Times New Roman;Times;Serif" w:hAnsi="Times New Roman;Times;Serif"/>
                  <w:b w:val="false"/>
                  <w:i w:val="false"/>
                  <w:caps w:val="false"/>
                  <w:smallCaps w:val="false"/>
                  <w:sz w:val="20"/>
                </w:rPr>
                <w:t>Settlement and Release Agreement, dated as of January 2, 2025, by and between the Company and Paul McBarron (previously filed as Exhibit 10.4 the Registrant’s Current Report on Form 8-K, originally filed with the SEC on January 6, 2025 and incorporated herein by reference).</w:t>
              </w:r>
            </w:hyperlink>
          </w:p>
        </w:tc>
      </w:tr>
      <w:tr>
        <w:trPr/>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0" w:type="dxa"/>
            <w:tcBorders/>
            <w:vAlign w:val="center"/>
          </w:tcPr>
          <w:p>
            <w:pPr>
              <w:pStyle w:val="TableContents"/>
              <w:bidi w:val="0"/>
              <w:spacing w:before="0" w:after="283"/>
              <w:jc w:val="both"/>
              <w:rPr/>
            </w:pPr>
            <w:hyperlink r:id="rId90">
              <w:r>
                <w:rPr>
                  <w:rStyle w:val="InternetLink"/>
                  <w:rFonts w:ascii="Times New Roman;Times;Serif" w:hAnsi="Times New Roman;Times;Serif"/>
                  <w:b w:val="false"/>
                  <w:i w:val="false"/>
                  <w:caps w:val="false"/>
                  <w:smallCaps w:val="false"/>
                  <w:sz w:val="20"/>
                </w:rPr>
                <w:t>Warrant Exchange Agreement, dated as of January 2, 2025, by and between the Holder and the Company (previously filed as Exhibit 10.5 the Registrant’s Current Report on Form 8-K, originally filed with the SEC on January 6, 2025 and incorporated herein by reference).</w:t>
              </w:r>
            </w:hyperlink>
          </w:p>
        </w:tc>
      </w:tr>
      <w:tr>
        <w:trPr/>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0" w:type="dxa"/>
            <w:tcBorders/>
            <w:vAlign w:val="center"/>
          </w:tcPr>
          <w:p>
            <w:pPr>
              <w:pStyle w:val="TableContents"/>
              <w:bidi w:val="0"/>
              <w:spacing w:before="0" w:after="283"/>
              <w:jc w:val="both"/>
              <w:rPr/>
            </w:pPr>
            <w:hyperlink r:id="rId91">
              <w:r>
                <w:rPr>
                  <w:rStyle w:val="InternetLink"/>
                  <w:rFonts w:ascii="Times New Roman;Times;Serif" w:hAnsi="Times New Roman;Times;Serif"/>
                  <w:b w:val="false"/>
                  <w:i w:val="false"/>
                  <w:caps w:val="false"/>
                  <w:smallCaps w:val="false"/>
                  <w:sz w:val="20"/>
                </w:rPr>
                <w:t>Addendum to Securities Purchase Agreement, dated as of January 9, 2025, by and between the Company and David Lazar (previously filed as Exhibit 10.1 the Registrant’s Current Report on Form 8-K, originally filed with the SEC on January 9, 2025 and incorporated herein by reference).</w:t>
              </w:r>
            </w:hyperlink>
          </w:p>
        </w:tc>
      </w:tr>
      <w:tr>
        <w:trPr/>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0" w:type="dxa"/>
            <w:tcBorders/>
            <w:vAlign w:val="center"/>
          </w:tcPr>
          <w:p>
            <w:pPr>
              <w:pStyle w:val="TableContents"/>
              <w:bidi w:val="0"/>
              <w:spacing w:before="0" w:after="283"/>
              <w:jc w:val="both"/>
              <w:rPr/>
            </w:pPr>
            <w:hyperlink r:id="rId92">
              <w:r>
                <w:rPr>
                  <w:rStyle w:val="InternetLink"/>
                  <w:rFonts w:ascii="Times New Roman;Times;Serif" w:hAnsi="Times New Roman;Times;Serif"/>
                  <w:b w:val="false"/>
                  <w:i w:val="false"/>
                  <w:caps w:val="false"/>
                  <w:smallCaps w:val="false"/>
                  <w:sz w:val="20"/>
                </w:rPr>
                <w:t>Securities Purchase Agreement, dated as of February 4, 2025, between the Company and David Lazar (previously filed as Exhibit 10.1 the Registrant’s Current Report on Form 8-K, originally filed with the SEC on February 6, 2025 and incorporated herein by reference).</w:t>
              </w:r>
            </w:hyperlink>
          </w:p>
        </w:tc>
      </w:tr>
      <w:tr>
        <w:trPr/>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0" w:type="dxa"/>
            <w:tcBorders/>
            <w:vAlign w:val="center"/>
          </w:tcPr>
          <w:p>
            <w:pPr>
              <w:pStyle w:val="TableContents"/>
              <w:bidi w:val="0"/>
              <w:spacing w:before="0" w:after="283"/>
              <w:jc w:val="both"/>
              <w:rPr/>
            </w:pPr>
            <w:hyperlink r:id="rId93">
              <w:r>
                <w:rPr>
                  <w:rStyle w:val="InternetLink"/>
                  <w:rFonts w:ascii="Times New Roman;Times;Serif" w:hAnsi="Times New Roman;Times;Serif"/>
                  <w:b w:val="false"/>
                  <w:i w:val="false"/>
                  <w:caps w:val="false"/>
                  <w:smallCaps w:val="false"/>
                  <w:sz w:val="20"/>
                </w:rPr>
                <w:t>Amendment Agreement, dated as of February 4, 2025, between the Company and Armistice Capital Master Fund Ltd. (previously filed as Exhibit 10.2 the Registrant’s Current Report on Form 8-K, originally filed with the SEC on February 6, 2025 and incorporated herein by reference).</w:t>
              </w:r>
            </w:hyperlink>
          </w:p>
        </w:tc>
      </w:tr>
      <w:tr>
        <w:trPr/>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0" w:type="dxa"/>
            <w:tcBorders/>
            <w:vAlign w:val="center"/>
          </w:tcPr>
          <w:p>
            <w:pPr>
              <w:pStyle w:val="TableContents"/>
              <w:bidi w:val="0"/>
              <w:spacing w:before="0" w:after="283"/>
              <w:jc w:val="both"/>
              <w:rPr/>
            </w:pPr>
            <w:hyperlink r:id="rId94">
              <w:r>
                <w:rPr>
                  <w:rStyle w:val="InternetLink"/>
                  <w:rFonts w:ascii="Times New Roman;Times;Serif" w:hAnsi="Times New Roman;Times;Serif"/>
                  <w:b w:val="false"/>
                  <w:i w:val="false"/>
                  <w:caps w:val="false"/>
                  <w:smallCaps w:val="false"/>
                  <w:sz w:val="20"/>
                </w:rPr>
                <w:t>Securities Purchase Agreement, dated as of February 5, 2025, between the Company and Helena Special Opportunities 1 Ltd. (previously filed as Exhibit 10.3 the Registrant’s Current Report on Form 8-K, originally filed with the SEC on February 6, 2025 and incorporated herein by reference).</w:t>
              </w:r>
            </w:hyperlink>
          </w:p>
        </w:tc>
      </w:tr>
      <w:tr>
        <w:trPr/>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0" w:type="dxa"/>
            <w:tcBorders/>
            <w:vAlign w:val="center"/>
          </w:tcPr>
          <w:p>
            <w:pPr>
              <w:pStyle w:val="TableContents"/>
              <w:bidi w:val="0"/>
              <w:spacing w:before="0" w:after="283"/>
              <w:jc w:val="both"/>
              <w:rPr/>
            </w:pPr>
            <w:hyperlink r:id="rId95">
              <w:r>
                <w:rPr>
                  <w:rStyle w:val="InternetLink"/>
                  <w:rFonts w:ascii="Times New Roman;Times;Serif" w:hAnsi="Times New Roman;Times;Serif"/>
                  <w:b w:val="false"/>
                  <w:i w:val="false"/>
                  <w:caps w:val="false"/>
                  <w:smallCaps w:val="false"/>
                  <w:sz w:val="20"/>
                </w:rPr>
                <w:t>Lock-Up Addendum, dated February 20, 2025, by and between the Company and David Lazar (previously filed as Exhibit 10.1 the Registrant’s Current Report on Form 8-K, originally filed with the SEC on February 24, 2025 and incorporated herein by reference).</w:t>
              </w:r>
            </w:hyperlink>
          </w:p>
        </w:tc>
      </w:tr>
      <w:tr>
        <w:trPr/>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0" w:type="dxa"/>
            <w:tcBorders/>
            <w:vAlign w:val="center"/>
          </w:tcPr>
          <w:p>
            <w:pPr>
              <w:pStyle w:val="TableContents"/>
              <w:bidi w:val="0"/>
              <w:spacing w:before="0" w:after="283"/>
              <w:jc w:val="both"/>
              <w:rPr/>
            </w:pPr>
            <w:hyperlink r:id="rId96">
              <w:r>
                <w:rPr>
                  <w:rStyle w:val="InternetLink"/>
                  <w:rFonts w:ascii="Times New Roman;Times;Serif" w:hAnsi="Times New Roman;Times;Serif"/>
                  <w:b w:val="false"/>
                  <w:i w:val="false"/>
                  <w:caps w:val="false"/>
                  <w:smallCaps w:val="false"/>
                  <w:sz w:val="20"/>
                </w:rPr>
                <w:t>Securities Purchase Agreement dated February 11, 2025 by and between David Elliot Lazar and Doris Wong Sing Ee (previously filed as Exhibit 10.1 the Registrant’s Current Report on Form 8-K, originally filed with the SEC on February 27, 2025 and incorporated herein by reference).</w:t>
              </w:r>
            </w:hyperlink>
          </w:p>
        </w:tc>
      </w:tr>
      <w:tr>
        <w:trPr/>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0" w:type="dxa"/>
            <w:tcBorders/>
            <w:vAlign w:val="center"/>
          </w:tcPr>
          <w:p>
            <w:pPr>
              <w:pStyle w:val="TableContents"/>
              <w:bidi w:val="0"/>
              <w:spacing w:before="0" w:after="283"/>
              <w:jc w:val="both"/>
              <w:rPr/>
            </w:pPr>
            <w:hyperlink r:id="rId97">
              <w:r>
                <w:rPr>
                  <w:rStyle w:val="InternetLink"/>
                  <w:rFonts w:ascii="Times New Roman;Times;Serif" w:hAnsi="Times New Roman;Times;Serif"/>
                  <w:b w:val="false"/>
                  <w:i w:val="false"/>
                  <w:caps w:val="false"/>
                  <w:smallCaps w:val="false"/>
                  <w:sz w:val="20"/>
                </w:rPr>
                <w:t>Assignment and Assumption Agreement dated February 26, 2025 by and between David Elliot Lazar and Doris Wong Sing Ee (previously filed as Exhibit 10.2 the Registrant’s Current Report on Form 8-K, originally filed with the SEC on February 27, 2025 and incorporated herein by reference).</w:t>
              </w:r>
            </w:hyperlink>
          </w:p>
        </w:tc>
      </w:tr>
      <w:tr>
        <w:trPr/>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0" w:type="dxa"/>
            <w:tcBorders/>
            <w:vAlign w:val="center"/>
          </w:tcPr>
          <w:p>
            <w:pPr>
              <w:pStyle w:val="TableContents"/>
              <w:bidi w:val="0"/>
              <w:spacing w:before="0" w:after="283"/>
              <w:jc w:val="both"/>
              <w:rPr/>
            </w:pPr>
            <w:hyperlink r:id="rId98">
              <w:r>
                <w:rPr>
                  <w:rStyle w:val="InternetLink"/>
                  <w:rFonts w:ascii="Times New Roman;Times;Serif" w:hAnsi="Times New Roman;Times;Serif"/>
                  <w:b w:val="false"/>
                  <w:i w:val="false"/>
                  <w:caps w:val="false"/>
                  <w:smallCaps w:val="false"/>
                  <w:sz w:val="20"/>
                </w:rPr>
                <w:t>Settlement and Release Agreement dated February 26, 2025 by and between Dr. Samuel Barker and the Company (previously filed as Exhibit 10.3 the Registrant’s Current Report on Form 8-K, originally filed with the SEC on February 27, 2025 and incorporated herein by reference).</w:t>
              </w:r>
            </w:hyperlink>
          </w:p>
        </w:tc>
      </w:tr>
      <w:tr>
        <w:trPr/>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0" w:type="dxa"/>
            <w:tcBorders/>
            <w:vAlign w:val="center"/>
          </w:tcPr>
          <w:p>
            <w:pPr>
              <w:pStyle w:val="TableContents"/>
              <w:bidi w:val="0"/>
              <w:spacing w:before="0" w:after="283"/>
              <w:jc w:val="both"/>
              <w:rPr/>
            </w:pPr>
            <w:hyperlink r:id="rId99">
              <w:r>
                <w:rPr>
                  <w:rStyle w:val="InternetLink"/>
                  <w:rFonts w:ascii="Times New Roman;Times;Serif" w:hAnsi="Times New Roman;Times;Serif"/>
                  <w:b w:val="false"/>
                  <w:i w:val="false"/>
                  <w:caps w:val="false"/>
                  <w:smallCaps w:val="false"/>
                  <w:sz w:val="20"/>
                </w:rPr>
                <w:t>Assignment of Patent Rights Agreement dated March 10, 2025 by and between Bio Green Med Solution, Inc., Cyclacel Limited, and with Carrie James and James Hopkirk, the liquidators of Cyclacel Limited (previously filed as Exhibit 10.1 the Registrant’s Current Report on Form 8-K, originally filed with the SEC on March 14, 2025 and incorporated herein by reference).</w:t>
              </w:r>
            </w:hyperlink>
          </w:p>
        </w:tc>
      </w:tr>
      <w:tr>
        <w:trPr/>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20" w:type="dxa"/>
            <w:tcBorders/>
            <w:vAlign w:val="center"/>
          </w:tcPr>
          <w:p>
            <w:pPr>
              <w:pStyle w:val="TableContents"/>
              <w:bidi w:val="0"/>
              <w:spacing w:before="0" w:after="283"/>
              <w:jc w:val="both"/>
              <w:rPr/>
            </w:pPr>
            <w:hyperlink r:id="rId100">
              <w:r>
                <w:rPr>
                  <w:rStyle w:val="InternetLink"/>
                  <w:rFonts w:ascii="Times New Roman;Times;Serif" w:hAnsi="Times New Roman;Times;Serif"/>
                  <w:b w:val="false"/>
                  <w:i w:val="false"/>
                  <w:caps w:val="false"/>
                  <w:smallCaps w:val="false"/>
                  <w:sz w:val="20"/>
                </w:rPr>
                <w:t>Form of Securities Purchase Agreement, dated as of June 20, 2025, by and among the Company and the Investors (previously filed as Exhibit 10.1 the Registrant’s Current Report on Form 8-K, originally filed with the SEC on June 20, 2025 and incorporated herein by reference).</w:t>
              </w:r>
            </w:hyperlink>
          </w:p>
        </w:tc>
      </w:tr>
      <w:tr>
        <w:trPr/>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20" w:type="dxa"/>
            <w:tcBorders/>
            <w:vAlign w:val="center"/>
          </w:tcPr>
          <w:p>
            <w:pPr>
              <w:pStyle w:val="TableContents"/>
              <w:bidi w:val="0"/>
              <w:spacing w:before="0" w:after="283"/>
              <w:jc w:val="both"/>
              <w:rPr/>
            </w:pPr>
            <w:hyperlink r:id="rId101">
              <w:r>
                <w:rPr>
                  <w:rStyle w:val="InternetLink"/>
                  <w:rFonts w:ascii="Times New Roman;Times;Serif" w:hAnsi="Times New Roman;Times;Serif"/>
                  <w:b w:val="false"/>
                  <w:i w:val="false"/>
                  <w:caps w:val="false"/>
                  <w:smallCaps w:val="false"/>
                  <w:sz w:val="20"/>
                </w:rPr>
                <w:t>Trademark License Agreement dated September 12, 2025 between FITTERS Diversified Berhad and FITTERS Sdn. Bhd.</w:t>
              </w:r>
            </w:hyperlink>
          </w:p>
        </w:tc>
      </w:tr>
      <w:tr>
        <w:trPr/>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20" w:type="dxa"/>
            <w:tcBorders/>
            <w:vAlign w:val="center"/>
          </w:tcPr>
          <w:p>
            <w:pPr>
              <w:pStyle w:val="TableContents"/>
              <w:bidi w:val="0"/>
              <w:spacing w:before="0" w:after="283"/>
              <w:jc w:val="both"/>
              <w:rPr/>
            </w:pPr>
            <w:hyperlink r:id="rId102">
              <w:r>
                <w:rPr>
                  <w:rStyle w:val="InternetLink"/>
                  <w:rFonts w:ascii="Times New Roman;Times;Serif" w:hAnsi="Times New Roman;Times;Serif"/>
                  <w:b w:val="false"/>
                  <w:i w:val="false"/>
                  <w:caps w:val="false"/>
                  <w:smallCaps w:val="false"/>
                  <w:sz w:val="20"/>
                </w:rPr>
                <w:t>Form of Warrant Exchange Agreement (previously filed as Exhibit 10.1 the Registrant’s Current Report on Form 8-K, originally filed with the SEC on September 4, 2025 and incorporated herein by reference).</w:t>
              </w:r>
            </w:hyperlink>
          </w:p>
        </w:tc>
      </w:tr>
      <w:tr>
        <w:trPr/>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0" w:type="dxa"/>
            <w:tcBorders/>
            <w:vAlign w:val="center"/>
          </w:tcPr>
          <w:p>
            <w:pPr>
              <w:pStyle w:val="TableContents"/>
              <w:bidi w:val="0"/>
              <w:spacing w:before="0" w:after="283"/>
              <w:jc w:val="both"/>
              <w:rPr/>
            </w:pPr>
            <w:hyperlink r:id="rId103">
              <w:r>
                <w:rPr>
                  <w:rStyle w:val="InternetLink"/>
                  <w:rFonts w:ascii="Times New Roman;Times;Serif" w:hAnsi="Times New Roman;Times;Serif"/>
                  <w:b w:val="false"/>
                  <w:i w:val="false"/>
                  <w:caps w:val="false"/>
                  <w:smallCaps w:val="false"/>
                  <w:sz w:val="20"/>
                </w:rPr>
                <w:t>Subsidiaries of Bio Green Med Solution, Inc. (previously filed as Exhibit 21 to the Registrant’s Annual Report on Form 10-K, originally filed with the SEC on March 26, 2014, and incorporated herein by reference) (previously filed as Exhibit 10.1 the Registrant’s Current Report on Form 8-K, originally filed with the SEC on September 12, 2025 and incorporated herein by reference).</w:t>
              </w:r>
            </w:hyperlink>
          </w:p>
        </w:tc>
      </w:tr>
      <w:tr>
        <w:trPr/>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0" w:type="dxa"/>
            <w:tcBorders/>
            <w:vAlign w:val="center"/>
          </w:tcPr>
          <w:p>
            <w:pPr>
              <w:pStyle w:val="TableContents"/>
              <w:bidi w:val="0"/>
              <w:spacing w:before="0" w:after="283"/>
              <w:jc w:val="both"/>
              <w:rPr/>
            </w:pPr>
            <w:hyperlink w:anchor="ex19.htm">
              <w:r>
                <w:rPr>
                  <w:rStyle w:val="InternetLink"/>
                  <w:rFonts w:ascii="Times New Roman;Times;Serif" w:hAnsi="Times New Roman;Times;Serif"/>
                  <w:b w:val="false"/>
                  <w:i w:val="false"/>
                  <w:caps w:val="false"/>
                  <w:smallCaps w:val="false"/>
                  <w:sz w:val="20"/>
                </w:rPr>
                <w:t>Insider Trading Policy</w:t>
              </w:r>
            </w:hyperlink>
          </w:p>
        </w:tc>
      </w:tr>
      <w:tr>
        <w:trPr/>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0"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Independent Registered Public Accounting Firm.</w:t>
              </w:r>
            </w:hyperlink>
          </w:p>
        </w:tc>
      </w:tr>
      <w:tr>
        <w:trPr/>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0"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Datuk Dr. Doris Wong Sing Ee, pursuant to Section 302 of the Sarbanes-Oxley Act of 2002.</w:t>
              </w:r>
            </w:hyperlink>
          </w:p>
        </w:tc>
      </w:tr>
      <w:tr>
        <w:trPr/>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0"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Kiu Cu Seng and David Lazar, pursuant to Section 302 of the Sarbanes-Oxley Act of 2002.</w:t>
              </w:r>
            </w:hyperlink>
          </w:p>
        </w:tc>
      </w:tr>
      <w:tr>
        <w:trPr/>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0"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Datuk Dr. Doris Wong Sing Ee, pursuant to Section 906 of the Sarbanes-Oxley Act of 2002 (Subsections (a) and (b) of Section 1350, Chapter 63 of Title 18, United States Code).</w:t>
              </w:r>
            </w:hyperlink>
          </w:p>
        </w:tc>
      </w:tr>
      <w:tr>
        <w:trPr/>
        <w:tc>
          <w:tcPr>
            <w:tcW w:w="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0"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Kiu Cu Seng and David Lazar, pursuant to Section 906 of the Sarbanes-Oxley Act of 2002 (Subsections(a) and (b) of Section 1350, Chapter 63 of Title 18, United States Code).</w:t>
              </w:r>
            </w:hyperlink>
          </w:p>
        </w:tc>
      </w:tr>
      <w:tr>
        <w:trPr/>
        <w:tc>
          <w:tcPr>
            <w:tcW w:w="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0" w:type="dxa"/>
            <w:tcBorders/>
            <w:vAlign w:val="center"/>
          </w:tcPr>
          <w:p>
            <w:pPr>
              <w:pStyle w:val="TableContents"/>
              <w:bidi w:val="0"/>
              <w:spacing w:before="0" w:after="283"/>
              <w:jc w:val="left"/>
              <w:rPr/>
            </w:pPr>
            <w:hyperlink w:anchor="ex97-1.htm">
              <w:r>
                <w:rPr>
                  <w:rStyle w:val="InternetLink"/>
                  <w:rFonts w:ascii="Times New Roman;Times;Serif" w:hAnsi="Times New Roman;Times;Serif"/>
                  <w:b w:val="false"/>
                  <w:i w:val="false"/>
                  <w:caps w:val="false"/>
                  <w:smallCaps w:val="false"/>
                  <w:sz w:val="20"/>
                </w:rPr>
                <w:t>Clawback Policy</w:t>
              </w:r>
            </w:hyperlink>
          </w:p>
        </w:tc>
      </w:tr>
      <w:tr>
        <w:trPr/>
        <w:tc>
          <w:tcPr>
            <w:tcW w:w="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materials from Bio Green Med Solution, Inc.’s Annual Report on Form 10-K for the year ended December 31, 2025, formatted in Inline XBRL (Extensible Business Reporting Language): (i) the Condensed Consolidated Statements of Income, (ii) the Condensed Consolidated Balance Sheets, (iii) the Condensed Consolidated Statements of Cash Flows, and (iv) Notes to Condensed Consolidated Financial Statements.</w:t>
            </w:r>
          </w:p>
        </w:tc>
      </w:tr>
      <w:tr>
        <w:trPr/>
        <w:tc>
          <w:tcPr>
            <w:tcW w:w="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in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p>
      <w:pPr>
        <w:pStyle w:val="TextBody"/>
        <w:bidi w:val="0"/>
        <w:spacing w:before="0" w:after="0"/>
        <w:ind w:left="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283"/>
              <w:jc w:val="left"/>
              <w:rPr>
                <w:caps w:val="false"/>
                <w:smallCaps w:val="false"/>
              </w:rPr>
            </w:pPr>
            <w:r>
              <w:rPr>
                <w:caps w:val="false"/>
                <w:smallCaps w:val="false"/>
              </w:rPr>
              <w:t>†</w:t>
            </w:r>
          </w:p>
        </w:tc>
        <w:tc>
          <w:tcPr>
            <w:tcW w:w="10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management compensatory plan, contract or arrangement.</w:t>
            </w:r>
          </w:p>
        </w:tc>
      </w:tr>
      <w:tr>
        <w:trPr/>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treatment has been granted with respect to certain portions of this exhibit, which portions have been omitted and filed separately with the Securities and Exchange Commission as part of an application for confidential treatment pursuant to the Securities and Exchange Act of 1934, as amended.</w:t>
            </w:r>
          </w:p>
        </w:tc>
      </w:tr>
      <w:tr>
        <w:trPr/>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w:t>
      </w:r>
    </w:p>
    <w:p>
      <w:pPr>
        <w:pStyle w:val="TextBody"/>
        <w:bidi w:val="0"/>
        <w:spacing w:before="0" w:after="0"/>
        <w:ind w:left="20" w:right="0" w:firstLine="221"/>
        <w:jc w:val="both"/>
        <w:rPr>
          <w:caps w:val="false"/>
          <w:smallCaps w:val="false"/>
        </w:rPr>
      </w:pPr>
      <w:r>
        <w:rPr>
          <w:caps w:val="false"/>
          <w:smallCaps w:val="false"/>
        </w:rPr>
        <w:t> </w:t>
      </w:r>
    </w:p>
    <w:tbl>
      <w:tblPr>
        <w:tblW w:w="4935" w:type="dxa"/>
        <w:jc w:val="left"/>
        <w:tblInd w:w="0" w:type="dxa"/>
        <w:tblLayout w:type="fixed"/>
        <w:tblCellMar>
          <w:top w:w="0" w:type="dxa"/>
          <w:left w:w="0" w:type="dxa"/>
          <w:bottom w:w="0" w:type="dxa"/>
          <w:right w:w="0" w:type="dxa"/>
        </w:tblCellMar>
      </w:tblPr>
      <w:tblGrid>
        <w:gridCol w:w="1805"/>
        <w:gridCol w:w="320"/>
        <w:gridCol w:w="2810"/>
      </w:tblGrid>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1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1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Datuk Dr. Doris Wong Sing Ee</w:t>
            </w:r>
            <w:r>
              <w:rPr>
                <w:rFonts w:ascii="Times New Roman;Times;Serif" w:hAnsi="Times New Roman;Times;Serif"/>
                <w:b w:val="false"/>
                <w:i w:val="false"/>
                <w:caps w:val="false"/>
                <w:smallCaps w:val="false"/>
                <w:sz w:val="20"/>
              </w:rPr>
              <w:t xml:space="preserve">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 Sing Ee</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firstLine="360"/>
        <w:jc w:val="both"/>
        <w:rPr>
          <w:caps w:val="false"/>
          <w:smallCaps w:val="false"/>
        </w:rPr>
      </w:pPr>
      <w:r>
        <w:rPr>
          <w:caps w:val="false"/>
          <w:smallCaps w:val="false"/>
        </w:rPr>
        <w:t> </w:t>
      </w:r>
    </w:p>
    <w:tbl>
      <w:tblPr>
        <w:tblW w:w="7589" w:type="dxa"/>
        <w:jc w:val="left"/>
        <w:tblInd w:w="0" w:type="dxa"/>
        <w:tblLayout w:type="fixed"/>
        <w:tblCellMar>
          <w:top w:w="0" w:type="dxa"/>
          <w:left w:w="0" w:type="dxa"/>
          <w:bottom w:w="28" w:type="dxa"/>
          <w:right w:w="0" w:type="dxa"/>
        </w:tblCellMar>
      </w:tblPr>
      <w:tblGrid>
        <w:gridCol w:w="2810"/>
        <w:gridCol w:w="60"/>
        <w:gridCol w:w="2974"/>
        <w:gridCol w:w="420"/>
        <w:gridCol w:w="1325"/>
      </w:tblGrid>
      <w:tr>
        <w:trPr/>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97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8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9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2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Datuk Dr. Doris Wong Sing Ee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394" w:type="dxa"/>
            <w:gridSpan w:val="2"/>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r>
      <w:tr>
        <w:trPr/>
        <w:tc>
          <w:tcPr>
            <w:tcW w:w="28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 Sing Ee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394" w:type="dxa"/>
            <w:gridSpan w:val="2"/>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Director</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8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394" w:type="dxa"/>
            <w:gridSpan w:val="2"/>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Kiu Cu Seng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394" w:type="dxa"/>
            <w:gridSpan w:val="2"/>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&amp; Secretary,</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r>
      <w:tr>
        <w:trPr/>
        <w:tc>
          <w:tcPr>
            <w:tcW w:w="28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394" w:type="dxa"/>
            <w:gridSpan w:val="2"/>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Principal</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8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394" w:type="dxa"/>
            <w:gridSpan w:val="2"/>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Officer, Director</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8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394" w:type="dxa"/>
            <w:gridSpan w:val="2"/>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Inigo Angel Laurduraj</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394" w:type="dxa"/>
            <w:gridSpan w:val="2"/>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r>
      <w:tr>
        <w:trPr/>
        <w:tc>
          <w:tcPr>
            <w:tcW w:w="28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Inigo Angel Laurduraj</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8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Dr. Satis Waran Nair Krishnan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394" w:type="dxa"/>
            <w:gridSpan w:val="2"/>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r>
      <w:tr>
        <w:trPr/>
        <w:tc>
          <w:tcPr>
            <w:tcW w:w="28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Satis Waran Nair Krishnan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81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394" w:type="dxa"/>
            <w:gridSpan w:val="2"/>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8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Soon Ping Pappas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394" w:type="dxa"/>
            <w:gridSpan w:val="2"/>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r>
      <w:tr>
        <w:trPr/>
        <w:tc>
          <w:tcPr>
            <w:tcW w:w="28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Ping Pappas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7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p>
      <w:pPr>
        <w:pStyle w:val="TextBody"/>
        <w:bidi w:val="0"/>
        <w:spacing w:before="0" w:after="0"/>
        <w:ind w:left="0" w:right="0" w:hanging="0"/>
        <w:jc w:val="right"/>
        <w:rPr>
          <w:caps w:val="false"/>
          <w:smallCaps w:val="false"/>
        </w:rPr>
      </w:pPr>
      <w:bookmarkStart w:id="964" w:name="ex4-12.htm"/>
      <w:bookmarkStart w:id="965" w:name="ksex412"/>
      <w:bookmarkEnd w:id="964"/>
      <w:bookmarkEnd w:id="96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REGISTRANT’S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capital stock, certain provisions of our certificate of incorporation and bylaws, and certain provisions of Delaware law are summaries. The following description is not complete and is subject to and qualified in its entirety by our Amended and Restated Certificate of Incorporation (our “Charter”) and Amended and Restated Bylaws (our “Bylaws), each of which is incorporated by reference as an exhibit to the Annual Report on Form 10-K of which this Exhibit is a part. We encourage you to read our Certificate of Incorporation, Bylaws and the applicable provisions of the Delaware General Corporation Law (the “DGCL”)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certificate of incorporation authorized us to issue 600,000,000 shares of common stock, par value $0.001 per share, and 5,000,000 shares of preferred stock, par value $0.001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Voting Rights. </w:t>
      </w:r>
      <w:r>
        <w:rPr>
          <w:rFonts w:ascii="Times New Roman;Times;Serif" w:hAnsi="Times New Roman;Times;Serif"/>
          <w:b w:val="false"/>
          <w:i w:val="false"/>
          <w:caps w:val="false"/>
          <w:smallCaps w:val="false"/>
          <w:sz w:val="20"/>
        </w:rPr>
        <w:t>Holders of common stock are entitled to one vote for each share held of record on all matters submitted to a vote of the stockholders, and do not have cumulative 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Classification of Board of Directors. </w:t>
      </w:r>
      <w:r>
        <w:rPr>
          <w:rFonts w:ascii="Times New Roman;Times;Serif" w:hAnsi="Times New Roman;Times;Serif"/>
          <w:b w:val="false"/>
          <w:i w:val="false"/>
          <w:caps w:val="false"/>
          <w:smallCaps w:val="false"/>
          <w:sz w:val="20"/>
        </w:rPr>
        <w:t>Our Charter and Bylaws provide that our board of directors is divided into three classes, each serving staggered three-year terms ending at the annual meeting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Dividends. </w:t>
      </w:r>
      <w:r>
        <w:rPr>
          <w:rFonts w:ascii="Times New Roman;Times;Serif" w:hAnsi="Times New Roman;Times;Serif"/>
          <w:b w:val="false"/>
          <w:i w:val="false"/>
          <w:caps w:val="false"/>
          <w:smallCaps w:val="false"/>
          <w:sz w:val="20"/>
        </w:rPr>
        <w:t>Subject to preferences that may be applicable to any outstanding shares of preferred stock, holders of common stock are entitled to receive ratably such dividends, if any, as may be declared from time to time by our board of directors out of funds legally available for dividend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Preemptive Rights; Conversion Rights; Subscription Rights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holders of common stock have no preferences or rights of conversion, exchange, pre-emption or other subscription rights. There are no redemption or sinking fund provisions applicable to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Other Rights; Liquidation. </w:t>
      </w:r>
      <w:r>
        <w:rPr>
          <w:rFonts w:ascii="Times New Roman;Times;Serif" w:hAnsi="Times New Roman;Times;Serif"/>
          <w:b w:val="false"/>
          <w:i w:val="false"/>
          <w:caps w:val="false"/>
          <w:smallCaps w:val="false"/>
          <w:sz w:val="20"/>
        </w:rPr>
        <w:t>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Fully Paid and Non-Assessable. </w:t>
      </w:r>
      <w:r>
        <w:rPr>
          <w:rFonts w:ascii="Times New Roman;Times;Serif" w:hAnsi="Times New Roman;Times;Serif"/>
          <w:b w:val="false"/>
          <w:i w:val="false"/>
          <w:caps w:val="false"/>
          <w:smallCaps w:val="false"/>
          <w:sz w:val="20"/>
        </w:rPr>
        <w:t>All of our outstanding shares of common stock are, and the shares of common stock to be issued in this offering will be,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authorizes the board of directors to establish one or more series of preferred stock (including convertible preferred stock). Unless required by law or by any stock exchange, and, subject to the terms of the Charter, the authorized shares of preferred stock will be available for issuance without further action by holders of Common Stock. Presently, our Charter authorizes the issuance of up to 5,000,000 shares of preferred stock. As of December 31, 2025, 135,273 shares of our preferred stock were outstanding as 6% Convertible Exchangeable Preferred Stock (see “6% Convertible Exchangeable Preferred Stock” below), and 264 shares of our preferred stock were outstanding as Series A Convertible Preferred Stock (see “Series A Convertible Preferred Stock” below). The description of preferred stock provisions set forth below is not complete and is subject to and qualified in its entirety by reference to our certificate of incorporation and the certificate of designations relating to each series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pStyle w:val="TextBody"/>
        <w:bidi w:val="0"/>
        <w:spacing w:before="0" w:after="0"/>
        <w:ind w:left="0" w:right="0" w:hanging="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170"/>
        <w:gridCol w:w="71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constituting the series and the distinctive designation of the series;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rates, whether dividends are cumulative, and, if so, from what date; and the relative rights of priority of payment of dividends;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 and the terms of the voting rights;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privileges and the terms and conditions of conversion, including provision for adjustment of the conversion rate;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rights and the terms and conditions of redemption, including the date or dates upon or after which shares may be redeemable, and the amount per share payable in case of redemption, which may vary under different conditions and at different redemption dates;</w:t>
            </w:r>
          </w:p>
        </w:tc>
      </w:tr>
    </w:tbl>
    <w:p>
      <w:pPr>
        <w:pStyle w:val="TextBody"/>
        <w:bidi w:val="0"/>
        <w:spacing w:before="0" w:after="0"/>
        <w:ind w:left="0" w:right="0" w:hanging="0"/>
        <w:jc w:val="both"/>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sinking fund provisions for the redemption or purchase of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in the event of voluntary or involuntary liquidation, dissolution or winding up of the corporation, and the relative rights of priority of payment; and</w:t>
            </w:r>
          </w:p>
        </w:tc>
      </w:tr>
    </w:tbl>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170"/>
        <w:gridCol w:w="9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relative powers, preferences, rights, privileges, qualifications, limitations and restrictions of the series.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on outstanding shares of preferred stock will be paid or declared and set apart for payment before any dividends may be paid or declared and set apart for payment on the common stock with respect to the same dividend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upon any voluntary or involuntary liquidation, dissolution or winding up of the Company, the assets available for distribution to holders of preferred stock are insufficient to pay the full preferential amount to which the holders are entitled, then the available assets will be distributed ratably among the shares of all series of preferred stock in accordance with the respective preferential amounts (including unpaid cumulative dividends, if any) payable with respect to each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preferred stock will not be entitled to preemptive rights to purchase or subscribe for any shares of any class of capital stock of the corporation. The preferred stock will, when issued, be fully paid and non-assessable. The rights of the holders of preferred stock will be subordinate to those of our general creditors.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6% Convertible Exchangeable Preferred Stock was suspended from trading The Nasdaq Capital Market on March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Convertible Exchangeable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designated 2,046,813 shares of the preferred stock that were issued as convertible preferred stock on November 3, 2004. The shares of convertible preferred stock are duly and validly issued, fully paid and non-assessable. These shares will not have any preemptive rights if we issue other series of preferred stock. The convertible preferred stock is not subject to any sinking fund. We have no obligation to retire the convertible preferred stock. The convertible preferred stock has a perpetual maturity and may remain outstanding indefinitely, subject to the holder’s right to convert the convertible preferred stock and our right to cause the conversion of the convertible preferred stock and exchange or redeem the convertible preferred stock at our option. Any convertible preferred stock converted, exchanged or redeemed or acquired by us will, upon cancellation, have the status of authorized but unissued shares of convertible preferred stock. We will be able to reissue these cancelled shares of convertible preferred stock.</w:t>
      </w:r>
    </w:p>
    <w:p>
      <w:pPr>
        <w:pStyle w:val="TextBody"/>
        <w:bidi w:val="0"/>
        <w:spacing w:before="0" w:after="0"/>
        <w:ind w:left="18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and if declared by our board of directors out of the legally available funds, holders of the convertible preferred stock are entitled to receive cash dividends at an annual rate of 6% of the liquidation preference of the convertible preferred stock. Dividends are payable quarterly on the first day of February, May, August and November. If any dividends are not declared, they will accrue and be paid at such later date, if any, as determined by our board of directors. Dividends on the convertible preferred stock will be cumulative from the issue date. Dividends will be payable to holders of record as they appear on our stock books not more than 60 days nor less than 10 days preceding the payment dates, as fixed by our board of directors. If the convertible preferred stock is called for redemption on a redemption date between the dividend record date and the dividend payment date and the holder does not convert the convertible preferred stock (as described below), the holder shall receive the dividend payment together with all other accrued and unpaid dividends on the redemption date instead of receiving the dividend on the dividend date. Dividends payable on the convertible preferred stock for any period greater or less than a full dividend period will be computed on the basis of a 360-day year consisting of twelve 30-day months. Accrued but unpaid dividends will not bear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pay or set aside cumulative dividends in full on the convertible preferred stock and any other preferred stock ranking on the same basis as to dividends, all dividends declared upon shares of the convertible preferred stock and any other preferred stock ranking on the same basis as to dividends will be declared on a pro rata basis until all accrued dividends are paid in full. For these purposes, “pro rata” means that the amount of dividends declared per share on the convertible preferred stock and any other preferred stock ranking on the same basis as to dividends bear to each other will be the same ratio that accrued and unpaid dividends per share on the shares of the convertible preferred stock and such other preferred stock bear to each other. We will not be able to redeem, purchase or otherwise acquire any of our stock ranking on the same basis as the convertible preferred stock as to dividends or liquidation preferences unless we have paid or set aside full cumulative dividends, if any, accrued on all outstanding shares of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have paid or set aside cumulative dividends in full on the convertible preferred stock and any other of the convertible preferred stock ranking on the same basis as to dividends: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declare or pay or set aside dividends on common stock or any other stock ranking junior to the convertible preferred stock as to dividends or liquidation preferences, excluding dividends or distributions of shares, options, warrants or rights to purchase common stock or other stock ranking junior to the convertible preferred stock as to dividends;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able to redeem, purchase or otherwise acquire any of our other stock ranking junior to the convertible preferred stock as to dividends or liquidation preferences, except in very limited circumstances.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we may only make dividends or distributions to our stockholders from:</w:t>
      </w:r>
    </w:p>
    <w:p>
      <w:pPr>
        <w:pStyle w:val="TextBody"/>
        <w:bidi w:val="0"/>
        <w:spacing w:before="0" w:after="0"/>
        <w:ind w:left="0" w:right="0" w:hanging="0"/>
        <w:jc w:val="both"/>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75"/>
        <w:gridCol w:w="170"/>
        <w:gridCol w:w="12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surplus; or</w:t>
            </w:r>
          </w:p>
        </w:tc>
      </w:tr>
    </w:tbl>
    <w:p>
      <w:pPr>
        <w:pStyle w:val="TextBody"/>
        <w:bidi w:val="0"/>
        <w:spacing w:before="0" w:after="0"/>
        <w:ind w:left="0" w:right="0" w:hanging="0"/>
        <w:jc w:val="both"/>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75"/>
        <w:gridCol w:w="170"/>
        <w:gridCol w:w="98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profits for the current fiscal year before which the dividend or distribution is declared under certain circumstances.</w:t>
            </w:r>
          </w:p>
        </w:tc>
      </w:tr>
    </w:tbl>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we declared dividends of $0.15 per share quarterly. These dividends were paid on May 1, August 1 and November 1, 2025, respectively.</w:t>
      </w:r>
    </w:p>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convertible preferred stock may convert the convertible preferred stock at any time into a number of shares of common stock determined by dividing the $10.00 liquidation preference by the conversion price of $142,128,000. This conversion price is equivalent to a conversion rate of approximately 0.000000069 shares of common stock for each share of convertible preferred stock. We will not make any adjustment to the conversion price for accrued or unpaid dividends upon conversion. We will not issue fractional shares of common stock upon conversion. However, we will instead pay cash for each fractional share based upon the market price of the common stock on the last business day prior to the conversion date. If we call the convertible preferred stock for redemption, the holder’s right to convert the convertible preferred stock will expire at the close of business on the business day immediately preceding the date fixed for redemption, unless we fail to pay the redemption price.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Automatic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redeem or exchange the convertible preferred stock, we may elect to convert some or all of the convertible preferred stock into shares of our common stock if the closing price of our common stock has exceeded 150% of the conversion price for at least 20 out of 30 consecutive trading days ending within five trading days prior to the notice of automatic conversion. If we elect to convert less than all of the shares of convertible preferred stock, we shall select the shares to be converted by lot or pro rata or in some other equitable manner in our discretion. On or after November 3, 2007, we may not elect to automatically convert the convertible preferred stock if full cumulative dividends on the convertible preferred stock for all past dividend periods have not been paid or set aside for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Price Adjustment — 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of $142,128,000 will be adjusted if:</w:t>
      </w:r>
    </w:p>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75"/>
        <w:gridCol w:w="245"/>
        <w:gridCol w:w="5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dividend or distribute common stock in shares of our common stock;</w:t>
            </w:r>
          </w:p>
        </w:tc>
      </w:tr>
    </w:tbl>
    <w:p>
      <w:pPr>
        <w:pStyle w:val="TextBody"/>
        <w:bidi w:val="0"/>
        <w:spacing w:before="0" w:after="0"/>
        <w:ind w:left="0" w:right="0" w:hanging="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75"/>
        <w:gridCol w:w="245"/>
        <w:gridCol w:w="36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subdivide or combine our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issue to all holders of common stock certain rights or warrants to purchase our common stock at less than the current market price;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dividend or distribute to all holders of our common stock shares of our capital stock or evidences of indebtedness or assets, excluding:</w:t>
            </w:r>
          </w:p>
        </w:tc>
      </w:tr>
    </w:tbl>
    <w:p>
      <w:pPr>
        <w:pStyle w:val="TextBody"/>
        <w:bidi w:val="0"/>
        <w:spacing w:before="0" w:after="0"/>
        <w:ind w:left="0" w:right="0" w:hanging="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75"/>
        <w:gridCol w:w="170"/>
        <w:gridCol w:w="6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rights, warrants, dividends or distributions referred to in (1) or (3), or</w:t>
            </w:r>
          </w:p>
        </w:tc>
      </w:tr>
    </w:tbl>
    <w:p>
      <w:pPr>
        <w:pStyle w:val="TextBody"/>
        <w:bidi w:val="0"/>
        <w:spacing w:before="0" w:after="0"/>
        <w:ind w:left="0" w:right="0" w:hanging="0"/>
        <w:jc w:val="both"/>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170"/>
        <w:gridCol w:w="33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and distributions paid in cash;</w:t>
            </w:r>
          </w:p>
        </w:tc>
      </w:tr>
    </w:tbl>
    <w:p>
      <w:pPr>
        <w:pStyle w:val="TextBody"/>
        <w:bidi w:val="0"/>
        <w:spacing w:before="0" w:after="0"/>
        <w:ind w:left="0" w:right="0" w:hanging="0"/>
        <w:jc w:val="both"/>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5"/>
        <w:gridCol w:w="245"/>
        <w:gridCol w:w="6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made a dividend or distribution consisting of cash to all holders of common stock;</w:t>
            </w:r>
          </w:p>
        </w:tc>
      </w:tr>
    </w:tbl>
    <w:p>
      <w:pPr>
        <w:pStyle w:val="TextBody"/>
        <w:bidi w:val="0"/>
        <w:spacing w:before="0" w:after="0"/>
        <w:ind w:left="0" w:right="0" w:hanging="0"/>
        <w:jc w:val="both"/>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75"/>
        <w:gridCol w:w="245"/>
        <w:gridCol w:w="77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purchase common stock pursuant to a tender offer made by us or any of our subsidiaries; and</w:t>
            </w:r>
          </w:p>
        </w:tc>
      </w:tr>
    </w:tbl>
    <w:p>
      <w:pPr>
        <w:pStyle w:val="TextBody"/>
        <w:bidi w:val="0"/>
        <w:spacing w:before="0" w:after="0"/>
        <w:ind w:left="8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other than us or any of our subsidiaries makes any payment on a tender offer or exchange offer and, as of the closing of the offer, the board of directors is not recommending rejection of the offer. We will only make this adjustment if the tender or exchange offer increases a person’s ownership to more than 25% of our outstanding common stock, and only if the payment per share of common stock exceeds the current market price of our common stock. We will not make this adjustment if the offering documents disclose our plan to engage in any consolidation, merger, or transfer of all or substantially all of our properties and if specified conditions are met.</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implement a stockholder rights plan, this new rights plan must provide that, upon conversion of the existing convertible preferred stock the holders will receive, in addition to the common stock issuable upon such conversion, the rights under such rights plan regardless of whether the rights have separated from the common stock before the time of conversion. The distribution of rights or warrants pursuant to a stockholder rights plan will not result in an adjustment to the conversion price of the convertible preferred stock until a specified triggering event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and magnitude of certain of the adjustments described above is dependent upon the current market price of our common stock. For these purposes, “current market price” generally means the lesser of:</w:t>
      </w:r>
    </w:p>
    <w:p>
      <w:pPr>
        <w:pStyle w:val="TextBody"/>
        <w:bidi w:val="0"/>
        <w:spacing w:before="0" w:after="0"/>
        <w:ind w:left="0" w:right="0" w:hanging="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75"/>
        <w:gridCol w:w="170"/>
        <w:gridCol w:w="41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sale price on certain specified dates,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of the closing prices of the common stock for the ten trading day period immediately prior to certain specified dates.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a temporary reduction in the conversion price of the convertible preferred stock if our board of directors determines that this decrease would be in our best interest. We may, at our option, reduce the conversion price if our board of directors deems it advisable to avoid or diminish any income tax to holders of common stock resulting from any dividend or distribution of stock or rights to acquire stock or from any event treated as such for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Price Adjustment — Merger, Consolidation or Sale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involved in a transaction in which shares of our common stock are converted into the right to receive other securities, cash or other property, or a sale or transfer of all or substantially all of our assets under which the holders of our common stock shall be entitled to receive other securities, cash or other property, then appropriate provision shall be made so that the shares of convertible preferred stock will convert into: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is a common stock fundamental change, as defined below, common stock of the kind received by holders of common stock as a result of common stock fundamental change in accordance with paragraph (1) below under the subsection entitled “— Fundamental Change Conversion Price Adjustments,”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transaction is not a common stock fundamental change, and subject to funds being legally available at conversion, the kind and amount of the securities, cash or other property that would have been receivable upon the recapitalization, reclassification, consolidation, merger, sale, transfer or share exchange by a holder of the number of shares of common stock issuable upon conversion of the convertible preferred stock immediately prior to the recapitalization, reclassification, consolidation, merger, sale, transfer or share exchange, after giving effect to any adjustment in the conversion price in accordance with paragraph (2) below under the subsection entitled “— Fundamental Change Conversion Price Adjustments.”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formed by the consolidation, merger, asset acquisition or share acquisition shall provide for this right in its organizational document. This organizational document shall also provide for adjustments so that the organizational document shall be as nearly practicably equivalent to adjustments in this section for events occurring after the effective date of the organizational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types of transactions, among others, would be covered by this adjustment:</w:t>
      </w:r>
    </w:p>
    <w:p>
      <w:pPr>
        <w:pStyle w:val="TextBody"/>
        <w:bidi w:val="0"/>
        <w:spacing w:before="0" w:after="0"/>
        <w:ind w:left="0" w:right="0" w:hanging="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245"/>
        <w:gridCol w:w="47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4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recapitalize or reclassify our common stock, except for:</w:t>
            </w:r>
          </w:p>
        </w:tc>
      </w:tr>
    </w:tbl>
    <w:p>
      <w:pPr>
        <w:pStyle w:val="TextBody"/>
        <w:bidi w:val="0"/>
        <w:spacing w:before="0" w:after="0"/>
        <w:ind w:left="0" w:right="0" w:hanging="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75"/>
        <w:gridCol w:w="170"/>
        <w:gridCol w:w="18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par value,</w:t>
            </w:r>
          </w:p>
        </w:tc>
      </w:tr>
    </w:tbl>
    <w:p>
      <w:pPr>
        <w:pStyle w:val="TextBody"/>
        <w:bidi w:val="0"/>
        <w:spacing w:before="0" w:after="0"/>
        <w:ind w:left="0" w:right="0" w:hanging="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
        <w:gridCol w:w="170"/>
        <w:gridCol w:w="32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from par value to no par value,</w:t>
            </w:r>
          </w:p>
        </w:tc>
      </w:tr>
    </w:tbl>
    <w:p>
      <w:pPr>
        <w:pStyle w:val="TextBody"/>
        <w:bidi w:val="0"/>
        <w:spacing w:before="0" w:after="0"/>
        <w:ind w:left="0" w:right="0" w:hanging="0"/>
        <w:jc w:val="both"/>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75"/>
        <w:gridCol w:w="170"/>
        <w:gridCol w:w="34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from no par value to par value, or</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170"/>
        <w:gridCol w:w="42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subdivision or combination of our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consolidate or merge into any other person, or any merger of another person into us, except for a merger that does not result in a reclassification, conversion, exchange or cancellation of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transfer or lease all or substantially all of our assets and holders of our common stock become entitled to receive other securities, cash or other property, or</w:t>
            </w:r>
          </w:p>
        </w:tc>
      </w:tr>
    </w:tbl>
    <w:p>
      <w:pPr>
        <w:pStyle w:val="TextBody"/>
        <w:bidi w:val="0"/>
        <w:spacing w:before="0" w:after="0"/>
        <w:ind w:left="0" w:right="0" w:hanging="0"/>
        <w:jc w:val="both"/>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75"/>
        <w:gridCol w:w="245"/>
        <w:gridCol w:w="38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undertake any compulsory share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Fundamental Change Conversion Price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fundamental change occurs, the conversion price will be adjusted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common stock fundamental change, the conversion price shall be the conversion price after giving effect to any other prior adjustments effected pursuant to the preceding paragraphs, multiplied by a fraction, the numerator of which is the purchaser stock price, as defined below, and the denominator of which is the applicable price, as defined below. However, in the event of a common stock fundamental change in which: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of the value of the consideration received by a holder of our common stock is common stock of the successor, acquirer or other third party, and cash, if any, paid with respect to any fractional interests in such common stock resulting from such common stock fundamental change,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common stock shall have been exchanged for, converted into or acquired for, common stock of the successor, acquirer or other third party, and any cash with respect to fractional interests,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shall be the conversion price in effect immediately prior to such common stock fundamental change multiplied by a fraction, the numerator of which is one (1) and the denominator of which is the number of shares of common stock of the successor, acquirer or other third party received by a holder of one share of our common stock as a result of the common stock fundamental change; and</w:t>
            </w:r>
          </w:p>
        </w:tc>
      </w:tr>
    </w:tbl>
    <w:p>
      <w:pPr>
        <w:pStyle w:val="TextBody"/>
        <w:bidi w:val="0"/>
        <w:spacing w:before="0" w:after="0"/>
        <w:ind w:left="840" w:right="0" w:hanging="720"/>
        <w:jc w:val="both"/>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75"/>
        <w:gridCol w:w="245"/>
        <w:gridCol w:w="72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non-stock fundamental change, the conversion price shall be the lower of:</w:t>
            </w:r>
          </w:p>
        </w:tc>
      </w:tr>
    </w:tbl>
    <w:p>
      <w:pPr>
        <w:pStyle w:val="TextBody"/>
        <w:bidi w:val="0"/>
        <w:spacing w:before="0" w:after="0"/>
        <w:ind w:left="0" w:right="0" w:hanging="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75"/>
        <w:gridCol w:w="170"/>
        <w:gridCol w:w="96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after giving effect to any other prior adjustments effected pursuant to the preceding paragraph and</w:t>
            </w:r>
          </w:p>
        </w:tc>
      </w:tr>
    </w:tbl>
    <w:p>
      <w:pPr>
        <w:pStyle w:val="TextBody"/>
        <w:bidi w:val="0"/>
        <w:spacing w:before="0" w:after="0"/>
        <w:ind w:left="0" w:right="0" w:hanging="0"/>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75"/>
        <w:gridCol w:w="170"/>
        <w:gridCol w:w="11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1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 of</w:t>
            </w:r>
          </w:p>
        </w:tc>
      </w:tr>
    </w:tbl>
    <w:p>
      <w:pPr>
        <w:pStyle w:val="TextBody"/>
        <w:bidi w:val="0"/>
        <w:spacing w:before="0" w:after="0"/>
        <w:ind w:left="0" w:right="0" w:hanging="0"/>
        <w:jc w:val="both"/>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75"/>
        <w:gridCol w:w="200"/>
        <w:gridCol w:w="2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price,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fraction, the numerator of which is $10 and the denominator of which is (x) the amount of the redemption price for one share of convertible preferred stock if the redemption date were the date of the non-stock fundamental change (or if the date of such non-stock fundamental change falls within the period beginning on the first issue date of the convertible preferred stock through October 31, 2005, the twelve-month period commencing November 1, 2005 and the twelve-month period commencing November 1, 2006, the product of 106.0%, 105.4% or 104.8%, respectively, and $10) plus (y) any then-accrued and unpaid distributions on one share of convertible preferred stock.</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convertible preferred stock may receive significantly different consideration upon conversion depending upon whether a fundamental change is a non-stock fundamental change or a common stock fundamental change. In the event of a non-stock fundamental change, the shares of convertible preferred stock will convert into stock and other securities or property or assets, including cash, determined by the number of shares of common stock receivable upon conversion at the conversion price as adjusted in accordance with (2) above. In the event of a common stock fundamental change, under certain circumstances, the holder of convertible preferred stock will receive different consideration depending on whether the holder converts his or her shares of convertible preferred stock on or after the common stock fundamental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Definitions for the Fundamental Change Adjustment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applicable price” </w:t>
      </w:r>
      <w:r>
        <w:rPr>
          <w:rFonts w:ascii="Times New Roman;Times;Serif" w:hAnsi="Times New Roman;Times;Serif"/>
          <w:b w:val="false"/>
          <w:i w:val="false"/>
          <w:caps w:val="false"/>
          <w:smallCaps w:val="false"/>
          <w:sz w:val="20"/>
        </w:rPr>
        <w:t>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non-stock fundamental change in which the holders of common stock receive only cash, the amount of cash received by a holder of one share of common stock,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other fundamental change, the average of the daily closing price for one share of common stock during the 10 trading days immediately prior to the record date for the determination of the holders of common stock entitled to receive cash, securities, property or other assets in connection with the fundamental change or, if there is no such record date, prior to the date upon which the holders of common stock shall have the right to receive such cash, securities, property or other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common stock fundamental change” </w:t>
      </w:r>
      <w:r>
        <w:rPr>
          <w:rFonts w:ascii="Times New Roman;Times;Serif" w:hAnsi="Times New Roman;Times;Serif"/>
          <w:b w:val="false"/>
          <w:i w:val="false"/>
          <w:caps w:val="false"/>
          <w:smallCaps w:val="false"/>
          <w:sz w:val="20"/>
        </w:rPr>
        <w:t>means any fundamental change in which more than 50% of the value, as determined in good faith by our board of directors, of the consideration received by holders of our common stock consists of common stock that, for the 10 trading days immediately prior to such fundamental change, has been admitted for listing or admitted for listing subject to notice of issuance on a national securities exchange or quoted on The Nasdaq National Market, except that a fundamental change shall not be a common stock fundamental change unless either: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exist after the occurrence of the fundamental change and the outstanding convertible preferred stock continues to exist as outstanding convertible preferred stock,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later than the occurrence of the fundamental change, the outstanding convertible preferred stock is converted into or exchanged for shares of preferred stock, which preferred stock has rights, preferences and limitations substantially similar, but no less favorable, to those of the convertible preferred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fundamental change” </w:t>
      </w:r>
      <w:r>
        <w:rPr>
          <w:rFonts w:ascii="Times New Roman;Times;Serif" w:hAnsi="Times New Roman;Times;Serif"/>
          <w:b w:val="false"/>
          <w:i w:val="false"/>
          <w:caps w:val="false"/>
          <w:smallCaps w:val="false"/>
          <w:sz w:val="20"/>
        </w:rPr>
        <w:t>means the occurrence of any transaction or event or series of transactions or events pursuant to which all or substantially all of our common stock shall be exchanged for, converted into, acquired for or shall constitute solely the right to receive cash, securities, property or other assets, whether by means of an exchange offer, liquidation, tender offer, consolidation, merger, combination, reclassification, recapitalization or otherwise. However, for purposes of adjustment of the conversion price, in the case of any series of transactions or events, the fundamental change shall be deemed to have occurred when substantially all of the common stock shall have been exchanged for, converted into or acquired for, or shall constitute solely the right to receive, such cash, securities, property or other assets, but the adjustment shall be based upon the consideration that the holders of our common stock received in the transaction or event as a result of which more than 50% of our common stock shall have been exchanged for, converted into or acquired for, or shall constitute solely the right to receive, such cash, securities, property or other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non-stock fundamental change” </w:t>
      </w:r>
      <w:r>
        <w:rPr>
          <w:rFonts w:ascii="Times New Roman;Times;Serif" w:hAnsi="Times New Roman;Times;Serif"/>
          <w:b w:val="false"/>
          <w:i w:val="false"/>
          <w:caps w:val="false"/>
          <w:smallCaps w:val="false"/>
          <w:sz w:val="20"/>
        </w:rPr>
        <w:t>means any fundamental change other than a common stock fundamental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purchaser stock price” </w:t>
      </w:r>
      <w:r>
        <w:rPr>
          <w:rFonts w:ascii="Times New Roman;Times;Serif" w:hAnsi="Times New Roman;Times;Serif"/>
          <w:b w:val="false"/>
          <w:i w:val="false"/>
          <w:caps w:val="false"/>
          <w:smallCaps w:val="false"/>
          <w:sz w:val="20"/>
        </w:rPr>
        <w:t>means the average of the daily closing price for one share of the common stock received by holders of the common stock in the common stock fundamental change during the 10 trading days immediately prior to the date fixed for the determination of the holders of the common stock entitled to receive such common stock or, if there is no such date, prior to the date upon which the holders of the common stock shall have the right to receive such common stock.</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voluntary or involuntary dissolution, liquidation, or winding up, the holders of the convertible preferred stock shall receive a liquidation preference of $10.00 per share and all accrued and unpaid dividends through the distribution date. Holders of any class or series of preferred stock ranking on the same basis as the convertible preferred stock as to liquidation shall also be entitled to receive the full respective liquidation preferences and any accrued and unpaid dividends through the distribution date. Only after the preferred stock holders have received their liquidation preference and any accrued and unpaid dividends will we distribute assets to common stock holders or any of our other stock ranking junior to the shares of convertible preferred stock upon liquidation. If upon such dissolution, liquidation or winding up, we do not have enough assets to pay in full the amounts due on the convertible preferred stock and any other preferred stock ranking on the same basis with the convertible preferred stock as to liquidation, the holders of the convertible preferred stock and such other preferred stock will share ratably in any such distributions of our assets:</w:t>
      </w:r>
    </w:p>
    <w:p>
      <w:pPr>
        <w:pStyle w:val="TextBody"/>
        <w:bidi w:val="0"/>
        <w:spacing w:before="0" w:after="0"/>
        <w:ind w:left="0" w:right="0" w:hanging="0"/>
        <w:jc w:val="both"/>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75"/>
        <w:gridCol w:w="170"/>
        <w:gridCol w:w="72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in proportion to the liquidation preferences until the preferences are paid in full, and</w:t>
            </w:r>
          </w:p>
        </w:tc>
      </w:tr>
    </w:tbl>
    <w:p>
      <w:pPr>
        <w:pStyle w:val="TextBody"/>
        <w:bidi w:val="0"/>
        <w:spacing w:before="0" w:after="0"/>
        <w:ind w:left="820" w:right="0" w:hanging="315"/>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170"/>
        <w:gridCol w:w="54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proportion to the amounts of accrued but unpaid dividends.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we pay any liquidation preference and accrued dividends, holders of the convertible preferred stock will not be entitled to participate any further in the distribution of our assets. The following events will not be deemed to be a dissolution, liquidation or winding up of Cyclacel:</w:t>
      </w:r>
    </w:p>
    <w:p>
      <w:pPr>
        <w:pStyle w:val="TextBody"/>
        <w:bidi w:val="0"/>
        <w:spacing w:before="0" w:after="0"/>
        <w:ind w:left="0" w:right="0" w:hanging="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75"/>
        <w:gridCol w:w="170"/>
        <w:gridCol w:w="37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all or substantially all of the assets;</w:t>
            </w:r>
          </w:p>
        </w:tc>
      </w:tr>
    </w:tbl>
    <w:p>
      <w:pPr>
        <w:pStyle w:val="TextBody"/>
        <w:bidi w:val="0"/>
        <w:spacing w:before="0" w:after="0"/>
        <w:ind w:left="0" w:right="0" w:hanging="0"/>
        <w:jc w:val="both"/>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75"/>
        <w:gridCol w:w="170"/>
        <w:gridCol w:w="53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merger or consolidation into or with any other corporation;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liquidation, dissolution, winding up or reorganization immediately followed by a reincorporation as another corporation.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Optional 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at our option, redeem the Preferred Stock in whole or in part, out of funds legally available at the redemption price of $10.00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exchange the convertible preferred stock in whole, but not in part, for debentures on any dividend payment date on or after November 1, 2005 at the rate of $10 principal amount of debentures for each outstanding share of convertible preferred stock. Debentures will be issuable in denominations of $1,000 and integral multiples of $1,000. If the exchange results in an amount of debentures that is not an integral multiple of $1,000, we will pay in cash an amount in excess of the closest integral multiple of $1,000. We will mail written notice of our intention to exchange the convertible preferred stock to each record holder not less than 30 or more than 60 days prior to the exchange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the date fixed for exchange of the convertible preferred stock for debentures as the “exchange date.” On the exchange date, the holder’s rights as a stockholder of Cyclacel shall cease, the shares of convertible preferred stock will no longer be outstanding, and will only represent the right to receive the debentures and any accrued and unpaid dividends, without interest. We may not exercise our option to exchange the convertible preferred stock for the debentures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cumulative dividends on the convertible preferred stock to the exchange date have not been paid or set aside for payment, or</w:t>
            </w:r>
          </w:p>
        </w:tc>
      </w:tr>
    </w:tbl>
    <w:p>
      <w:pPr>
        <w:pStyle w:val="TextBody"/>
        <w:bidi w:val="0"/>
        <w:spacing w:before="0" w:after="0"/>
        <w:ind w:left="0" w:right="0" w:hanging="0"/>
        <w:jc w:val="both"/>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75"/>
        <w:gridCol w:w="170"/>
        <w:gridCol w:w="82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event of default under the indenture would occur on conversion, or has occurred and is continuing.</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convertible preferred stock have no voting rights except as described below or as required by law. Shares of our convertible preferred stock held by us or any entity controlled by us will not have any 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governing the Preferred Stock provides that if we fail to pay dividends on our Preferred Stock for six quarterly periods, holders of Preferred Stock are entitled to nominate and elect two directors to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vote or consent of the holders of at least a majority of the shares of convertible preferred stock, we may not: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adversely change the rights, preferences and limitations of the convertible preferred stock by modifying our certificate of incorporation or bylaws,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issue, reclassify any of our authorized stock into, increase the authorized amount of, or authorize or issue any convertible obligation or security or right to purchase, any class of stock that ranks senior to the convertible preferred stock as to dividends or distributions of assets upon liquidation, dissolution or winding up of the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class vote on the part of convertible preferred stock shall be required (except as otherwise required by law or resolution of our board of directors) in connection with the authorization, issuance or increase in the authorized amount of any shares of capital stock ranking junior to or on parity with the convertible preferred stock both as to the payment of dividends and as to distribution of assets upon our liquidation, dissolution or winding up, whether voluntary or involuntary, including our common stock and the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without the vote or consent of the holders of at least a majority of the shares of convertible preferred stock we may not:</w:t>
      </w:r>
    </w:p>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75"/>
        <w:gridCol w:w="170"/>
        <w:gridCol w:w="59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a share exchange that affects the convertible preferred stock, or</w:t>
            </w:r>
          </w:p>
        </w:tc>
      </w:tr>
    </w:tbl>
    <w:p>
      <w:pPr>
        <w:pStyle w:val="TextBody"/>
        <w:bidi w:val="0"/>
        <w:spacing w:before="0" w:after="0"/>
        <w:ind w:left="0"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75"/>
        <w:gridCol w:w="170"/>
        <w:gridCol w:w="3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with or merge into another entity,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another entity to consolidate with or merge into us, unless the convertible preferred stock remains outstanding and its rights, privileges and preferences are unaffected or it is converted into or exchanged for convertible preferred stock of the surviving entity having rights, preferences and limitations substantially similar, but no less favorable, to the convertible preferred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a majority under these voting provisions, holders of convertible preferred stock will vote together with holders of any other preferred stock that rank on parity as to dividends and that have like voting rights.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liquidation, the holders of Series A Preferred Shares are entitled to participate on an as-converted-to-common stock basis with holders of the common stock in any distribution of our assets to the holders of the common stock. The Series A Certificate of Designation provides, among other things, that we shall not pay any dividends on shares of common stock (other than dividends in the form of common stock) unless and until such time as we pay dividends on each Series A Preferred Share on an as-converted basis. Other than as set forth in the previous sentence, the Series A Certificate of Designation provides that no other dividends shall be paid on Series A Preferred Shares and that we shall pay no dividends (other than dividends in the form of common stock) on shares of common stock unless we simultaneously comply with the previous sentence. The Series A Certificate of Designation does not provide for any restriction on the repurchase of Series A Preferred Shares by us while there is any arrearage in the payment of dividends on the Series A Preferred Shares. There are no sinking fund provisions applicable to the Series A 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certain exceptions, as described in the Series A Certificate of Designation, the Series A Preferred Stock has no voting rights. However, as long as any shares of Series A Preferred Stock remain outstanding, the Series A Certificate of Designation provides that we shall not, without the affirmative vote of holders of a majority of the then-outstanding Series A Preferred Stock, (a) alter or change adversely the powers, preferences or rights given to the Series A Preferred Stock or alter or amend the Series A Certificate of Designation, (b) increase the number of authorized shares of Series A Preferred Stock or (c) effect a stock split or reverse stock split of the Series A Preferred Stock or any like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Preferred Stock is convertible at any time at the holder’s option into a number of shares of common stock equal to $1,000 divided by the Series A Conversion Price. The “Series A Conversion Price” was initially $600.00 and is subject to adjustment for stock splits, stock dividends, distributions, subdivisions and combinations. Notwithstanding the foregoing, the Series A Certificate of Designation further provides that we shall not effect any conversion of Series A Preferred Stock, with certain exceptions, to the extent that, after giving effect to an attempted conversion, the holder of Series A Preferred Shares (together with such holder’s affiliates, and any persons acting as a group together with such holder or any of such holder’s affiliates) would beneficially own a number of shares of common stock in excess of 4.99% (or, at the election of the holder, 9.99%) of the shares of our common stock then outstanding after giving effect to such exercise (the “Preferred Stock Beneficial Ownership Limitation”); provided, however, that upon notice to us, the holder may increase or decrease the Preferred Stock Beneficial Ownership Limitation, provided that in no event shall the Preferred Stock Beneficial Ownership Limitation exceed 9.99% and any increase in the Preferred Stock Beneficial Ownership Limitation will not be effective until 61 days following notice of such increase from the holder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at any time following the issuance of the Series A Preferred Stock, we will have the right to cause each holder of the Series A Preferred Stock to convert all or part of such holder’s Series A Preferred Stock in the event that (i) the volume weighted average price of our common stock for 30 consecutive trading days (the “Measurement Period”) exceeds 300% of the initial conversion price of the Series A Preferred Stock (subject to adjustment for forward and reverse stock splits, recapitalizations, stock dividends and similar transactions), (ii) the daily trading volume on each Trading Day during such Measurement Period exceeds $500,000 per trading day and (iii) the holder is not in possession of any information that constitutes or might constitute, material non-public information which was provided by us. Our right to cause each holder of the Series A Preferred Stock to convert all or part of such holder’s Series A Preferred Stock shall be exercised ratably among the holders of the then outstanding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has no maturity date, will carry the same dividend rights as the common stock, and with certain exceptions contains no voting rights. In the event of our liquidation or dissolution, the Series A Preferred Stock ranks senior to the common stock in the distribution of assets, to the extent legally available for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3,178 warrants outstanding. 186 warrants were outstanding as December 2020 Warrants, 1,750 were outstanding as December 2023 Warrants and 1,242 were outstanding as April 2024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1,962,000 warrants were issued pursuant to a Securities Purchase Agreement (the “Purchase Agreement”) with certain accredited investors in June 2025. As of December 31, 2025, there were no warrants related to this issuance remaining as outstanding.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December 2020 Warrants have an exercise price of $14,868.00 per share and were issued in connection with the December 2020 Registered Direct Offering and have an expiration date of December 2026. The December 2023 Warrants have an exercise price of $765.60 per share (or $994.50 per share for placement agent warrants) and were issued in connection with the December 2023 Registered Direct Offering. The 2023 Warrants expire in December 2030 (or December 2028 for placement agent warrants). The April 2024 (Series A) Warrants have an exercise price of $326.40 per share. In November 2024, the Series B Warrants (with an original exercise price of $326.40 per share (or $483.00 per share for placement agent warrants) were re-priced to an exercise price of $99.60 per share (or $124.51 per share for placement agent warrants). The April 2024 Warrants expire in November 2025 (or November 2029 for placement agent warrants). The November 2024 Warrants have an exercise price of $99.60 per share and have an expiration date of May 2030 for the Series C, or May 2026 for the Series D.</w:t>
      </w:r>
    </w:p>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limited exceptions, a holder of warrants will not have the right to exercise any portion of its warrants if the holder (together with such holder’s affiliates, and any persons acting as a group together with such holder or any of such holder’s affiliates) would beneficially own a number of shares of common stock in excess of 4.99% (or, at the election of the purchaser, 9.99%) of the shares of our common stock then outstanding after giving effect to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the number of shares issuable upon exercise of the warrants is subject to appropriate adjustment in the event of recapitalization events, stock dividends, stock splits, stock combinations, reclassifications, reorganizations or similar events affecting our common stock. The warrant holders must pay the exercise price in cash upon exercise of the warrants, unless such warrant holders are utilizing the cashless exercise provision of the warrants. On the expiration date, unexercised warrants will automatically be exercised via the “cashless” exercise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any warrants to purchase common stock, holders of the warrants will not have any of the rights of holders of the common stock purchasable upon exercise, including the right to vote, except as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30,691 warrants were exercised in connection to the April 2024 warrants, 82,816 exercised in connection with the November 2024 warrants, and 1,962,000 exercised in connection with the June 2025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exercises in connection with the December 2020 warrants or December 2023 warrants in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Delaware law, our Charter and Bylaws, certain provisions of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Section 203 of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DGCL, which prohibits a Delaware corporation from engaging in any business combination with any interested stockholder for a period of three years after the date that such stockholder became an interested stockholder, subject to certain exceptions.</w:t>
      </w:r>
    </w:p>
    <w:p>
      <w:pPr>
        <w:pStyle w:val="TextBody"/>
        <w:bidi w:val="0"/>
        <w:spacing w:before="0" w:after="0"/>
        <w:ind w:left="1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Choice of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the Court of Chancery of the State of Delaware is the exclusive forum for: (i) any derivative action or proceeding brought on our behalf; (ii) any action asserting a breach of fiduciary duty; (iii) any action asserting a claim against us or any of our directors or officers or other employees arising under the DGCL, our Charter or our amended and restated bylaws; or (iv) any action asserting a claim against us that is governed by the internal affairs doctrine. Our Charter further provides that U.S. federal district courts is the exclusive forum for resolving any complaint asserting a cause of action arising under the Securities Act. However, a Delaware court recently held that such an exclusive forum provision relating to federal courts was unenforceable under Delaware law, and unless and until the Delaware court decision is reversed on appeal or otherwise abrogated, we do not intend to enforce such a provision in the event of a complaint asserting a cause of action arising under the Securities Act. These choice of forum provisions of our Charter will not apply to suits brought to enforce a duty or liability created by the Securities Exchange Act of 1934, as amended.</w:t>
      </w:r>
    </w:p>
    <w:p>
      <w:pPr>
        <w:pStyle w:val="TextBody"/>
        <w:bidi w:val="0"/>
        <w:spacing w:before="0" w:after="0"/>
        <w:ind w:left="0" w:right="0" w:hanging="0"/>
        <w:jc w:val="righ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966" w:name="ex19.htm"/>
      <w:bookmarkStart w:id="967" w:name="ksex19"/>
      <w:bookmarkEnd w:id="966"/>
      <w:bookmarkEnd w:id="96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AND DISCLOSURE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 Green Med Solution, Inc. (together with its subsidiaries, the “Company” or “BGMS”) has adopted this Insider Trading Policy (the “Policy”) to help its officers, directors, employees and other related individuals of the Company comply with insider trading laws and to prevent even the appearance of improper insider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Applicability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covers officers, directors and all other employees of, or consultants to or contractors of, BGMS, as well as their immediate family members and members of their households (“Insider(s)”), regardless of the country in which they reside. This Policy also applies to any entities controlled by Insiders, including any corporations, partnerships or trusts, and transactions by these entities should be treated for the purposes of this Policy and applicable securities laws as if they were for the Insider’s own account. This Policy extends to all activities of an Insider, either within or outside such Insider’s duties at BGMS.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General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all transactions involving BGMS’s securities, including common stock, preferred stock, options, warrants, debt securities or any other securities that BGMS may issue from time to time, and derivative securities relating to the Company’s securities, whether or not issued by the Company, such as publicly-traded options, if any. This Policy also applies to all transactions involving the securities of other companies if you possess material nonpublic information about that company that was obtained in the course of your involvement with BGMS. Nonpublic information relating to the Company or its business is the property of the Company. The Company prohibits the unauthorized disclosure of any such non-public information acquired in the work-place or otherwise as a result of an individual’s employment or other relationship with the Company, as well as the misuse of any material non-public information about the Company or its business in securities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Insider Trading Compliance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designated the Audit Committee as its current Insider Trading Compliance body. Please direct your questions as to any of the matters discussed in this Policy to the Chair of the Audit Committee. In his or her absence, the Company’s Chief Financial Officer shall serve as the Insider Trading Policy Compliance Officer. The Insider Trading Policy Compliance Officer may also designate one or more individuals who may perform the functions of the Insider Trading Policy Compliance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General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general rules of the Policy that apply to all Company Insiders. It is very important that you understand and follow these rules. If you violate them, you may be subject to disciplinary action by the Company (including termination of your employment for cause). You could also be in violation of applicable securities laws (and subject to civil and criminal penalties, including fines and imprisonment). Note that it is your individual responsibility to comply with the laws against insider trading. This Policy is intended to assist you in complying with these laws, but you must always exercise appropriate judgement in connection with any trade in the Company’s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“immediate family,” “material information” and “non-public information” are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directors, employees and consultants, advisors and contractors designated by the Company from time to time are subject to certain additional policies and restrictions. See “</w:t>
      </w:r>
      <w:r>
        <w:rPr>
          <w:rFonts w:ascii="Times New Roman;Times;Serif" w:hAnsi="Times New Roman;Times;Serif"/>
          <w:b w:val="false"/>
          <w:i/>
          <w:caps w:val="false"/>
          <w:smallCaps w:val="false"/>
          <w:sz w:val="20"/>
        </w:rPr>
        <w:t>Additional Policies and Restrictions Applicable to Officers, Directors and Others Specified by the Company</w:t>
      </w:r>
      <w:r>
        <w:rPr>
          <w:rFonts w:ascii="Times New Roman;Times;Serif" w:hAnsi="Times New Roman;Times;Serif"/>
          <w:b w:val="false"/>
          <w:i w:val="false"/>
          <w:caps w:val="false"/>
          <w:smallCaps w:val="false"/>
          <w:sz w:val="20"/>
        </w:rPr>
        <w:t>” below in this Policy. The terms “black-out period” and “trading window” are defined in the same section.</w:t>
      </w:r>
    </w:p>
    <w:p>
      <w:pPr>
        <w:pStyle w:val="TextBody"/>
        <w:bidi w:val="0"/>
        <w:spacing w:before="0" w:after="0"/>
        <w:ind w:left="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Insider Trading and Tipping Are Prohibited </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securities laws (including in particular U.S. federal securities laws) make it illegal for any Insider to buy or sell BGMS’s securities at a time when we possess “material nonpublic information” relating to the Company. This conduct is known as “insider trading.” Passing such material nonpublic information on to someone who may buy or sell securities, which is known as “tipping,” is also illegal.</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Material nonpublic information” is information about a company that is not known to the general public and is likely to influence a typical investor’s decision to buy, sell or hold the company’s securities. Material nonpublic information can include information that something is likely to happen—or just that it might happen. Examples of material nonpublic information with respect to BGMS include, among other things, nonpublic information about:</w:t>
      </w:r>
    </w:p>
    <w:p>
      <w:pPr>
        <w:pStyle w:val="TextBody"/>
        <w:bidi w:val="0"/>
        <w:spacing w:before="0" w:after="0"/>
        <w:ind w:left="20" w:right="0" w:hanging="0"/>
        <w:jc w:val="both"/>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75"/>
        <w:gridCol w:w="170"/>
        <w:gridCol w:w="8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or financial results, known or projected future earnings or losses;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Unannounced licensing or other content-related deals;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pending or proposed merger, acquisition or tender offer;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BGMS’s senior management, auditors or board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whether pending or threatened, and any positive or negative developments thereof;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information which is likely to have a significant impact on BGMS’s financial results or stock price.</w:t>
            </w:r>
          </w:p>
        </w:tc>
      </w:tr>
    </w:tbl>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possess any material nonpublic information, even if you are not in a blackout period, the law and this Policy require that you refrain from buying or selling BGMS’s securities until after the information has been disclosed to the public and absorbed by the market or is no longer material. A “trading day” means a day on which the New York Stock Exchange is generally open for trading and trading in the stock of the Company has not been suspended for any reason. This is true even if you do not trade such securities for your own benefit. It is also a violation of the securities law if such trading is done by another person to whom you disclosed the inside information prior to full public disclosure. In addition, it is also a violation of this Policy if you communicate any material nonpublic information about BGMS to any other person, including family and friends.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General Policies against Trading or Causing Trading While in Possession of Material Nonpublic Information </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Insider may purchase or sell, or offer to purchase or sell, any BGMS security, whether or not issued by BGMS, while in possession of material nonpublic information about BGMS. No Insider who knows of any material nonpublic information about BGMS may communicate that information (“tip”) to any other person, including family members and friends, or otherwise disclose such information without BGMS’s authorization. No Insider may purchase or sell any security of any other company while in possession of material nonpublic information about that company that was obtained in the course of his or her involvement with BGMS.</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Insider who knows of any such material nonpublic information may communicate that information to, or tip, any other person, including family members and friends, or otherwise disclose such information without BGMS’s authorization. In addition, each Insider must abide by the following rules: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2"/>
        <w:gridCol w:w="999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single"/>
                <w:effect w:val="none"/>
              </w:rPr>
              <w:t>Don’t trade while in possession of material nonpublic information</w:t>
            </w:r>
            <w:r>
              <w:rPr>
                <w:rFonts w:ascii="Times New Roman;Times;Serif" w:hAnsi="Times New Roman;Times;Serif"/>
                <w:b/>
                <w:i w:val="false"/>
                <w:caps w:val="false"/>
                <w:smallCaps w:val="false"/>
                <w:strike w:val="false"/>
                <w:dstrike w:val="false"/>
                <w:sz w:val="20"/>
                <w:u w:val="none"/>
                <w:effect w:val="none"/>
              </w:rPr>
              <w:t xml:space="preserve">. </w:t>
            </w:r>
            <w:r>
              <w:rPr>
                <w:rFonts w:ascii="Times New Roman;Times;Serif" w:hAnsi="Times New Roman;Times;Serif"/>
                <w:b w:val="false"/>
                <w:i w:val="false"/>
                <w:caps w:val="false"/>
                <w:smallCaps w:val="false"/>
                <w:strike w:val="false"/>
                <w:dstrike w:val="false"/>
                <w:sz w:val="20"/>
                <w:u w:val="none"/>
                <w:effect w:val="none"/>
              </w:rPr>
              <w:t>From time to time you may come into possession of material nonpublic information as a result of your relationship with the Company. You may not buy, sell or trade in any stock of the Company or other securities involving the Company’s stock at any time while you possess material nonpublic information concerning the Company (whether during a “black-out period”, if applicable, or at any other time). You must wait to trade until newly released material information has been made public for at least two full trading days (a trading day is a day on which the stock market is open).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single"/>
                <w:effect w:val="none"/>
              </w:rPr>
              <w:t>Pre-clear trades involving Company stock</w:t>
            </w:r>
            <w:r>
              <w:rPr>
                <w:rFonts w:ascii="Times New Roman;Times;Serif" w:hAnsi="Times New Roman;Times;Serif"/>
                <w:b/>
                <w:i w:val="false"/>
                <w:caps w:val="false"/>
                <w:smallCaps w:val="false"/>
                <w:strike w:val="false"/>
                <w:dstrike w:val="false"/>
                <w:sz w:val="20"/>
                <w:u w:val="none"/>
                <w:effect w:val="none"/>
              </w:rPr>
              <w:t xml:space="preserve">. </w:t>
            </w:r>
            <w:r>
              <w:rPr>
                <w:rFonts w:ascii="Times New Roman;Times;Serif" w:hAnsi="Times New Roman;Times;Serif"/>
                <w:b w:val="false"/>
                <w:i w:val="false"/>
                <w:caps w:val="false"/>
                <w:smallCaps w:val="false"/>
                <w:strike w:val="false"/>
                <w:dstrike w:val="false"/>
                <w:sz w:val="20"/>
                <w:u w:val="none"/>
                <w:effect w:val="none"/>
              </w:rPr>
              <w:t>If you are unsure about whether information you possess would qualify as material nonpublic information and whether you therefore should refrain from trading in the Company’s stock, you should pre-clear any transactions involving Company stock that you intend to engage in with the Compliance Officer.</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single"/>
                <w:effect w:val="none"/>
              </w:rPr>
              <w:t>Don’t give nonpublic information to others.</w:t>
            </w:r>
            <w:r>
              <w:rPr>
                <w:rFonts w:ascii="Times New Roman;Times;Serif" w:hAnsi="Times New Roman;Times;Serif"/>
                <w:b w:val="false"/>
                <w:i w:val="false"/>
                <w:caps w:val="false"/>
                <w:smallCaps w:val="false"/>
                <w:strike w:val="false"/>
                <w:dstrike w:val="false"/>
                <w:sz w:val="20"/>
                <w:u w:val="none"/>
                <w:effect w:val="none"/>
              </w:rPr>
              <w:t xml:space="preserve"> Don’t give nonpublic information concerning the Company (commonly referred to as “tipping”) to any other person, including family members, and don’t make recommendations or express opinions about trading in the Company’s stock under any circumstances.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2"/>
        <w:gridCol w:w="999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single"/>
                <w:effect w:val="none"/>
              </w:rPr>
              <w:t>Don’t discuss Company information with the press, analysts or other persons outside of the Company</w:t>
            </w:r>
            <w:r>
              <w:rPr>
                <w:rFonts w:ascii="Times New Roman;Times;Serif" w:hAnsi="Times New Roman;Times;Serif"/>
                <w:b/>
                <w:i w:val="false"/>
                <w:caps w:val="false"/>
                <w:smallCaps w:val="false"/>
                <w:strike w:val="false"/>
                <w:dstrike w:val="false"/>
                <w:sz w:val="20"/>
                <w:u w:val="none"/>
                <w:effect w:val="none"/>
              </w:rPr>
              <w:t xml:space="preserve">. </w:t>
            </w:r>
            <w:r>
              <w:rPr>
                <w:rFonts w:ascii="Times New Roman;Times;Serif" w:hAnsi="Times New Roman;Times;Serif"/>
                <w:b w:val="false"/>
                <w:i w:val="false"/>
                <w:caps w:val="false"/>
                <w:smallCaps w:val="false"/>
                <w:strike w:val="false"/>
                <w:dstrike w:val="false"/>
                <w:sz w:val="20"/>
                <w:u w:val="none"/>
                <w:effect w:val="none"/>
              </w:rPr>
              <w:t>Announcements of Company information are regulated by Company policy (separate from this Policy) and may only be made following approval by the Company’s Disclosure Committee. Laws and regulations govern the nature and timing of such announcements to outsiders or the public and unauthorized disclosure could result in substantial liability for you, the Company and its management. If you receive enquiries by any third party about Company information, you should notify the Compliance Officer immediately.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single"/>
                <w:effect w:val="none"/>
              </w:rPr>
              <w:t>Don’t participate in Internet “chat rooms” in which the Company is discussed</w:t>
            </w:r>
            <w:r>
              <w:rPr>
                <w:rFonts w:ascii="Times New Roman;Times;Serif" w:hAnsi="Times New Roman;Times;Serif"/>
                <w:b/>
                <w:i w:val="false"/>
                <w:caps w:val="false"/>
                <w:smallCaps w:val="false"/>
                <w:strike w:val="false"/>
                <w:dstrike w:val="false"/>
                <w:sz w:val="20"/>
                <w:u w:val="none"/>
                <w:effect w:val="none"/>
              </w:rPr>
              <w:t xml:space="preserve">. </w:t>
            </w:r>
            <w:r>
              <w:rPr>
                <w:rFonts w:ascii="Times New Roman;Times;Serif" w:hAnsi="Times New Roman;Times;Serif"/>
                <w:b w:val="false"/>
                <w:i w:val="false"/>
                <w:caps w:val="false"/>
                <w:smallCaps w:val="false"/>
                <w:strike w:val="false"/>
                <w:dstrike w:val="false"/>
                <w:sz w:val="20"/>
                <w:u w:val="none"/>
                <w:effect w:val="none"/>
              </w:rPr>
              <w:t>You may not participate in on-line dialogues (or similar activities) involving the Company, its business or its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8"/>
        <w:gridCol w:w="999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single"/>
                <w:effect w:val="none"/>
              </w:rPr>
              <w:t>Don’t use nonpublic information to trade in other companies’ stock</w:t>
            </w:r>
            <w:r>
              <w:rPr>
                <w:rFonts w:ascii="Times New Roman;Times;Serif" w:hAnsi="Times New Roman;Times;Serif"/>
                <w:b/>
                <w:i w:val="false"/>
                <w:caps w:val="false"/>
                <w:smallCaps w:val="false"/>
                <w:strike w:val="false"/>
                <w:dstrike w:val="false"/>
                <w:sz w:val="20"/>
                <w:u w:val="none"/>
                <w:effect w:val="none"/>
              </w:rPr>
              <w:t xml:space="preserve">. </w:t>
            </w:r>
            <w:r>
              <w:rPr>
                <w:rFonts w:ascii="Times New Roman;Times;Serif" w:hAnsi="Times New Roman;Times;Serif"/>
                <w:b w:val="false"/>
                <w:i w:val="false"/>
                <w:caps w:val="false"/>
                <w:smallCaps w:val="false"/>
                <w:strike w:val="false"/>
                <w:dstrike w:val="false"/>
                <w:sz w:val="20"/>
                <w:u w:val="none"/>
                <w:effect w:val="none"/>
              </w:rPr>
              <w:t>Don’t trade in the stock of the Company’s customers, vendors, suppliers or other business partners when you have nonpublic information concerning the Company or these business partners that you obtained in the course of your relationship with the Company and that would give you an advantage in trading.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0"/>
        <w:gridCol w:w="10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single"/>
                <w:effect w:val="none"/>
              </w:rPr>
              <w:t>Don’t engage in speculative transactions involving the Company’s stock</w:t>
            </w:r>
            <w:r>
              <w:rPr>
                <w:rFonts w:ascii="Times New Roman;Times;Serif" w:hAnsi="Times New Roman;Times;Serif"/>
                <w:b/>
                <w:i w:val="false"/>
                <w:caps w:val="false"/>
                <w:smallCaps w:val="false"/>
                <w:strike w:val="false"/>
                <w:dstrike w:val="false"/>
                <w:sz w:val="20"/>
                <w:u w:val="none"/>
                <w:effect w:val="none"/>
              </w:rPr>
              <w:t xml:space="preserve">. </w:t>
            </w:r>
            <w:r>
              <w:rPr>
                <w:rFonts w:ascii="Times New Roman;Times;Serif" w:hAnsi="Times New Roman;Times;Serif"/>
                <w:b w:val="false"/>
                <w:i w:val="false"/>
                <w:caps w:val="false"/>
                <w:smallCaps w:val="false"/>
                <w:strike w:val="false"/>
                <w:dstrike w:val="false"/>
                <w:sz w:val="20"/>
                <w:u w:val="none"/>
                <w:effect w:val="none"/>
              </w:rPr>
              <w:t>Don’t engage in any transactions that suggest you are speculating in the Company’s stock (that is, that you are trying to profit from short-term movements, either increases or decreases, in the stock price). You may not engage in any short sale, “sale against the box” or any equivalent transaction involving the Company’s stock (or the stock of any of the Company’s business partners in any of the situations described above). A short sale involves selling shares that you do not own at a specified price with the expectation that the price will go down so you can buy the shares at a lower price before you have to deliver them.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100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many hedging transactions, such as “cashless collars”, forward sales, equity swaps and other similar or related arrangements may indirectly involve a short sale. The Company discourages you from engaging in such transactions and requires that any such transaction be carefully reviewed by the Compliance Officer prior to the time you enter into it. The Compliance Officer will assess the proposed transaction and, in light of the facts and circumstances, make a determination as to whether the proposed transaction may be completed or would violate this Policy. In addition, if you are trading in Company stock pursuant to a “blind trust” or a Rule 10b5-1(c) trading program (see “Exceptions for Blind Trusts and Pre-Arranged Trading Programs” below), there may be additional restrictions on your ability to engage in a hedging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100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recommends that you do not margin or pledge your Company stock to secure a loan to you and that you do not purchase Company stock “on margin” (that is, borrow funds to purchase stock, including in connection with exercising any Company stock options).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2"/>
        <w:gridCol w:w="999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single"/>
                <w:effect w:val="none"/>
              </w:rPr>
              <w:t>Make sure your family members and persons controlling family trusts (and similar entities) do not violate this Policy</w:t>
            </w:r>
            <w:r>
              <w:rPr>
                <w:rFonts w:ascii="Times New Roman;Times;Serif" w:hAnsi="Times New Roman;Times;Serif"/>
                <w:b/>
                <w:i w:val="false"/>
                <w:caps w:val="false"/>
                <w:smallCaps w:val="false"/>
                <w:strike w:val="false"/>
                <w:dstrike w:val="false"/>
                <w:sz w:val="20"/>
                <w:u w:val="none"/>
                <w:effect w:val="none"/>
              </w:rPr>
              <w:t xml:space="preserve">. </w:t>
            </w:r>
            <w:r>
              <w:rPr>
                <w:rFonts w:ascii="Times New Roman;Times;Serif" w:hAnsi="Times New Roman;Times;Serif"/>
                <w:b w:val="false"/>
                <w:i w:val="false"/>
                <w:caps w:val="false"/>
                <w:smallCaps w:val="false"/>
                <w:strike w:val="false"/>
                <w:dstrike w:val="false"/>
                <w:sz w:val="20"/>
                <w:u w:val="none"/>
                <w:effect w:val="none"/>
              </w:rPr>
              <w:t>For the purposes of this Policy, any transactions involving Company stock in which members of your immediate family engage, or by family trusts, partnerships, foundations and similar entities over which you or members of your immediate family have control, or whose assets are held for the benefit of you or your immediate family, are the same as transactions by you. You are responsible for making sure that such persons and entities do not engage in any transaction that would violate this Policy if you are engaged in the transaction directly.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left"/>
              <w:rPr>
                <w:caps w:val="false"/>
                <w:smallCaps w:val="false"/>
              </w:rPr>
            </w:pPr>
            <w:r>
              <w:rPr>
                <w:caps w:val="false"/>
                <w:smallCaps w:val="false"/>
              </w:rPr>
              <w:t> </w:t>
            </w:r>
          </w:p>
        </w:tc>
        <w:tc>
          <w:tcPr>
            <w:tcW w:w="999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left"/>
              <w:rPr>
                <w:caps w:val="false"/>
                <w:smallCaps w:val="false"/>
              </w:rPr>
            </w:pPr>
            <w:r>
              <w:rPr>
                <w:caps w:val="false"/>
                <w:smallCaps w:val="false"/>
              </w:rPr>
              <w:t> </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family trusts and other entities of this type having an independent, professional trustee who makes investment decisions on behalf of the entity, and with whom you do not share Company information, may be eligible for an exemption from this rule. Please contact the Compliance Officer if you have questions regarding this exception. You should assume that this exception is not available unless you have first obtained the approval of the Compliance Officer.)</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Exceptions to the General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exceptions to the general insider trading policies apply: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9"/>
        <w:gridCol w:w="999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Exceptions for Purchases Under Employee Stock Option and Stock Purchase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(without a sale) of stock options under the Company’s stock option plans and the purchase of shares under the Company’s employee stock purchase plan are exempt from this Policy, since the other party to the transaction is the Company itself and the price does not vary with the market but is fixed by the terms of the option agreement or the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any subsequent sale of shares acquired under a Company stock plan is subject to this Policy.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0"/>
        <w:gridCol w:w="10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Exceptions for Blind Trusts and Pre-Arranged Trading Programs.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100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10b5-1(c) of the Securities Exchange Act of 1934 provides an affirmative defence against insider trading liability under federal securities laws for a transaction done pursuant to “blind trusts” (generally, trusts or other arrangements in which investment control has been completely delegated to a third party, such as an institutional or professional trustee) or pursuant to a written plan, or a binding contract or instruction, entered into in good faith at a time when the insider was not aware of material nonpublic information, even though the transaction in question may occur at a time when the person is aware of material nonpublic information. The Company may, in appropriate circumstances, permit transactions pursuant to a blind trust or a pre-arranged trading program that complies with Rule 10b6-1 to take place during periods in which the individual entering into the transaction may have material nonpublic information or during black- out periods.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100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wish to enter into a blind trust arrangement or a pre-arranged trading program, you must notify the Compliance Officer. The Compliance Officer will review proposed arrangements to determine whether they will or may result in transactions taking place during periods in which you may be in possession of material nonpublic information. The Company reserves the right to bar any transactions in Company stock, even those pursuant to arrangements previously approved, if the Company determines that such a bar is in the best interests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Application of Policy After Employment Terminates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employment terminates at a time when you have or think you may have material nonpublic information about the Company or its business partners, the prohibition on trading on such information continues until such information is absorbed by the market following public announcement of it by the Company or another authorized party, or until such time as the information is no longer material. If you have any questions as to whether you possess material nonpublic information after you have left the employ of the Company, you should direct questions to the Compliance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Potential Criminal and Civil Liability and/or Disciplinary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penalties for trading on or communicating material nonpublic information can be severe, both for individuals involved in such unlawful conduct and for their employers and supervisors, and may include jail terms, criminal fines, civil penalties and civil enforcement injunctions. Given the severity of the potential penalties, compliance with this Policy is absolutely mandatory.</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Individual penalties</w:t>
            </w:r>
            <w:r>
              <w:rPr>
                <w:rFonts w:ascii="Times New Roman;Times;Serif" w:hAnsi="Times New Roman;Times;Serif"/>
                <w:b w:val="false"/>
                <w:i w:val="false"/>
                <w:caps w:val="false"/>
                <w:smallCaps w:val="false"/>
                <w:sz w:val="20"/>
              </w:rPr>
              <w:t>. A person who violates insider trading laws by engaging in transactions in a company’s securities when he or she has material nonpublic information can be sentenced to a substantial jail term and required to pay a penalty of several times the amount of profits gained or losses avoided.</w:t>
            </w:r>
          </w:p>
        </w:tc>
      </w:tr>
    </w:tbl>
    <w:p>
      <w:pPr>
        <w:pStyle w:val="TextBody"/>
        <w:bidi w:val="0"/>
        <w:spacing w:before="0" w:after="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Company or control person penalties</w:t>
            </w:r>
            <w:r>
              <w:rPr>
                <w:rFonts w:ascii="Times New Roman;Times;Serif" w:hAnsi="Times New Roman;Times;Serif"/>
                <w:b w:val="false"/>
                <w:i w:val="false"/>
                <w:caps w:val="false"/>
                <w:smallCaps w:val="false"/>
                <w:sz w:val="20"/>
              </w:rPr>
              <w:t>. The U.S. Securities and Exchange Commission can also seek substantial civil penalties from any person who, at the time of an insider trading violation, “directly or indirectly controlled the person who committed such violation,” which would apply to BGMS and/or its management.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penalties for “insider trading” include civil fines of up to three times the profit gained or loss avoided, and criminal fines of up to $5 million for individuals ($25 million for entities), and civil fines up to three times the profit gained or loss avoided (treble damages) and up to 20–25 years in federal prison for each violation. The SEC may also enforce disgorgement of profits and ban individuals from serving as officers or directors. You can also be liable for improper transactions by any person to whom you have disclosed nonpublic information or made recommendations on the basis of such information as to trading in the Company’s securities (tippee liability). In addition, persons who violate this Policy may be subject to disciplinary action by BGMS, including termination of employment, whether or not the failure to comply with this Policy results in a violation of law.</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 has imposed large penalties even when the disclosing person did not profit from the trading. The SEC, the stock exchanges and the Financial Industry Regulatory Authority (“FINRA”) use sophisticated electronic surveillance techniques to uncover insider trading.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xml:space="preserve"> imposes severe penalties for insider trading, including permanent bars from the industry, significant fines, and mandatory restitution (disgorgement of ill-gotten gains) plus interest. Employees of the Company who violate this Policy shall also be subject to disciplinary action by the Company, which may include ineligibility for further participation in the Company’s equity incentive plans or termination of employment for cause.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used in this Policy</w:t>
      </w:r>
    </w:p>
    <w:p>
      <w:pPr>
        <w:pStyle w:val="TextBody"/>
        <w:bidi w:val="0"/>
        <w:spacing w:before="0" w:after="0"/>
        <w:ind w:left="0" w:right="0" w:hanging="0"/>
        <w:jc w:val="both"/>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75"/>
        <w:gridCol w:w="170"/>
        <w:gridCol w:w="1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Immediate Family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persons are considered members of your “immediate family”; your spouse, parents, grandparents, children, grandchildren and siblings, including any such relationship that arises through marriage or by adoption. It also includes members of your household, whether or not they are related to you.</w:t>
      </w:r>
    </w:p>
    <w:p>
      <w:pPr>
        <w:pStyle w:val="TextBody"/>
        <w:bidi w:val="0"/>
        <w:spacing w:before="0" w:after="0"/>
        <w:ind w:left="0" w:right="0" w:hanging="0"/>
        <w:jc w:val="center"/>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75"/>
        <w:gridCol w:w="170"/>
        <w:gridCol w:w="1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possible to define all categories of “material” information, but information should be regarded as material if it is likely that it would be considered important to an investor in making an investment decision regarding purchase or sale of the Company’s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it may be difficult to determine whether particular information is material or not, there are some categories of information that are particularly sensitive and that should almost always be considered material. Examples include, but are not limited to,: financial results and projections (especially to the extent the Company’s own expectations regarding its future financial results differ from analysts’ expectations), news of a merger or acquisition, gain or loss of a major customer or supplier, major product announcements, changes in senior management, a change in the Company’s accountants or accounting policies, or any major problems or successes of the business. Either positive or negative information may be material. If you have any questions regarding whether information you possess is material or not, you should contact the Compliance officer.</w:t>
      </w:r>
    </w:p>
    <w:p>
      <w:pPr>
        <w:pStyle w:val="TextBody"/>
        <w:bidi w:val="0"/>
        <w:spacing w:before="0" w:after="0"/>
        <w:ind w:left="0" w:right="0" w:hanging="0"/>
        <w:jc w:val="both"/>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75"/>
        <w:gridCol w:w="170"/>
        <w:gridCol w:w="19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9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Nonpublic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Company is considered to be “nonpublic” if it is known within the Company but not yet disclosed to the general public. The Company generally discloses information to the public either via press releases or in the regular quarterly and annual reports that the Company is required to file with the SEC. Information is considered “public” only after it has been publicly available, through press release or otherwise, for at least forty-eight hours. If you have any questions regarding whether any information you possess is nonpublic or has been publicly disclosed, you should contact the Compliance Officer.</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Changes to the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this policy may need to be amended due to changes in the Law, the Company’s operations or NASDAQ requirements, but, as a minimum, it will be subject to annual review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direct questions you have regarding this Policy and any transactions in Company securities to the Company’s Insider Trading Compliance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Additional Policies and Restrictions Applicable to Officers,</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Directors and Others Specified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additional policies and restrictions (the “Additional Policies”) apply to executive officers, directors and certain other officers, employees and consultants of the Company, as designated from time to time by the Compliance Officer. If you violate these rules, you may be subject to disciplinary action by the Company (including termination of your employment for cause). In addition, you could be in violation of applicable securities laws (and subject to civil and criminal penalties, including fines and imprisonment). Note that it is your individual responsibility to comply with the laws against insider trading. This Policy is intended to assist you in complying with these laws, but you must always exercise appropriate judgement in connection with any trade in the Company’s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subject to these Additional Policies are also subject to the general policies described in the preceding section (with the more restrictive policy applying in any case where there is a conflict).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“immediate family”, “material information” and “nonpublic information” were defined above. The terms “black-out period” and “trading window” are defined at the end of this Additional Policies section.</w:t>
      </w:r>
    </w:p>
    <w:p>
      <w:pPr>
        <w:pStyle w:val="TextBody"/>
        <w:bidi w:val="0"/>
        <w:spacing w:before="0" w:after="0"/>
        <w:ind w:left="0" w:right="0" w:hanging="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170"/>
        <w:gridCol w:w="32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2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Don’t trade during black -out periods.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w:t>
      </w:r>
      <w:r>
        <w:rPr>
          <w:rFonts w:ascii="Times New Roman;Times;Serif" w:hAnsi="Times New Roman;Times;Serif"/>
          <w:b/>
          <w:i w:val="false"/>
          <w:caps w:val="false"/>
          <w:smallCaps w:val="false"/>
          <w:sz w:val="20"/>
        </w:rPr>
        <w:t>prohibits</w:t>
      </w:r>
      <w:r>
        <w:rPr>
          <w:rFonts w:ascii="Times New Roman;Times;Serif" w:hAnsi="Times New Roman;Times;Serif"/>
          <w:b w:val="false"/>
          <w:i w:val="false"/>
          <w:caps w:val="false"/>
          <w:smallCaps w:val="false"/>
          <w:sz w:val="20"/>
        </w:rPr>
        <w:t xml:space="preserve"> all executive officers, member of the Board of Directors, and certain other officers, employees and consultants designated by the Company </w:t>
      </w:r>
      <w:r>
        <w:rPr>
          <w:rFonts w:ascii="Times New Roman;Times;Serif" w:hAnsi="Times New Roman;Times;Serif"/>
          <w:b/>
          <w:i w:val="false"/>
          <w:caps w:val="false"/>
          <w:smallCaps w:val="false"/>
          <w:sz w:val="20"/>
        </w:rPr>
        <w:t>from trading during black-out periods</w:t>
      </w:r>
      <w:r>
        <w:rPr>
          <w:rFonts w:ascii="Times New Roman;Times;Serif" w:hAnsi="Times New Roman;Times;Serif"/>
          <w:b w:val="false"/>
          <w:i w:val="false"/>
          <w:caps w:val="false"/>
          <w:smallCaps w:val="false"/>
          <w:sz w:val="20"/>
        </w:rPr>
        <w:t xml:space="preserve"> (whether regularly scheduled black-out periods, or special black-out periods implemented from time to time). It is your responsibility to know when the Company’s regular quarterly black-out periods begin (you will be notified when they end). If you are informed that the Company has implemented a special black-out period, you </w:t>
      </w:r>
      <w:r>
        <w:rPr>
          <w:rFonts w:ascii="Times New Roman;Times;Serif" w:hAnsi="Times New Roman;Times;Serif"/>
          <w:b/>
          <w:i w:val="false"/>
          <w:caps w:val="false"/>
          <w:smallCaps w:val="false"/>
          <w:sz w:val="20"/>
          <w:u w:val="single"/>
        </w:rPr>
        <w:t>may not</w:t>
      </w:r>
      <w:r>
        <w:rPr>
          <w:rFonts w:ascii="Times New Roman;Times;Serif" w:hAnsi="Times New Roman;Times;Serif"/>
          <w:b w:val="false"/>
          <w:i w:val="false"/>
          <w:caps w:val="false"/>
          <w:smallCaps w:val="false"/>
          <w:sz w:val="20"/>
        </w:rPr>
        <w:t xml:space="preserve"> disclose the fact that trading has been suspended to anyone, including the Company employees (who may themselves not be subject to the black-out), family members (other than those subject to this Policy who would be prohibited from trading because you are), friends or brokers. You should treat the imposition of a special black-out period as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Remember to cancel any “limit” orders or other pending trading orders you have in place during a black-out period (unless the orders were made pursuant to an approved Rule 10b5-1(c) trading program).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You are subject to the black-out periods if you are listed on </w:t>
      </w:r>
      <w:r>
        <w:rPr>
          <w:rFonts w:ascii="Times New Roman;Times;Serif" w:hAnsi="Times New Roman;Times;Serif"/>
          <w:b/>
          <w:i w:val="false"/>
          <w:caps w:val="false"/>
          <w:smallCaps w:val="false"/>
          <w:sz w:val="20"/>
          <w:u w:val="single"/>
        </w:rPr>
        <w:t>Attachment A</w:t>
      </w:r>
      <w:r>
        <w:rPr>
          <w:rFonts w:ascii="Times New Roman;Times;Serif" w:hAnsi="Times New Roman;Times;Serif"/>
          <w:b/>
          <w:i w:val="false"/>
          <w:caps w:val="false"/>
          <w:smallCaps w:val="false"/>
          <w:sz w:val="20"/>
        </w:rPr>
        <w:t xml:space="preserve"> to this Policy. </w:t>
      </w:r>
      <w:r>
        <w:rPr>
          <w:rFonts w:ascii="Times New Roman;Times;Serif" w:hAnsi="Times New Roman;Times;Serif"/>
          <w:b w:val="false"/>
          <w:i w:val="false"/>
          <w:caps w:val="false"/>
          <w:smallCaps w:val="false"/>
          <w:sz w:val="20"/>
        </w:rPr>
        <w:t>This list may be changed from time to time to add or remove persons as appropriate. If you are added to the list of persons subject to the Company’s blackout periods, you will be notified by the Compliance Officer.</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0"/>
        <w:gridCol w:w="10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You must pre-clear all trades involving the Company’s stock. </w:t>
            </w:r>
            <w:r>
              <w:rPr>
                <w:rFonts w:ascii="Times New Roman;Times;Serif" w:hAnsi="Times New Roman;Times;Serif"/>
                <w:b w:val="false"/>
                <w:i w:val="false"/>
                <w:caps w:val="false"/>
                <w:smallCaps w:val="false"/>
                <w:sz w:val="20"/>
              </w:rPr>
              <w:t xml:space="preserve">All executive officers, members of the Board of Directors, and certain other officers, employees and consultants designated by the Company, </w:t>
            </w:r>
            <w:r>
              <w:rPr>
                <w:rFonts w:ascii="Times New Roman;Times;Serif" w:hAnsi="Times New Roman;Times;Serif"/>
                <w:b/>
                <w:i w:val="false"/>
                <w:caps w:val="false"/>
                <w:smallCaps w:val="false"/>
                <w:sz w:val="20"/>
              </w:rPr>
              <w:t>must refrain from trading</w:t>
            </w:r>
            <w:r>
              <w:rPr>
                <w:rFonts w:ascii="Times New Roman;Times;Serif" w:hAnsi="Times New Roman;Times;Serif"/>
                <w:b w:val="false"/>
                <w:i w:val="false"/>
                <w:caps w:val="false"/>
                <w:smallCaps w:val="false"/>
                <w:sz w:val="20"/>
              </w:rPr>
              <w:t xml:space="preserve"> in the Company’s stock, </w:t>
            </w:r>
            <w:r>
              <w:rPr>
                <w:rFonts w:ascii="Times New Roman;Times;Serif" w:hAnsi="Times New Roman;Times;Serif"/>
                <w:b/>
                <w:i w:val="false"/>
                <w:caps w:val="false"/>
                <w:smallCaps w:val="false"/>
                <w:sz w:val="20"/>
              </w:rPr>
              <w:t xml:space="preserve">even during an open trading window, </w:t>
            </w:r>
            <w:r>
              <w:rPr>
                <w:rFonts w:ascii="Times New Roman;Times;Serif" w:hAnsi="Times New Roman;Times;Serif"/>
                <w:b/>
                <w:i w:val="false"/>
                <w:caps w:val="false"/>
                <w:smallCaps w:val="false"/>
                <w:sz w:val="20"/>
                <w:u w:val="single"/>
              </w:rPr>
              <w:t>unless</w:t>
            </w:r>
            <w:r>
              <w:rPr>
                <w:rFonts w:ascii="Times New Roman;Times;Serif" w:hAnsi="Times New Roman;Times;Serif"/>
                <w:b w:val="false"/>
                <w:i w:val="false"/>
                <w:caps w:val="false"/>
                <w:smallCaps w:val="false"/>
                <w:sz w:val="20"/>
              </w:rPr>
              <w:t xml:space="preserve"> they first comply with the Company’s pre- clearance procedures. To pre-clear a transaction, you must get the approval of the Compliance Officer before you enter into the transaction. In pre-clearing a trade, and in addition to reviewing the substance of the proposed trade, the Compliance Officer may consider whether it will be possible for both the individual and the Company to comply with any applicable public reporting requirements. You should contact the Compliance officer </w:t>
            </w:r>
            <w:r>
              <w:rPr>
                <w:rFonts w:ascii="Times New Roman;Times;Serif" w:hAnsi="Times New Roman;Times;Serif"/>
                <w:b/>
                <w:i w:val="false"/>
                <w:caps w:val="false"/>
                <w:smallCaps w:val="false"/>
                <w:sz w:val="20"/>
              </w:rPr>
              <w:t>at least 3 days</w:t>
            </w:r>
            <w:r>
              <w:rPr>
                <w:rFonts w:ascii="Times New Roman;Times;Serif" w:hAnsi="Times New Roman;Times;Serif"/>
                <w:b w:val="false"/>
                <w:i w:val="false"/>
                <w:caps w:val="false"/>
                <w:smallCaps w:val="false"/>
                <w:sz w:val="20"/>
              </w:rPr>
              <w:t xml:space="preserve"> before you intend to engage in any transaction to allow enough time for pre-clearance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100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are required to pre-clear all transactions involving Company stock if you are listed on </w:t>
            </w:r>
            <w:r>
              <w:rPr>
                <w:rFonts w:ascii="Times New Roman;Times;Serif" w:hAnsi="Times New Roman;Times;Serif"/>
                <w:b w:val="false"/>
                <w:i w:val="false"/>
                <w:caps w:val="false"/>
                <w:smallCaps w:val="false"/>
                <w:sz w:val="20"/>
                <w:u w:val="single"/>
              </w:rPr>
              <w:t>Attachment A</w:t>
            </w:r>
            <w:r>
              <w:rPr>
                <w:rFonts w:ascii="Times New Roman;Times;Serif" w:hAnsi="Times New Roman;Times;Serif"/>
                <w:b w:val="false"/>
                <w:i w:val="false"/>
                <w:caps w:val="false"/>
                <w:smallCaps w:val="false"/>
                <w:sz w:val="20"/>
              </w:rPr>
              <w:t xml:space="preserve"> to this Policy. If you are added to the list of persons subject to the Company’s mandatory pre-clearance policy, you will be notified by the Compliance Officer.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You must pre-clear any margin transactions involving Company stock. </w:t>
            </w:r>
            <w:r>
              <w:rPr>
                <w:rFonts w:ascii="Times New Roman;Times;Serif" w:hAnsi="Times New Roman;Times;Serif"/>
                <w:b w:val="false"/>
                <w:i w:val="false"/>
                <w:caps w:val="false"/>
                <w:smallCaps w:val="false"/>
                <w:sz w:val="20"/>
              </w:rPr>
              <w:t>If you are listed on Attachment A or Attachment B, you may not enter into any margin transaction involving Company stock unless you have first pre-cleared it with the Compliance Officer. The Compliance Officer will review proposed margin transactions in light of guidelines (including public reporting guidelines) that he or she from time to time establishes with input from the Board of Directors, if appropriate.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2"/>
        <w:gridCol w:w="999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You must pre-clear hedging or derivatives transactions involving Company stock. </w:t>
            </w:r>
            <w:r>
              <w:rPr>
                <w:rFonts w:ascii="Times New Roman;Times;Serif" w:hAnsi="Times New Roman;Times;Serif"/>
                <w:b w:val="false"/>
                <w:i w:val="false"/>
                <w:caps w:val="false"/>
                <w:smallCaps w:val="false"/>
                <w:sz w:val="20"/>
              </w:rPr>
              <w:t>The Company discourages persons listed on Attachment A or Attachment B from engaging in hedging or derivative transactions, such as “cashless collars”, forward contracts, equity swaps or other similar or related transactions. If you wish to engage in such a transaction, you must pre-clear it with the Compliance Officer, who will review the proposed transaction in light of guidelines (including public reporting guidelines) that he or she from time to time establishes, with input as appropriate from the Board of Directors and outside legal counsel.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2"/>
        <w:gridCol w:w="999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Observe the Section 16 liability rules applicable to officers and Board members and 10% stockholders. </w:t>
            </w:r>
            <w:r>
              <w:rPr>
                <w:rFonts w:ascii="Times New Roman;Times;Serif" w:hAnsi="Times New Roman;Times;Serif"/>
                <w:b w:val="false"/>
                <w:i w:val="false"/>
                <w:caps w:val="false"/>
                <w:smallCaps w:val="false"/>
                <w:sz w:val="20"/>
              </w:rPr>
              <w:t>Certain officers of the Company, members of the Company’s Board of Directors and 10% stockholders must also conduct their transactions in Company stock in a manner designed to comply with the “short-swing” trading rules of Section 16(b) of the Securities Exchange Act of 1934. The practical effect of these provisions is that officers and directors who purchase and sell, or sell and purchase, Company securities within a six-month period must disgorge all profits to the Company whether or not they had any nonpublic information at the time of the transactions.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subject to Section 16, you are listed on </w:t>
      </w:r>
      <w:r>
        <w:rPr>
          <w:rFonts w:ascii="Times New Roman;Times;Serif" w:hAnsi="Times New Roman;Times;Serif"/>
          <w:b w:val="false"/>
          <w:i w:val="false"/>
          <w:caps w:val="false"/>
          <w:smallCaps w:val="false"/>
          <w:sz w:val="20"/>
          <w:u w:val="single"/>
        </w:rPr>
        <w:t>Attachment B</w:t>
      </w:r>
      <w:r>
        <w:rPr>
          <w:rFonts w:ascii="Times New Roman;Times;Serif" w:hAnsi="Times New Roman;Times;Serif"/>
          <w:b w:val="false"/>
          <w:i w:val="false"/>
          <w:caps w:val="false"/>
          <w:smallCaps w:val="false"/>
          <w:sz w:val="20"/>
        </w:rPr>
        <w:t xml:space="preserve"> to this Policy.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0"/>
        <w:gridCol w:w="10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Comply with public securities law reporting requirements. </w:t>
            </w:r>
            <w:r>
              <w:rPr>
                <w:rFonts w:ascii="Times New Roman;Times;Serif" w:hAnsi="Times New Roman;Times;Serif"/>
                <w:b w:val="false"/>
                <w:i w:val="false"/>
                <w:caps w:val="false"/>
                <w:smallCaps w:val="false"/>
                <w:sz w:val="20"/>
              </w:rPr>
              <w:t>Federal securities laws require that officers, directors, large stockholders and affiliates of the Company publicly report transactions in Company stock (on Forms 3, 4 and 5 under Section 16, Form 144 with respect to restricted and control securities, and, in certain cases, Schedules 13D and 13G). The Company takes these reporting requirements very seriously and requires that all persons subject to public reporting of Company stock transactions adhere to the rules applicable to these forms. Where issues arise as to whether reporting is technically required (particularly issues that turn on facts specific to the transaction and the individuals involved, or on unsettled issues of law), the Company encourages its insiders to choose to comply with the spirit and not the letter of the law – in other words, to err on the side of fully and promptly reporting the transaction even if not technically required to do so.</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0"/>
        <w:gridCol w:w="100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Comply with trading restrictions imposed in connection with pension plan blackout periods. </w:t>
            </w:r>
            <w:r>
              <w:rPr>
                <w:rFonts w:ascii="Times New Roman;Times;Serif" w:hAnsi="Times New Roman;Times;Serif"/>
                <w:b w:val="false"/>
                <w:i w:val="false"/>
                <w:caps w:val="false"/>
                <w:smallCaps w:val="false"/>
                <w:sz w:val="20"/>
              </w:rPr>
              <w:t>In order to protect you and BGMS from allegations of insider trading, this Policy prohibits Insiders from buying or selling BGMS’s securities during the quarterly “blackout periods,” which begin on the fifteenth day of the last month of each fiscal quarter and end upon the open of the market of the first trading day after the public release of the quarter’s earnings (the “blackout period”), unless otherwise modified with respect to all or certain individuals by the Insider Trading Policy Compliance Officer. This policy is based on the presumption that, during a quarterly blackout period, you may have access to information related to the quarter’s financial results, which are deemed material nonpublic information until they are disseminated into the marketplace.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does not apply to the vesting of restricted stock nor to a cash exercise of vested employee stock options granted by BGMS during a blackout period, since the purchase price for such stock options is fixed. You are not, however, permitted to sell the shares acquired through such exercises until the blackout period ends. Transactions in a 401(k) account are, for blackout period purposes, no different than transactions in any other account. This Policy does not apply to purchases of BGMS’s securities from BGMS or sales of BGMS’s securities to BGMS. See also “</w:t>
            </w:r>
            <w:r>
              <w:rPr>
                <w:rFonts w:ascii="Times New Roman;Times;Serif" w:hAnsi="Times New Roman;Times;Serif"/>
                <w:b w:val="false"/>
                <w:i/>
                <w:caps w:val="false"/>
                <w:smallCaps w:val="false"/>
                <w:sz w:val="20"/>
              </w:rPr>
              <w:t>Exemptions for Purchases Under Employee Stock Option and Stock Purchase Plans</w:t>
            </w:r>
            <w:r>
              <w:rPr>
                <w:rFonts w:ascii="Times New Roman;Times;Serif" w:hAnsi="Times New Roman;Times;Serif"/>
                <w:b w:val="false"/>
                <w:i w:val="false"/>
                <w:caps w:val="false"/>
                <w:smallCaps w:val="false"/>
                <w:sz w:val="20"/>
              </w:rPr>
              <w:t>” above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100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0" w:type="dxa"/>
            <w:tcBorders/>
            <w:vAlign w:val="center"/>
          </w:tcPr>
          <w:p>
            <w:pPr>
              <w:pStyle w:val="TableContents"/>
              <w:bidi w:val="0"/>
              <w:spacing w:before="0" w:after="283"/>
              <w:jc w:val="left"/>
              <w:rPr>
                <w:caps w:val="false"/>
                <w:smallCaps w:val="false"/>
              </w:rPr>
            </w:pPr>
            <w:r>
              <w:rPr>
                <w:caps w:val="false"/>
                <w:smallCaps w:val="false"/>
              </w:rPr>
              <w:t> </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where the Company is required to report transactions by individuals, the Company expects full and timely cooperation by the individual.</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Exceptions for Emergency, Hardship or Other Special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respond to emergency, hardship or other special circumstances, exceptions to the prohibition against trading during black-out periods will require the approval of the Compliance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Application of Policy After Employment Terminates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subject to the black-out periods imposed by this Policy and your employment terminates during a black-out period (or if you otherwise leave while in possession of material nonpublic information), you will continue to be subject to the Policy, and specifically to the ongoing prohibition against trading, until the black-out period ends (or otherwise until the </w:t>
      </w:r>
      <w:r>
        <w:rPr>
          <w:rFonts w:ascii="Times New Roman;Times;Serif" w:hAnsi="Times New Roman;Times;Serif"/>
          <w:b/>
          <w:i w:val="false"/>
          <w:caps w:val="false"/>
          <w:smallCaps w:val="false"/>
          <w:sz w:val="20"/>
        </w:rPr>
        <w:t>close of the second full trading day</w:t>
      </w:r>
      <w:r>
        <w:rPr>
          <w:rFonts w:ascii="Times New Roman;Times;Serif" w:hAnsi="Times New Roman;Times;Serif"/>
          <w:b w:val="false"/>
          <w:i w:val="false"/>
          <w:caps w:val="false"/>
          <w:smallCaps w:val="false"/>
          <w:sz w:val="20"/>
        </w:rPr>
        <w:t xml:space="preserve"> following public announcement of the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Definitions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Black-Out Period. </w:t>
            </w:r>
            <w:r>
              <w:rPr>
                <w:rFonts w:ascii="Times New Roman;Times;Serif" w:hAnsi="Times New Roman;Times;Serif"/>
                <w:b w:val="false"/>
                <w:i w:val="false"/>
                <w:caps w:val="false"/>
                <w:smallCaps w:val="false"/>
                <w:sz w:val="20"/>
              </w:rPr>
              <w:t>During the end of each fiscal quarter and until public disclosure of the financial results for that quarter, persons subject to this Policy may possess material nonpublic information about the expected financial results for the quarter. Even if you don’t actually possess any such information, any trades by you during that period may give the appearance that you are trading on inside information. Accordingly, the Company has designated a regularly scheduled quarterly “black-out period” on trading beginning on the fifteenth day of the last month of each fiscal quarter and end upon the open of the market of the first trading day after the public release of the quarter’s earnings (i.e., a day on which the stock market is open).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caps w:val="false"/>
                <w:smallCaps w:val="false"/>
              </w:rPr>
            </w:pPr>
            <w:r>
              <w:rPr>
                <w:caps w:val="false"/>
                <w:smallCaps w:val="false"/>
              </w:rPr>
              <w:t> </w:t>
            </w:r>
          </w:p>
        </w:tc>
        <w:tc>
          <w:tcPr>
            <w:tcW w:w="100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caps w:val="false"/>
                <w:smallCaps w:val="false"/>
              </w:rPr>
            </w:pPr>
            <w:r>
              <w:rPr>
                <w:caps w:val="false"/>
                <w:smallCaps w:val="false"/>
              </w:rPr>
              <w:t> </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time to time, other types of material nonpublic information regarding BGMS (such as mergers, acquisitions, dispositions or new extraordinary product developments) may be pending and not be publicly disclosed. While such material nonpublic information is pending, BGMS may impose special blackout periods during which you are prohibited from trading in BGMS’s securities. You will be notified if BGMS imposes a special blackout period that applies to you. In addition to the regularly-scheduled black-out periods, the Company may from time to time designate other periods of time as a special black-out period (for example, if there is some development with the Company’s business that merits a suspension of trading by Company personnel). The Company may not widely announce the commencement of a special black-out period, as that information can itself be sensitive information. For this reason, it is extremely important that you adhere to the pre- clearance procedures outlined in this Policy to ensure that you do not trade during any special black-out period.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caps w:val="false"/>
                <w:smallCaps w:val="false"/>
              </w:rPr>
            </w:pPr>
            <w:r>
              <w:rPr>
                <w:caps w:val="false"/>
                <w:smallCaps w:val="false"/>
              </w:rPr>
              <w:t> </w:t>
            </w:r>
          </w:p>
        </w:tc>
        <w:tc>
          <w:tcPr>
            <w:tcW w:w="100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Trading Window. </w:t>
            </w:r>
            <w:r>
              <w:rPr>
                <w:rFonts w:ascii="Times New Roman;Times;Serif" w:hAnsi="Times New Roman;Times;Serif"/>
                <w:b w:val="false"/>
                <w:i w:val="false"/>
                <w:caps w:val="false"/>
                <w:smallCaps w:val="false"/>
                <w:sz w:val="20"/>
              </w:rPr>
              <w:t>The period outside a black-out period is referred to as the “trading window”. Trading windows that occur between the regularly-scheduled quarterly black-out periods can be “closed” by the imposition of a special black-out period if there are developments meriting a suspension of trading by Company personnel.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Periodic Reviews and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shall periodically review this Policy. Any amendments to this Policy must be approved by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Acknowledgment and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required to sign the acknowledgement and certification required by the Company.</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certify that I have read, understand and agree to comply with the Bio Green Med Solution, Inc. Insider Trading and Disclosure Policy and agree to comply with its terms. I understand that violation of insider trading or tipping laws or regulations may subject me to severe civil and/or criminal penalties, and that violation of the terms of the above-titled policy may subject me to discipline by the Company up to and including termination for cause. I agree that I will be subject to sanctions imposed by the Company, in its discretion, for violation of the Policy, and that the Company may give stop-transfer and other instructions to the Company’s transfer agent against the transfer of Company securities as necessary to ensure compliance with the Policy. I acknowledge that one of the sanctions to which I may be subject as a result of violating the Company’s policy is termination of my employment including termination for cause.</w:t>
      </w:r>
    </w:p>
    <w:p>
      <w:pPr>
        <w:pStyle w:val="TextBody"/>
        <w:bidi w:val="0"/>
        <w:spacing w:before="0" w:after="0"/>
        <w:ind w:left="0" w:right="0" w:hanging="0"/>
        <w:jc w:val="both"/>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470"/>
        <w:gridCol w:w="60"/>
        <w:gridCol w:w="60"/>
        <w:gridCol w:w="1175"/>
        <w:gridCol w:w="75"/>
      </w:tblGrid>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Printed Name:</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ATTACHMENT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SUBJECT TO BLACK-OUT PERIODS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INSIDER TRADING POLICY</w:t>
      </w:r>
    </w:p>
    <w:p>
      <w:pPr>
        <w:pStyle w:val="TextBody"/>
        <w:bidi w:val="0"/>
        <w:spacing w:before="0" w:after="0"/>
        <w:ind w:left="0" w:right="0" w:hanging="0"/>
        <w:jc w:val="both"/>
        <w:rPr>
          <w:caps w:val="false"/>
          <w:smallCaps w:val="false"/>
        </w:rPr>
      </w:pPr>
      <w:r>
        <w:rPr>
          <w:caps w:val="false"/>
          <w:smallCaps w:val="false"/>
        </w:rPr>
        <w:t> </w:t>
      </w:r>
    </w:p>
    <w:tbl>
      <w:tblPr>
        <w:tblW w:w="4885" w:type="dxa"/>
        <w:jc w:val="left"/>
        <w:tblInd w:w="0" w:type="dxa"/>
        <w:tblLayout w:type="fixed"/>
        <w:tblCellMar>
          <w:top w:w="0" w:type="dxa"/>
          <w:left w:w="0" w:type="dxa"/>
          <w:bottom w:w="28" w:type="dxa"/>
          <w:right w:w="0" w:type="dxa"/>
        </w:tblCellMar>
      </w:tblPr>
      <w:tblGrid>
        <w:gridCol w:w="3740"/>
        <w:gridCol w:w="60"/>
        <w:gridCol w:w="1085"/>
      </w:tblGrid>
      <w:tr>
        <w:trPr/>
        <w:tc>
          <w:tcPr>
            <w:tcW w:w="374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(if any)</w:t>
            </w:r>
          </w:p>
        </w:tc>
      </w:tr>
      <w:tr>
        <w:trPr/>
        <w:tc>
          <w:tcPr>
            <w:tcW w:w="37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EMPLOYEES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37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CONSULTANTS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37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CONTRACTORS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37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THE BOARD OF DIRECTORS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ATTACHMENT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SUBJECT TO SECTION 16</w:t>
      </w:r>
    </w:p>
    <w:p>
      <w:pPr>
        <w:pStyle w:val="TextBody"/>
        <w:bidi w:val="0"/>
        <w:spacing w:before="0" w:after="0"/>
        <w:ind w:left="0" w:right="0"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28" w:type="dxa"/>
          <w:right w:w="0" w:type="dxa"/>
        </w:tblCellMar>
      </w:tblPr>
      <w:tblGrid>
        <w:gridCol w:w="530"/>
        <w:gridCol w:w="60"/>
        <w:gridCol w:w="1085"/>
      </w:tblGrid>
      <w:tr>
        <w:trPr/>
        <w:tc>
          <w:tcPr>
            <w:tcW w:w="53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(if any)</w:t>
            </w:r>
          </w:p>
        </w:tc>
      </w:tr>
    </w:tbl>
    <w:p>
      <w:pPr>
        <w:pStyle w:val="TextBody"/>
        <w:bidi w:val="0"/>
        <w:spacing w:before="0" w:after="0"/>
        <w:ind w:left="0" w:right="0" w:hanging="0"/>
        <w:jc w:val="righ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968" w:name="ex23-1.htm"/>
      <w:bookmarkStart w:id="969" w:name="ksex231"/>
      <w:bookmarkEnd w:id="968"/>
      <w:bookmarkEnd w:id="96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(Nos. 333-183483, 333-205153, 333-219055, 333-226906, 333-252235, 333-266780, 333-273389, 333-281132, 333-286612 and 333-291850) on Form S-8, Registration Statement No. 333-288912 on Form S-4 and Registration Statements (Nos. 333-276623, 333-278197, 333-279157, 333-282555, 333-286754 and 333-288911) on Form S-1 of Bio Green Med Solution, Inc. of our report dated March 30, 2026, relating to the consolidated financial statements of Bio Green Med Solution, Inc. and subsidiaries, appearing in this Annual Report on Form 10-K of Bio Green Med Solution, Inc.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3200" w:type="dxa"/>
        <w:jc w:val="left"/>
        <w:tblInd w:w="0" w:type="dxa"/>
        <w:tblLayout w:type="fixed"/>
        <w:tblCellMar>
          <w:top w:w="0" w:type="dxa"/>
          <w:left w:w="0" w:type="dxa"/>
          <w:bottom w:w="0" w:type="dxa"/>
          <w:right w:w="0" w:type="dxa"/>
        </w:tblCellMar>
      </w:tblPr>
      <w:tblGrid>
        <w:gridCol w:w="3125"/>
        <w:gridCol w:w="75"/>
      </w:tblGrid>
      <w:tr>
        <w:trPr/>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SFAI Malaysia Plt. (PCAOB: 7167)</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2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Kuala Lumpur, Malaysia</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30, 2026</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970" w:name="ex31-1.htm"/>
      <w:bookmarkStart w:id="971" w:name="ksex311"/>
      <w:bookmarkEnd w:id="970"/>
      <w:bookmarkEnd w:id="97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 PURSUANT TO SECTION 302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Datuk Dr. Doris Wong Sing Ee, certify that:</w:t>
      </w:r>
    </w:p>
    <w:p>
      <w:pPr>
        <w:pStyle w:val="TextBody"/>
        <w:bidi w:val="0"/>
        <w:spacing w:before="0" w:after="0"/>
        <w:ind w:left="0" w:right="0" w:hanging="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185"/>
        <w:gridCol w:w="917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report on Form 10-K for the year ended December 31, 2025 of Bio Green Med Solution,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7"/>
        <w:gridCol w:w="999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3020" w:type="dxa"/>
        <w:jc w:val="left"/>
        <w:tblInd w:w="0" w:type="dxa"/>
        <w:tblLayout w:type="fixed"/>
        <w:tblCellMar>
          <w:top w:w="0" w:type="dxa"/>
          <w:left w:w="0" w:type="dxa"/>
          <w:bottom w:w="0" w:type="dxa"/>
          <w:right w:w="0" w:type="dxa"/>
        </w:tblCellMar>
      </w:tblPr>
      <w:tblGrid>
        <w:gridCol w:w="2945"/>
        <w:gridCol w:w="75"/>
      </w:tblGrid>
      <w:tr>
        <w:trPr/>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2026</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4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Datuk Dr. Doris Wong Sing Ee</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 Sing Ee</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4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Chief Executive Officer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972" w:name="ex31-2.htm"/>
      <w:bookmarkStart w:id="973" w:name="ksex312"/>
      <w:bookmarkEnd w:id="972"/>
      <w:bookmarkEnd w:id="97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 PURSUANT TO SECTION 302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Kiu Cu Seng, certify that:</w:t>
      </w:r>
    </w:p>
    <w:p>
      <w:pPr>
        <w:pStyle w:val="TextBody"/>
        <w:bidi w:val="0"/>
        <w:spacing w:before="0" w:after="0"/>
        <w:ind w:left="0" w:right="0" w:hanging="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185"/>
        <w:gridCol w:w="917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report on Form 10-K for the year ended December 31, 2025 of Bio Green Med Solution,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7"/>
        <w:gridCol w:w="999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3110" w:type="dxa"/>
        <w:jc w:val="left"/>
        <w:tblInd w:w="0" w:type="dxa"/>
        <w:tblLayout w:type="fixed"/>
        <w:tblCellMar>
          <w:top w:w="0" w:type="dxa"/>
          <w:left w:w="0" w:type="dxa"/>
          <w:bottom w:w="0" w:type="dxa"/>
          <w:right w:w="0" w:type="dxa"/>
        </w:tblCellMar>
      </w:tblPr>
      <w:tblGrid>
        <w:gridCol w:w="3035"/>
        <w:gridCol w:w="75"/>
      </w:tblGrid>
      <w:tr>
        <w:trPr/>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2026</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03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03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Kiu Cu Seng</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035"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Secretary</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974" w:name="ex32-1.htm"/>
      <w:bookmarkStart w:id="975" w:name="ksex321"/>
      <w:bookmarkEnd w:id="974"/>
      <w:bookmarkEnd w:id="97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UNDER SECTION 906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906 of the Sarbanes-Oxley Act of 2002 (of subsections (a) and (b) of section 1350, chapter 63 of title 18, United States Code), the undersigned officer of Bio Green Med Solution, Inc. (the “Company”) hereby certifies, to such officer’s knowledge,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Report on Form 10-K of the Company for the year ended December 31, 2025 (the “Report”) fully complies with the requirements of Section 13(a) or Section 15(d), as applicable, of the Securities Exchange Act of 1934, as amended;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1805"/>
        <w:gridCol w:w="2945"/>
      </w:tblGrid>
      <w:tr>
        <w:trPr/>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2026</w:t>
            </w:r>
          </w:p>
        </w:tc>
        <w:tc>
          <w:tcPr>
            <w:tcW w:w="294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Datuk Dr. Doris Wong Sing Ee</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2945" w:type="dxa"/>
            <w:tcBorders>
              <w:top w:val="single" w:sz="8" w:space="0" w:color="000000"/>
            </w:tcBorders>
            <w:tcMar>
              <w:top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Datuk Dr. Doris Wong Sing Ee</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2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&amp; 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976" w:name="ex32-2.htm"/>
      <w:bookmarkStart w:id="977" w:name="ksex322"/>
      <w:bookmarkEnd w:id="976"/>
      <w:bookmarkEnd w:id="97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UNDER SECTION 906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906 of the Sarbanes-Oxley Act of 2002 (of subsections (a) and (b) of section 1350, chapter 63 of title 18, United States Code), the undersigned officer of Bio Green Med Solution, Inc. (the “Company”) hereby certifies, to such officer’s knowledge,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8"/>
        <w:gridCol w:w="996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Report on Form 10-K of the Company for the year ended December 31, 2025 (the “Report”) fully complies with the requirements of Section 13(a) or Section 15(d), as applicable, of the Securities Exchange Act of 1934, as amended;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805"/>
        <w:gridCol w:w="4715"/>
      </w:tblGrid>
      <w:tr>
        <w:trPr/>
        <w:tc>
          <w:tcPr>
            <w:tcW w:w="1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2026</w:t>
            </w:r>
          </w:p>
        </w:tc>
        <w:tc>
          <w:tcPr>
            <w:tcW w:w="471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Kiu Cu Seng</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715" w:type="dxa"/>
            <w:tcBorders>
              <w:top w:val="single" w:sz="8" w:space="0" w:color="000000"/>
            </w:tcBorders>
            <w:tcMar>
              <w:top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Kiu Cu Seng</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&amp; Secretary, Principal Accounting</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978" w:name="ex97-1.htm"/>
      <w:bookmarkStart w:id="979" w:name="ksex971"/>
      <w:bookmarkEnd w:id="978"/>
      <w:bookmarkEnd w:id="97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97.1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AMENDED AND RESTATED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 GREEN MED SOLUTION, INC.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bidi w:val="0"/>
        <w:spacing w:before="0" w:after="0"/>
        <w:ind w:left="0" w:right="0" w:hanging="0"/>
        <w:jc w:val="both"/>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155"/>
        <w:gridCol w:w="1100"/>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r>
          </w:p>
        </w:tc>
        <w:tc>
          <w:tcPr>
            <w:tcW w:w="110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Introduction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Bio Green Med Solution,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believes that it is in the best interests of the Company and its shareholders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Times;Serif" w:hAnsi="Times New Roman;Times;Serif"/>
          <w:b/>
          <w:i w:val="false"/>
          <w:caps w:val="false"/>
          <w:smallCaps w:val="false"/>
          <w:sz w:val="20"/>
        </w:rPr>
        <w:t>Policy</w:t>
      </w:r>
      <w:r>
        <w:rPr>
          <w:rFonts w:ascii="Times New Roman;Times;Serif" w:hAnsi="Times New Roman;Times;Serif"/>
          <w:b w:val="false"/>
          <w:i w:val="false"/>
          <w:caps w:val="false"/>
          <w:smallCaps w:val="false"/>
          <w:sz w:val="20"/>
        </w:rPr>
        <w:t>”). This Policy is designed to comply with Section 10D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as well as Nasdaq Listing Rule 5608 (the “Listing Standard”) and Section 304 of the Sarbanes-Oxley Act of 2002, and provides for the recoupment of certain compensation from Covered Executives in the event of a Restatement or Improper Conduct (each, as defined herein).</w:t>
      </w:r>
    </w:p>
    <w:p>
      <w:pPr>
        <w:pStyle w:val="TextBody"/>
        <w:bidi w:val="0"/>
        <w:spacing w:before="0" w:after="0"/>
        <w:ind w:left="0" w:right="0" w:hanging="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30"/>
        <w:gridCol w:w="1325"/>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w:t>
            </w:r>
          </w:p>
        </w:tc>
        <w:tc>
          <w:tcPr>
            <w:tcW w:w="132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Administration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administered by the Board or, if so designated by the Board, the Compensation Committee of the Board, in which case references herein to the Board shall be deemed references to the Compensation Committee. Any determinations made by the Board shall be final and binding on all affected individuals.</w:t>
      </w:r>
    </w:p>
    <w:p>
      <w:pPr>
        <w:pStyle w:val="TextBody"/>
        <w:bidi w:val="0"/>
        <w:spacing w:before="0" w:after="0"/>
        <w:ind w:left="0" w:right="0" w:hanging="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305"/>
        <w:gridCol w:w="1715"/>
      </w:tblGrid>
      <w:tr>
        <w:trPr/>
        <w:tc>
          <w:tcPr>
            <w:tcW w:w="3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w:t>
            </w:r>
          </w:p>
        </w:tc>
        <w:tc>
          <w:tcPr>
            <w:tcW w:w="171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Covered Executives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the Company’s current and former executive officers, as determined by the Board in accordance with the requirements of Section 10D of the Exchange Act and any applicable rules or standards adopted by the SEC and any national securities exchange on which the Company’s securities are listed, and such other employees who may from time to time be deemed subject to the Policy by the Board (“</w:t>
      </w:r>
      <w:r>
        <w:rPr>
          <w:rFonts w:ascii="Times New Roman;Times;Serif" w:hAnsi="Times New Roman;Times;Serif"/>
          <w:b/>
          <w:i w:val="false"/>
          <w:caps w:val="false"/>
          <w:smallCaps w:val="false"/>
          <w:sz w:val="20"/>
        </w:rPr>
        <w:t>Covered Executives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290"/>
        <w:gridCol w:w="2645"/>
      </w:tblGrid>
      <w:tr>
        <w:trPr/>
        <w:tc>
          <w:tcPr>
            <w:tcW w:w="2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w:t>
            </w:r>
          </w:p>
        </w:tc>
        <w:tc>
          <w:tcPr>
            <w:tcW w:w="264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Incentive-Based 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Policy, incentive-based compensation (“</w:t>
      </w:r>
      <w:r>
        <w:rPr>
          <w:rFonts w:ascii="Times New Roman;Times;Serif" w:hAnsi="Times New Roman;Times;Serif"/>
          <w:b/>
          <w:i w:val="false"/>
          <w:caps w:val="false"/>
          <w:smallCaps w:val="false"/>
          <w:sz w:val="20"/>
        </w:rPr>
        <w:t>Incentive-Based Compensation</w:t>
      </w:r>
      <w:r>
        <w:rPr>
          <w:rFonts w:ascii="Times New Roman;Times;Serif" w:hAnsi="Times New Roman;Times;Serif"/>
          <w:b w:val="false"/>
          <w:i w:val="false"/>
          <w:caps w:val="false"/>
          <w:smallCaps w:val="false"/>
          <w:sz w:val="20"/>
        </w:rPr>
        <w:t>”) includes any compensation that is granted, earned, or vested based wholly or in part upon the attainment of any financial reporting measures that are determined and presented in accordance with the accounting principles (“</w:t>
      </w:r>
      <w:r>
        <w:rPr>
          <w:rFonts w:ascii="Times New Roman;Times;Serif" w:hAnsi="Times New Roman;Times;Serif"/>
          <w:b/>
          <w:i w:val="false"/>
          <w:caps w:val="false"/>
          <w:smallCaps w:val="false"/>
          <w:sz w:val="20"/>
        </w:rPr>
        <w:t>GAAP Measures</w:t>
      </w:r>
      <w:r>
        <w:rPr>
          <w:rFonts w:ascii="Times New Roman;Times;Serif" w:hAnsi="Times New Roman;Times;Serif"/>
          <w:b w:val="false"/>
          <w:i w:val="false"/>
          <w:caps w:val="false"/>
          <w:smallCaps w:val="false"/>
          <w:sz w:val="20"/>
        </w:rPr>
        <w:t>”) used in preparing the Company’s financial statements and any measures derived wholly or in part from such measures, as well as non-GAAP Measures, stock price, and total shareholder return (collectively, “</w:t>
      </w:r>
      <w:r>
        <w:rPr>
          <w:rFonts w:ascii="Times New Roman;Times;Serif" w:hAnsi="Times New Roman;Times;Serif"/>
          <w:b/>
          <w:i w:val="false"/>
          <w:caps w:val="false"/>
          <w:smallCaps w:val="false"/>
          <w:sz w:val="20"/>
        </w:rPr>
        <w:t>Financial Reporting Measures</w:t>
      </w:r>
      <w:r>
        <w:rPr>
          <w:rFonts w:ascii="Times New Roman;Times;Serif" w:hAnsi="Times New Roman;Times;Serif"/>
          <w:b w:val="false"/>
          <w:i w:val="false"/>
          <w:caps w:val="false"/>
          <w:smallCaps w:val="false"/>
          <w:sz w:val="20"/>
        </w:rPr>
        <w:t>”); however, it does not include: (i) base salaries; (ii) discretionary cash bonuses; (iii) awards (either cash or equity) that are solely based upon subjective, strategic or operational standards or standards unrelated to Financial Reporting Measures, and (iv) equity awards that vest solely on completion of a specified employment period or without any performance condition. Incentive-Based Compensation is considered received in the fiscal period during which the applicable reporting measure is attained, even if the payment or grant of such award occurs after the end of that period. If an award is subject to both time-based and performance-based vesting conditions, the award is considered received upon satisfaction of the performance-based conditions, even if such an award continues to be subject to the time-based vesting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Policy, Incentive-Based Compensation may include, among other things, any of the following:</w:t>
      </w:r>
    </w:p>
    <w:p>
      <w:pPr>
        <w:pStyle w:val="TextBody"/>
        <w:bidi w:val="0"/>
        <w:spacing w:before="0" w:after="0"/>
        <w:ind w:left="0" w:right="0" w:hanging="0"/>
        <w:jc w:val="both"/>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75"/>
        <w:gridCol w:w="170"/>
        <w:gridCol w:w="5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bonuses and other short- and long-term cash incentives.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appreciation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or restricted stock units.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shares or performance units.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Policy, Financial Reporting Measures may include, among other things, any of the following:</w:t>
      </w:r>
    </w:p>
    <w:p>
      <w:pPr>
        <w:pStyle w:val="TextBody"/>
        <w:bidi w:val="0"/>
        <w:spacing w:before="0" w:after="0"/>
        <w:ind w:left="0" w:right="0" w:hanging="0"/>
        <w:jc w:val="both"/>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170"/>
        <w:gridCol w:w="5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stock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 return.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before interest, taxes, depreciation, and amortization (EBITDA).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 from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measures such as working capital or operating cash flow.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Return measures such as return on invested capital or return on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measures such as earnings per share.</w:t>
            </w:r>
          </w:p>
        </w:tc>
      </w:tr>
    </w:tbl>
    <w:p>
      <w:pPr>
        <w:pStyle w:val="TextBody"/>
        <w:bidi w:val="0"/>
        <w:spacing w:before="0" w:after="0"/>
        <w:ind w:left="0" w:right="0" w:hanging="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215"/>
        <w:gridCol w:w="323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w:t>
            </w:r>
          </w:p>
        </w:tc>
        <w:tc>
          <w:tcPr>
            <w:tcW w:w="323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Recoupment; Accounting Restatement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is required to prepare an accounting restatement of its financial statements due to the Company’s material noncompliance with any financial reporting requirement under U.S. securities laws (a “</w:t>
      </w:r>
      <w:r>
        <w:rPr>
          <w:rFonts w:ascii="Times New Roman;Times;Serif" w:hAnsi="Times New Roman;Times;Serif"/>
          <w:b/>
          <w:i w:val="false"/>
          <w:caps w:val="false"/>
          <w:smallCaps w:val="false"/>
          <w:sz w:val="20"/>
        </w:rPr>
        <w:t>Restatement</w:t>
      </w:r>
      <w:r>
        <w:rPr>
          <w:rFonts w:ascii="Times New Roman;Times;Serif" w:hAnsi="Times New Roman;Times;Serif"/>
          <w:b w:val="false"/>
          <w:i w:val="false"/>
          <w:caps w:val="false"/>
          <w:smallCaps w:val="false"/>
          <w:sz w:val="20"/>
        </w:rPr>
        <w:t>”), including any required accounting restatement to correct an error in previously issued financial statements that (i) is material to the previously issued financial statements or (ii) is not material to previously issued financial statements, but that would result in a material misstatement if the error were corrected in the current period or left uncorrected in the current period, the Board will require reimbursement or forfeiture of any excess Incentive-Based Compensation received by any Covered Executive during the three completed fiscal years immediately preceding the date on which the Company is required to prepare the accounting restatement (the “</w:t>
      </w:r>
      <w:r>
        <w:rPr>
          <w:rFonts w:ascii="Times New Roman;Times;Serif" w:hAnsi="Times New Roman;Times;Serif"/>
          <w:b/>
          <w:i w:val="false"/>
          <w:caps w:val="false"/>
          <w:smallCaps w:val="false"/>
          <w:sz w:val="20"/>
        </w:rPr>
        <w:t>Look-Back Period</w:t>
      </w:r>
      <w:r>
        <w:rPr>
          <w:rFonts w:ascii="Times New Roman;Times;Serif" w:hAnsi="Times New Roman;Times;Serif"/>
          <w:b w:val="false"/>
          <w:i w:val="false"/>
          <w:caps w:val="false"/>
          <w:smallCaps w:val="false"/>
          <w:sz w:val="20"/>
        </w:rPr>
        <w:t>”). For the purposes of this Policy, the date on which the Company is required to prepare an accounting restatement is the earlier of (i) the date the Board concludes or reasonably should have concluded that the Company is required to prepare a restatement to correct a material error, and (ii) the date a court, regulator, or other legally authorized body directs the Company to restate its previously issued financial statements to correct a material error. The Company’s obligation to recover erroneously awarded compensation is not dependent on if or when the restated financial statements are filed.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person who is or was a Covered Executive has engaged in Improper Conduct during the Look-Back Period that either has resulted in, or could reasonably be expected to result in, an Adverse Effect, then the Board shall recover all or any portion of the recoverable Incentive-Based Compensation paid to any such Covered Executive during the Applicable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Adverse Effect</w:t>
      </w:r>
      <w:r>
        <w:rPr>
          <w:rFonts w:ascii="Times New Roman;Times;Serif" w:hAnsi="Times New Roman;Times;Serif"/>
          <w:b w:val="false"/>
          <w:i w:val="false"/>
          <w:caps w:val="false"/>
          <w:smallCaps w:val="false"/>
          <w:sz w:val="20"/>
        </w:rPr>
        <w:t>” means any significant adverse impact on the reputation of, or a significant adverse economic consequence for,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Period</w:t>
      </w:r>
      <w:r>
        <w:rPr>
          <w:rFonts w:ascii="Times New Roman;Times;Serif" w:hAnsi="Times New Roman;Times;Serif"/>
          <w:b w:val="false"/>
          <w:i w:val="false"/>
          <w:caps w:val="false"/>
          <w:smallCaps w:val="false"/>
          <w:sz w:val="20"/>
        </w:rPr>
        <w:t>” means (i) in the case of any Restatement, the three-year period preceding the date on which the Company is required to prepare the Restatement and (ii) in the case of any Improper Conduct, the three-year period preceding the date of the Improper Conduct, as determined by the Board. The date on which the Company is required to prepare a Restatement is the earlier to occur of (1) the date the Board concludes, or reasonably should have concluded, that the Company is required to prepare a Restatement or (2) the date a court, regulator or other legally authorized body directs the Company to prepare a Restatement, in each case regardless of if or when the restated financial statements are filed.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Improper Conduct</w:t>
      </w:r>
      <w:r>
        <w:rPr>
          <w:rFonts w:ascii="Times New Roman;Times;Serif" w:hAnsi="Times New Roman;Times;Serif"/>
          <w:b w:val="false"/>
          <w:i w:val="false"/>
          <w:caps w:val="false"/>
          <w:smallCaps w:val="false"/>
          <w:sz w:val="20"/>
        </w:rPr>
        <w:t>” means a Covered Executive’s willful misconduct (including, but not limited to, fraud, bribery or other illegal acts) or gross negligence, which, in either case, includes any failure to report properly, or to take appropriate remedial action with respect to, such misconduct or gross negligence by another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Recovery of the Incentive-Based Compensation is only required when the excess award is received by a Covered Executive (i) after the beginning of their service as a Covered Executive, (ii) who served as an executive officer at any time during the performance period for that Incentive-Based Compensation, (iii) while the Company has a class of securities listed on a national securities exchange or a national securities association, and (iv) during the Look-Back Period immediately preceding the date on which the Company is required to prepare an accounting restatement.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290"/>
        <w:gridCol w:w="519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w:t>
            </w:r>
          </w:p>
        </w:tc>
        <w:tc>
          <w:tcPr>
            <w:tcW w:w="519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Excess Incentive Compensation: Amount Subject to Recovery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Incentive-Based Compensation subject to recovery is the amount the Covered Executive received in excess of the amount of Incentive-Based Compensation that would have been paid to the Covered Executive had it been based on the restated financial statements, as determined by the Board. The amount subject to recovery will be calculated on a pre-tax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Incentive-Based Compensation received as cash awards, the erroneously awarded compensation is the difference between the amount of the cash award that was received (whether payable in a lump sum or over time) and the amount that should have been received applying the restated Financial Reporting Measure. For cash awards paid from bonus pools, the erroneously awarded Incentive-Based Compensation is the pro rata portion of any deficiency that results from the aggregate bonus pool that is reduced based on applying the restated Financial Reporting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Incentive-Based Compensation received as equity awards that are still held at the time of recovery, the amount subject to recovery is the number of shares or other equity awards received or vested in excess of the number that should have been received or vested applying the restated Financial Reporting Measure. If the equity award has been exercised, but the underlying shares have not been sold, the erroneously awarded compensation is the number of shares underlying the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instances where the Company is not able to determine the amount of erroneously awarded Incentive-Based Compensation directly from the information in the accounting restatement, the amount will be based on the Company’s reasonable estimate of the effect of the accounting restatement on the applicable measure. In such instances, the Company will maintain documentation of the determination of that reasonable estimate.</w:t>
      </w:r>
    </w:p>
    <w:p>
      <w:pPr>
        <w:pStyle w:val="TextBody"/>
        <w:bidi w:val="0"/>
        <w:spacing w:before="0" w:after="0"/>
        <w:ind w:left="0" w:right="0" w:hanging="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365"/>
        <w:gridCol w:w="1985"/>
      </w:tblGrid>
      <w:tr>
        <w:trPr/>
        <w:tc>
          <w:tcPr>
            <w:tcW w:w="3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VII.</w:t>
            </w:r>
          </w:p>
        </w:tc>
        <w:tc>
          <w:tcPr>
            <w:tcW w:w="198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Method of Recoupment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will determine, in its sole discretion, subject to applicable law, the method for recouping Incentive-Based Compensation hereunder, which may include, without limitation: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reimbursement of cash Incentive-Based Compensation previously paid;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seeking recovery of any gain realized on the vesting, exercise, settlement, sale, transfer, or other disposition of any equity-based awards;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offsetting the recouped amount from any compensation otherwise owed by the Company to the Covered Executive;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cancelling outstanding vested or unvested equity awards; and/or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any other remedial and recovery action permitted by law, as determined by the Board.</w:t>
            </w:r>
          </w:p>
        </w:tc>
      </w:tr>
    </w:tbl>
    <w:p>
      <w:pPr>
        <w:pStyle w:val="TextBody"/>
        <w:bidi w:val="0"/>
        <w:spacing w:before="0" w:after="0"/>
        <w:ind w:left="0" w:right="0" w:hanging="0"/>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440"/>
        <w:gridCol w:w="2675"/>
      </w:tblGrid>
      <w:tr>
        <w:trPr/>
        <w:tc>
          <w:tcPr>
            <w:tcW w:w="4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VIII.</w:t>
            </w:r>
          </w:p>
        </w:tc>
        <w:tc>
          <w:tcPr>
            <w:tcW w:w="267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Indemnification; Successors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indemnify any Covered Executives against the loss of any incorrectly awarded Incentive-Based Compensation. This Policy shall be binding and enforceable against all Covered Executives and their beneficiaries, heirs, executors, administrators or other legal representatives.</w:t>
      </w:r>
    </w:p>
    <w:p>
      <w:pPr>
        <w:pStyle w:val="TextBody"/>
        <w:bidi w:val="0"/>
        <w:spacing w:before="0" w:after="0"/>
        <w:ind w:left="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290"/>
        <w:gridCol w:w="224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IX.</w:t>
            </w:r>
          </w:p>
        </w:tc>
        <w:tc>
          <w:tcPr>
            <w:tcW w:w="224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Exception to Enforcement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recover any excess Incentive-Based Compensation in accordance with this Policy unless such recovery would be impracticable, as determined by the Board in accordance with Rule 10D-1 of the Exchange Act and any applicable rules or standards adopted by the SEC and the listing standards of any national securities exchange on which the Company’s securities are listed.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215"/>
        <w:gridCol w:w="123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t>
            </w:r>
          </w:p>
        </w:tc>
        <w:tc>
          <w:tcPr>
            <w:tcW w:w="123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Interpretation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and any national securities exchange on which the Company’s securities are listed.</w:t>
      </w:r>
    </w:p>
    <w:p>
      <w:pPr>
        <w:pStyle w:val="TextBody"/>
        <w:bidi w:val="0"/>
        <w:spacing w:before="0" w:after="0"/>
        <w:ind w:left="0" w:right="0" w:hanging="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290"/>
        <w:gridCol w:w="122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w:t>
            </w:r>
          </w:p>
        </w:tc>
        <w:tc>
          <w:tcPr>
            <w:tcW w:w="122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Effective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effective as of the date it is adopted by the Board as of October 2, 2023, as amended on March 25, 2026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and shall apply to Incentive-Based Compensation that is received by a Covered Executive on or after that date, as determined by the Board in accordance with applicable rules or standards adopted by the SEC and the listing standards of any national securities exchange on which the Company’s securities are listed.</w:t>
      </w:r>
    </w:p>
    <w:p>
      <w:pPr>
        <w:pStyle w:val="TextBody"/>
        <w:bidi w:val="0"/>
        <w:spacing w:before="0" w:after="0"/>
        <w:ind w:left="0" w:right="0" w:hanging="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365"/>
        <w:gridCol w:w="2240"/>
      </w:tblGrid>
      <w:tr>
        <w:trPr/>
        <w:tc>
          <w:tcPr>
            <w:tcW w:w="3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XII.</w:t>
            </w:r>
          </w:p>
        </w:tc>
        <w:tc>
          <w:tcPr>
            <w:tcW w:w="224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Amendment; Termination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amend this Policy from time to time in its discretion and shall amend this Policy as it deems necessary to comply with any rules or standards adopted by the SEC and the listing standards of any national securities exchange on which the Company’s securities are listed. The Board may terminate this Policy at any time.</w:t>
      </w:r>
    </w:p>
    <w:p>
      <w:pPr>
        <w:pStyle w:val="TextBody"/>
        <w:bidi w:val="0"/>
        <w:spacing w:before="0" w:after="0"/>
        <w:ind w:left="0" w:right="0" w:hanging="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440"/>
        <w:gridCol w:w="2210"/>
      </w:tblGrid>
      <w:tr>
        <w:trPr/>
        <w:tc>
          <w:tcPr>
            <w:tcW w:w="4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XIII.</w:t>
            </w:r>
          </w:p>
        </w:tc>
        <w:tc>
          <w:tcPr>
            <w:tcW w:w="221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Other Recoupment Rights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pStyle w:val="TextBody"/>
        <w:bidi w:val="0"/>
        <w:spacing w:before="0" w:after="0"/>
        <w:ind w:left="0" w:right="0" w:hanging="0"/>
        <w:jc w:val="both"/>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425"/>
        <w:gridCol w:w="920"/>
      </w:tblGrid>
      <w:tr>
        <w:trPr/>
        <w:tc>
          <w:tcPr>
            <w:tcW w:w="4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XIV.</w:t>
            </w:r>
          </w:p>
        </w:tc>
        <w:tc>
          <w:tcPr>
            <w:tcW w:w="920"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Disclosure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disclose to its shareholders not later than the filing of the next following proxy statement the actions taken or the decision not to take action with regard to recovery or non-recovery, as the case may be, of recoverable Incentive-Based Compensation (including reporting the aggregate amounts recovered) related to any Restatement or to any Improper Conduct, so long as such event has been previously disclosed in the Company’s filings with the SEC.</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283"/>
        <w:ind w:left="0" w:right="0" w:hanging="0"/>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hyperlink" Target="https://www.sec.gov/Archives/edgar/data/1130166/000182912625001770/cyclacel_ex2-1.htm" TargetMode="External"/><Relationship Id="rId20" Type="http://schemas.openxmlformats.org/officeDocument/2006/relationships/hyperlink" Target="https://www.sec.gov/Archives/edgar/data/1130166/000110465913026207/a13-1449_1ex3d1.htm" TargetMode="External"/><Relationship Id="rId21" Type="http://schemas.openxmlformats.org/officeDocument/2006/relationships/hyperlink" Target="https://www.sec.gov/Archives/edgar/data/1130166/000164117225008836/ex2-1.htm" TargetMode="External"/><Relationship Id="rId22" Type="http://schemas.openxmlformats.org/officeDocument/2006/relationships/hyperlink" Target="https://www.sec.gov/Archives/edgar/data/1130166/000164117225017906/ex2-1.htm" TargetMode="External"/><Relationship Id="rId23" Type="http://schemas.openxmlformats.org/officeDocument/2006/relationships/hyperlink" Target="https://www.sec.gov/Archives/edgar/data/1130166/000149315225017223/ex2-1.htm" TargetMode="External"/><Relationship Id="rId24" Type="http://schemas.openxmlformats.org/officeDocument/2006/relationships/hyperlink" Target="https://www.sec.gov/Archives/edgar/data/1130166/000157104916015620/t1601433_ex3-1.htm" TargetMode="External"/><Relationship Id="rId25" Type="http://schemas.openxmlformats.org/officeDocument/2006/relationships/hyperlink" Target="https://www.sec.gov/Archives/edgar/data/1130166/000110465920046360/tm2015825d1_ex3-1.htm" TargetMode="External"/><Relationship Id="rId26" Type="http://schemas.openxmlformats.org/officeDocument/2006/relationships/hyperlink" Target="https://www.sec.gov/Archives/edgar/data/1130166/000110465924005261/tm243656d1_ex3-4.htm" TargetMode="External"/><Relationship Id="rId27" Type="http://schemas.openxmlformats.org/officeDocument/2006/relationships/hyperlink" Target="https://www.sec.gov/Archives/edgar/data/1130166/000110465924005261/tm243656d1_ex3-5.htm" TargetMode="External"/><Relationship Id="rId28" Type="http://schemas.openxmlformats.org/officeDocument/2006/relationships/hyperlink" Target="https://www.sec.gov/Archives/edgar/data/1130166/000110465920058082/tm2018924d1_ex3-01.htm" TargetMode="External"/><Relationship Id="rId29" Type="http://schemas.openxmlformats.org/officeDocument/2006/relationships/hyperlink" Target="https://www.sec.gov/Archives/edgar/data/1130166/000110465923115233/tm2330094d1_ex3-1.htm" TargetMode="External"/><Relationship Id="rId30" Type="http://schemas.openxmlformats.org/officeDocument/2006/relationships/hyperlink" Target="https://www.sec.gov/Archives/edgar/data/1130166/000119312504186583/dex32.htm" TargetMode="External"/><Relationship Id="rId31" Type="http://schemas.openxmlformats.org/officeDocument/2006/relationships/hyperlink" Target="https://www.sec.gov/Archives/edgar/data/1130166/000157104917006728/t1702095_ex3-5.htm" TargetMode="External"/><Relationship Id="rId32" Type="http://schemas.openxmlformats.org/officeDocument/2006/relationships/hyperlink" Target="https://www.sec.gov/Archives/edgar/data/1130166/000110465920138563/tm2039082d1_ex3-1.htm" TargetMode="External"/><Relationship Id="rId33" Type="http://schemas.openxmlformats.org/officeDocument/2006/relationships/hyperlink" Target="https://www.sec.gov/Archives/edgar/data/1130166/000110465925001087/tm251961d1_ex3-1.htm" TargetMode="External"/><Relationship Id="rId34" Type="http://schemas.openxmlformats.org/officeDocument/2006/relationships/hyperlink" Target="https://www.sec.gov/Archives/edgar/data/1130166/000110465925001087/tm251961d1_ex3-2.htm" TargetMode="External"/><Relationship Id="rId35" Type="http://schemas.openxmlformats.org/officeDocument/2006/relationships/hyperlink" Target="https://www.sec.gov/Archives/edgar/data/1130166/000182912625000905/cyclacel_ex3-2.htm" TargetMode="External"/><Relationship Id="rId36" Type="http://schemas.openxmlformats.org/officeDocument/2006/relationships/hyperlink" Target="https://www.sec.gov/Archives/edgar/data/1130166/000182912625000905/cyclacel_ex3-4.htm" TargetMode="External"/><Relationship Id="rId37" Type="http://schemas.openxmlformats.org/officeDocument/2006/relationships/hyperlink" Target="https://www.sec.gov/Archives/edgar/data/1130166/000182912625000905/cyclacel_ex3-5.htm" TargetMode="External"/><Relationship Id="rId38" Type="http://schemas.openxmlformats.org/officeDocument/2006/relationships/hyperlink" Target="https://www.sec.gov/Archives/edgar/data/1130166/000182912625002001/cyclacel_ex3-1.htm" TargetMode="External"/><Relationship Id="rId39" Type="http://schemas.openxmlformats.org/officeDocument/2006/relationships/hyperlink" Target="https://www.sec.gov/Archives/edgar/data/1130166/000164117225006201/ex3-1.htm" TargetMode="External"/><Relationship Id="rId40" Type="http://schemas.openxmlformats.org/officeDocument/2006/relationships/hyperlink" Target="https://www.sec.gov/Archives/edgar/data/1130166/000164117225006201/ex3-2.htm" TargetMode="External"/><Relationship Id="rId41" Type="http://schemas.openxmlformats.org/officeDocument/2006/relationships/hyperlink" Target="https://www.sec.gov/Archives/edgar/data/1130166/000164117225008988/ex3-1.htm" TargetMode="External"/><Relationship Id="rId42" Type="http://schemas.openxmlformats.org/officeDocument/2006/relationships/hyperlink" Target="https://www.sec.gov/Archives/edgar/data/1130166/000164117225015874/ex3-1.htm" TargetMode="External"/><Relationship Id="rId43" Type="http://schemas.openxmlformats.org/officeDocument/2006/relationships/hyperlink" Target="https://www.sec.gov/Archives/edgar/data/1130166/000164117225017479/ex3-1.htm" TargetMode="External"/><Relationship Id="rId44" Type="http://schemas.openxmlformats.org/officeDocument/2006/relationships/hyperlink" Target="https://www.sec.gov/Archives/edgar/data/1130166/000164117225021159/ex3-1.htm" TargetMode="External"/><Relationship Id="rId45" Type="http://schemas.openxmlformats.org/officeDocument/2006/relationships/hyperlink" Target="https://www.sec.gov/Archives/edgar/data/1130166/000149315225013123/ex3-1.htm" TargetMode="External"/><Relationship Id="rId46" Type="http://schemas.openxmlformats.org/officeDocument/2006/relationships/hyperlink" Target="https://www.sec.gov/Archives/edgar/data/1130166/000119312504023989/dex41.htm" TargetMode="External"/><Relationship Id="rId47" Type="http://schemas.openxmlformats.org/officeDocument/2006/relationships/hyperlink" Target="https://www.sec.gov/Archives/edgar/data/1130166/000119312504174775/dex32.htm" TargetMode="External"/><Relationship Id="rId48" Type="http://schemas.openxmlformats.org/officeDocument/2006/relationships/hyperlink" Target="https://www.sec.gov/Archives/edgar/data/1130166/000095012311063684/c19538exv4w1.htm" TargetMode="External"/><Relationship Id="rId49" Type="http://schemas.openxmlformats.org/officeDocument/2006/relationships/hyperlink" Target="https://www.sec.gov/Archives/edgar/data/1130166/000110465912084453/a12-29566_1ex4d1.htm" TargetMode="External"/><Relationship Id="rId50" Type="http://schemas.openxmlformats.org/officeDocument/2006/relationships/hyperlink" Target="https://www.sec.gov/Archives/edgar/data/1130166/000110465913084900/a13-19747_1ex4d1.htm" TargetMode="External"/><Relationship Id="rId51" Type="http://schemas.openxmlformats.org/officeDocument/2006/relationships/hyperlink" Target="https://www.sec.gov/Archives/edgar/data/1130166/000157104917006728/t1702095_ex4-3.htm" TargetMode="External"/><Relationship Id="rId52" Type="http://schemas.openxmlformats.org/officeDocument/2006/relationships/hyperlink" Target="https://www.sec.gov/Archives/edgar/data/1130166/000110465920051033/tm2016791d1_ex4-1.htm" TargetMode="External"/><Relationship Id="rId53" Type="http://schemas.openxmlformats.org/officeDocument/2006/relationships/hyperlink" Target="https://www.sec.gov/Archives/edgar/data/1130166/000110465920051033/tm2016791d1_ex4-1.htm" TargetMode="External"/><Relationship Id="rId54" Type="http://schemas.openxmlformats.org/officeDocument/2006/relationships/hyperlink" Target="https://www.sec.gov/Archives/edgar/data/1130166/000110465920138563/tm2039082d1_ex4-1.htm" TargetMode="External"/><Relationship Id="rId55" Type="http://schemas.openxmlformats.org/officeDocument/2006/relationships/hyperlink" Target="https://www.sec.gov/Archives/edgar/data/1130166/000110465923129018/tm2333683d1_ex4-1.htm" TargetMode="External"/><Relationship Id="rId56" Type="http://schemas.openxmlformats.org/officeDocument/2006/relationships/hyperlink" Target="https://www.sec.gov/Archives/edgar/data/1130166/000110465923129018/tm2333683d1_ex4-2.htm" TargetMode="External"/><Relationship Id="rId57" Type="http://schemas.openxmlformats.org/officeDocument/2006/relationships/hyperlink" Target="https://www.sec.gov/Archives/edgar/data/1130166/000110465924056469/tm2413298d1_ex4-1.htm" TargetMode="External"/><Relationship Id="rId58" Type="http://schemas.openxmlformats.org/officeDocument/2006/relationships/hyperlink" Target="https://www.sec.gov/Archives/edgar/data/1130166/000110465924056469/tm2413298d1_ex4-2.htm" TargetMode="External"/><Relationship Id="rId59" Type="http://schemas.openxmlformats.org/officeDocument/2006/relationships/hyperlink" Target="https://www.sec.gov/Archives/edgar/data/1130166/000110465924056469/tm2413298d1_ex4-3.htm" TargetMode="External"/><Relationship Id="rId60" Type="http://schemas.openxmlformats.org/officeDocument/2006/relationships/hyperlink" Target="https://www.sec.gov/Archives/edgar/data/1130166/000110465924056469/tm2413298d1_ex4-4.htm" TargetMode="External"/><Relationship Id="rId61" Type="http://schemas.openxmlformats.org/officeDocument/2006/relationships/hyperlink" Target="https://www.sec.gov/Archives/edgar/data/1130166/000110465924119469/tm2428551d1_ex4-1.htm" TargetMode="External"/><Relationship Id="rId62" Type="http://schemas.openxmlformats.org/officeDocument/2006/relationships/hyperlink" Target="https://www.sec.gov/Archives/edgar/data/1130166/000110465924119469/tm2428551d1_ex4-2.htm" TargetMode="External"/><Relationship Id="rId63" Type="http://schemas.openxmlformats.org/officeDocument/2006/relationships/hyperlink" Target="https://www.sec.gov/Archives/edgar/data/1130166/000110465924119469/tm2428551d1_ex4-3.htm" TargetMode="External"/><Relationship Id="rId64" Type="http://schemas.openxmlformats.org/officeDocument/2006/relationships/hyperlink" Target="https://www.sec.gov/Archives/edgar/data/1130166/000110465925001087/tm251961d1_ex4-1.htm" TargetMode="External"/><Relationship Id="rId65" Type="http://schemas.openxmlformats.org/officeDocument/2006/relationships/hyperlink" Target="https://www.sec.gov/Archives/edgar/data/1130166/000164117225015874/ex10-2.htm" TargetMode="External"/><Relationship Id="rId66" Type="http://schemas.openxmlformats.org/officeDocument/2006/relationships/hyperlink" Target="https://www.sec.gov/Archives/edgar/data/1130166/000164117225015874/ex10-3.htm" TargetMode="External"/><Relationship Id="rId67" Type="http://schemas.openxmlformats.org/officeDocument/2006/relationships/hyperlink" Target="https://www.sec.gov/Archives/edgar/data/1130166/000164117225015874/ex10-4.htm" TargetMode="External"/><Relationship Id="rId68" Type="http://schemas.openxmlformats.org/officeDocument/2006/relationships/hyperlink" Target="https://www.sec.gov/Archives/edgar/data/1130166/000164117225026110/ex10-1.htm" TargetMode="External"/><Relationship Id="rId69" Type="http://schemas.openxmlformats.org/officeDocument/2006/relationships/hyperlink" Target="https://www.sec.gov/Archives/edgar/data/1130166/000164117225026110/ex10-2.htm" TargetMode="External"/><Relationship Id="rId70" Type="http://schemas.openxmlformats.org/officeDocument/2006/relationships/hyperlink" Target="https://www.sec.gov/Archives/edgar/data/1130166/000164117225026110/ex10-3.htm" TargetMode="External"/><Relationship Id="rId71" Type="http://schemas.openxmlformats.org/officeDocument/2006/relationships/hyperlink" Target="https://www.sec.gov/Archives/edgar/data/1130166/000110465912039873/a12-13056_1ex10d1.htm" TargetMode="External"/><Relationship Id="rId72" Type="http://schemas.openxmlformats.org/officeDocument/2006/relationships/hyperlink" Target="https://www.sec.gov/Archives/edgar/data/1130166/000157104915004588/t1501247_ex10-1.htm" TargetMode="External"/><Relationship Id="rId73" Type="http://schemas.openxmlformats.org/officeDocument/2006/relationships/hyperlink" Target="https://www.sec.gov/Archives/edgar/data/1130166/000110465923071180/tm2318711d1_ex10-1.htm" TargetMode="External"/><Relationship Id="rId74" Type="http://schemas.openxmlformats.org/officeDocument/2006/relationships/hyperlink" Target="https://www.sec.gov/Archives/edgar/data/1130166/000114420418059346/tv506501_ex10-1.htm" TargetMode="External"/><Relationship Id="rId75" Type="http://schemas.openxmlformats.org/officeDocument/2006/relationships/hyperlink" Target="https://www.sec.gov/Archives/edgar/data/1130166/000155837020013741/cycc-20200930ex1017c6286.htm" TargetMode="External"/><Relationship Id="rId76" Type="http://schemas.openxmlformats.org/officeDocument/2006/relationships/hyperlink" Target="https://www.sec.gov/Archives/edgar/data/1130166/000155837020013741/cycc-20200930ex1028db6db.htm" TargetMode="External"/><Relationship Id="rId77" Type="http://schemas.openxmlformats.org/officeDocument/2006/relationships/hyperlink" Target="https://www.sec.gov/Archives/edgar/data/1130166/000110465923056001/tm2314647d1_ex10-1.htm" TargetMode="External"/><Relationship Id="rId78" Type="http://schemas.openxmlformats.org/officeDocument/2006/relationships/hyperlink" Target="https://www.sec.gov/Archives/edgar/data/1130166/000110465923056001/tm2314647d1_ex10-2.htm" TargetMode="External"/><Relationship Id="rId79" Type="http://schemas.openxmlformats.org/officeDocument/2006/relationships/hyperlink" Target="https://www.sec.gov/Archives/edgar/data/1130166/000155837023019369/cycc-20221231xex10d16.htm" TargetMode="External"/><Relationship Id="rId80" Type="http://schemas.openxmlformats.org/officeDocument/2006/relationships/hyperlink" Target="https://www.sec.gov/Archives/edgar/data/1130166/000110465923129018/tm2333683d1_ex10-1.htm" TargetMode="External"/><Relationship Id="rId81" Type="http://schemas.openxmlformats.org/officeDocument/2006/relationships/hyperlink" Target="https://www.sec.gov/Archives/edgar/data/1130166/000110465923129018/tm2333683d1_ex10-2.htm" TargetMode="External"/><Relationship Id="rId82" Type="http://schemas.openxmlformats.org/officeDocument/2006/relationships/hyperlink" Target="https://www.sec.gov/Archives/edgar/data/1130166/000110465923129018/tm2333683d1_ex10-3.htm" TargetMode="External"/><Relationship Id="rId83" Type="http://schemas.openxmlformats.org/officeDocument/2006/relationships/hyperlink" Target="https://www.sec.gov/Archives/edgar/data/1130166/000110465924056469/tm2413298d1_ex10-1.htm" TargetMode="External"/><Relationship Id="rId84" Type="http://schemas.openxmlformats.org/officeDocument/2006/relationships/hyperlink" Target="https://www.sec.gov/Archives/edgar/data/1130166/000110465924056469/tm2413298d1_ex10-2.htm" TargetMode="External"/><Relationship Id="rId85" Type="http://schemas.openxmlformats.org/officeDocument/2006/relationships/hyperlink" Target="https://www.sec.gov/Archives/edgar/data/1130166/000110465924119469/tm2428551d1_ex10-1.htm" TargetMode="External"/><Relationship Id="rId86" Type="http://schemas.openxmlformats.org/officeDocument/2006/relationships/hyperlink" Target="https://www.sec.gov/Archives/edgar/data/1130166/000110465925001087/tm251961d1_ex10-1.htm" TargetMode="External"/><Relationship Id="rId87" Type="http://schemas.openxmlformats.org/officeDocument/2006/relationships/hyperlink" Target="https://www.sec.gov/Archives/edgar/data/1130166/000110465925001087/tm251961d1_ex10-2.htm" TargetMode="External"/><Relationship Id="rId88" Type="http://schemas.openxmlformats.org/officeDocument/2006/relationships/hyperlink" Target="https://www.sec.gov/Archives/edgar/data/1130166/000110465925001087/tm251961d1_ex10-3.htm" TargetMode="External"/><Relationship Id="rId89" Type="http://schemas.openxmlformats.org/officeDocument/2006/relationships/hyperlink" Target="https://www.sec.gov/Archives/edgar/data/1130166/000110465925001087/tm251961d1_ex10-4.htm" TargetMode="External"/><Relationship Id="rId90" Type="http://schemas.openxmlformats.org/officeDocument/2006/relationships/hyperlink" Target="https://www.sec.gov/Archives/edgar/data/1130166/000110465925001087/tm251961d1_ex10-5.htm" TargetMode="External"/><Relationship Id="rId91" Type="http://schemas.openxmlformats.org/officeDocument/2006/relationships/hyperlink" Target="https://www.sec.gov/Archives/edgar/data/1130166/000110465925002198/tm252869d1_ex10-1.htm" TargetMode="External"/><Relationship Id="rId92" Type="http://schemas.openxmlformats.org/officeDocument/2006/relationships/hyperlink" Target="https://www.sec.gov/Archives/edgar/data/1130166/000182912625000765/cyclacel_ex10-1.htm" TargetMode="External"/><Relationship Id="rId93" Type="http://schemas.openxmlformats.org/officeDocument/2006/relationships/hyperlink" Target="https://www.sec.gov/Archives/edgar/data/1130166/000182912625000765/cyclacel_ex10-2.htm" TargetMode="External"/><Relationship Id="rId94" Type="http://schemas.openxmlformats.org/officeDocument/2006/relationships/hyperlink" Target="https://www.sec.gov/Archives/edgar/data/1130166/000182912625000765/cyclacel_ex10-3.htm" TargetMode="External"/><Relationship Id="rId95" Type="http://schemas.openxmlformats.org/officeDocument/2006/relationships/hyperlink" Target="https://www.sec.gov/Archives/edgar/data/1130166/000182912625001180/cyclacel_10-1.htm" TargetMode="External"/><Relationship Id="rId96" Type="http://schemas.openxmlformats.org/officeDocument/2006/relationships/hyperlink" Target="https://www.sec.gov/Archives/edgar/data/1130166/000182912625001253/cyclacel_ex10-1.htm" TargetMode="External"/><Relationship Id="rId97" Type="http://schemas.openxmlformats.org/officeDocument/2006/relationships/hyperlink" Target="https://www.sec.gov/Archives/edgar/data/1130166/000182912625001253/cyclacel_ex10-2.htm" TargetMode="External"/><Relationship Id="rId98" Type="http://schemas.openxmlformats.org/officeDocument/2006/relationships/hyperlink" Target="https://www.sec.gov/Archives/edgar/data/1130166/000182912625001253/cyclacel_ex10-3.htm" TargetMode="External"/><Relationship Id="rId99" Type="http://schemas.openxmlformats.org/officeDocument/2006/relationships/hyperlink" Target="https://www.sec.gov/Archives/edgar/data/1130166/000182912625001770/cyclacel_ex10-1.htm" TargetMode="External"/><Relationship Id="rId100" Type="http://schemas.openxmlformats.org/officeDocument/2006/relationships/hyperlink" Target="https://www.sec.gov/Archives/edgar/data/1130166/000164117225015874/ex10-1.htm" TargetMode="External"/><Relationship Id="rId101" Type="http://schemas.openxmlformats.org/officeDocument/2006/relationships/hyperlink" Target="https://www.sec.gov/Archives/edgar/data/1130166/000149315225013123/ex10-1.htm" TargetMode="External"/><Relationship Id="rId102" Type="http://schemas.openxmlformats.org/officeDocument/2006/relationships/hyperlink" Target="https://www.sec.gov/Archives/edgar/data/1130166/000164117225026571/ex10-1.htm" TargetMode="External"/><Relationship Id="rId103" Type="http://schemas.openxmlformats.org/officeDocument/2006/relationships/hyperlink" Target="https://www.sec.gov/Archives/edgar/data/1130166/000157104914000943/t1400075_ex21.htm" TargetMode="External"/><Relationship Id="rId104" Type="http://schemas.openxmlformats.org/officeDocument/2006/relationships/fontTable" Target="fontTable.xml"/><Relationship Id="rId10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70544</Words>
  <Characters>386088</Characters>
  <CharactersWithSpaces>458450</CharactersWithSpaces>
  <Paragraphs>10122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