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4,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 Green Med Solution,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0-50626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91-1707622</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Level 10, Tower 11, Avenue 5,</w:t>
            </w:r>
          </w:p>
        </w:tc>
        <w:tc>
          <w:tcPr>
            <w:tcW w:w="302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5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 8 Jalan Kerinchi, Kuala Lumpur, Malaysia 59200</w:t>
            </w:r>
          </w:p>
        </w:tc>
        <w:tc>
          <w:tcPr>
            <w:tcW w:w="302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(908) 955-0526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N/A</w:t>
            </w: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2026, Bio Green Med Solution, Inc., a Delaware corporation (the “Company”), Future NRG Sdn. Bhd., a Malaysia private limited company (“FNRG”) and each of the shareholders of FNRG (the “Selling Shareholders”), entered into a Business Combination Agreement (the “BCA”), pursuant to which, among other matters, and subject to the satisfaction or waiver of the conditions set forth in the BCA, the Selling Shareholders will voluntarily exchange all of their ordinary shares in FNRG for shares of common stock, par value $0.001 of the Company (the “Exchange Shares”), resulting in FNRG becoming a wholly owned subsidiary of the Company (the “Exchange”). The Exchange is intended to qualify for federal income tax purposes as a tax-free reorganization under the provisions of Section 351 of the Internal Revenue Code of 1986, as amended.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BCA, at the closing of the Exchange: (a) each then-outstanding ordinary share of FNRG will be converted into the right to receive a number of Exchange Shares calculated in accordance with the BCA. Under the exchange ratio formula in the BCA, upon the closing of the Exchange, on a pro forma basis and based upon the number of Exchange Shares to be issued in the Exchange, the Selling Shareholders will own approximately more than 99% of the combined company and pre-Exchange Company stockholders will own approximately less than 1% of the combined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Exchange, the Company will seek the approval of its stockholders of, among other things, (a) the BCA and the transactions contemplated thereby and against any competing proposals being considered at the meeting (the “Company Exchange Approval Proposals”), and (b) if deemed necessary by the Company and FNRG, an amendment to the Company’s certificate of incorporation to (i) effect a reverse stock split of all outstanding shares of Company common stock (together with Company Exchange Approval Proposals, the “Company Voting Proposals”).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Company, FNRG and the Selling Shareholders has agreed to customary representations, warranties and covenants in the BCA, including, among others, covenants relating to (a) using commercially reasonable efforts to obtain the requisite approval of its shareholders, (b) non-solicitation of alternative acquisition proposals, (c) the conduct of their respective businesses during the period between the date of signing the BCA and the closing of the Exchange, (d) the Company using commercially reasonable efforts to maintain the existing listing of the Company common stock on The Nasdaq Capital Market and cause the shares of Company common stock to be issued in connection with the Exchange to be approved for listing on The Nasdaq Capital Market prior to the closing of the Exchange, and (e) the Company filing with the U.S. Securities and Exchange Commission (the “SEC”) and causing to become effective a registration statement to register the shares of Company common stock to be issued in connection with the Exchange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Consummation of the Exchange is subject to certain closing conditions, including, among other things, (a) approval by Company stockholders of the Company Exchange Approval Proposals, (b) approval by the Selling Shareholders of the adoption and approval of the BCA and the transactions contemplated thereby, (c) Nasdaq’s approval of the listing of the shares of Company common stock to be issued in connection with the Exchange, (d) the effectiveness of the Registration Statement, and (e) agreement by all parties to the amount of the Exchange Shares in writing as of the closing date. Each party’s obligation to consummate the Exchange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BCA required to be performed on or prior to the date of the closing of the Exchange.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BCA contains certain termination rights of each of the Company and FNRG. In the event the Exchange is not closed by December 31, 2026, either party may terminate the BCA and the transactions contemplated thereunder.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of the Exchange (the “Effective Time”), the Board is expected to consist of five members, four of whom will be designated by the Company and will include all of the current members except for Mr. Kiu Cu Seng and one of whom will be designated by FNRG, Mr. Pun Kah Weng.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prior to the closing of the Exchange, certain of the Selling Shareholders will enter into lock-up agreements (the “Lock-Up Agreements”) pursuant to which, subject to specified exceptions, they have agreed not to transfer their shares of Company common stock acquired in connection with the Exchange for a period of 180 days following the closing of the Exchange.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preceding summaries of the BCA and the Lock-Up Agreements do not purport to be complete and are qualified in their entirety by reference to the BCA and the form of Lock-Up Agreement, which are filed as Exhibits 2.1 and 10.1, respectively, to this Current Report on Form 8-K and which are incorporated herein by reference. The BCA has been attached as an exhibit to this Current Report on Form 8-K to provide investors and securityholders with information regarding its terms. It is not intended to provide any other factual information about the Company or FNRG or to modify or supplement any factual disclosures about the Company in its public reports filed with the SEC. The BCA includes representations, warranties and covenants of the Company, FNRG and the Selling Shareholders made solely for the purpose of the BCA and solely for the benefit of the parties thereto in connection with the negotiated terms of the BCA. Investors should not rely on the representations, warranties and covenants in the BCA or any descriptions thereof as characterizations of the actual state of facts or conditions of the Company, FNRG, the Selling Shareholders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BCA, rather than establishing matters of fact.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the execution of the BCA.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set forth in Item 7.01 of this report shall not be deemed to be “filed” for purposes of Section 18 of the Securities Exchange Act of 1934, as amended (the “Exchange Act”), or otherwise subject to the liabilities of that section, and shall not be deemed to be incorporated by reference in any of the Company’s filings with the Securities and Exchange Commission under the Exchange Act or the Securities Act of 1933, as amended, whether made before or after the date hereof and regardless of any general incorporation language in such filings,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the consummation of the Transaction.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(i) changes in domestic and foreign business, market, financial, political and legal conditions; (ii) the inability of the Company and FNRG to consummate the proposed transaction successfully or timely, including the risk that any required approvals are not obtained, are delayed or are subject to unanticipated conditions that could adversely affect the combined company or the expected benefits of the proposed transaction or that the approval of the equityholders of the Company and FNRG is not obtained; (iii) failure to realize the anticipated benefits of the proposed transaction; (iv) the ability of the combined company to grow and manage its growth effectively; (v) the ability of each of the Company and FNRG to execute their respective business plan; (vi) estimates of the size of the markets for the combined company’s respective products and services; (vii) the rate and degree of market acceptance of the combined company’s products and services outside of its existing markets; (viii) the Company’s ability to identify and integrate acquisitions; (ix) future investments in technology and operations; (x) potential litigation involving the Company or FNRG; (xi) risks relating to the uncertainty of the projected financial information with respect to FNRG; (xii) the effects of competition on FNRG’s business; (xiii) developments and changes in laws and regulations; (xiv) the impact of significant investigative, regulatory or legal proceedings; (xv) general economic and market conditions impacting demand for the combined company’s products and services; (xvi) the ability to meet Nasdaq’s listing standards prior to and following the consummation of the proposed transaction; and (xvii) such other risks and uncertainties as are discussed in the Company’s Annual Report on Form 10-K filed with the SEC and the Form S-4 to be filed relating to the proposed transaction.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factors include the possibility that the proposed transaction does not close, including due to the failure to receive required securityholder approvals, or the failure of other closing conditions.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Actual results could differ from those projected in any forward-looking statements due to numerous factors. These forward-looking statements are made as of the date of this report,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report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 SECURITIES OR DETERMINED IF THIS CURRENT REPORT ON FORM 8-K AND THE EXHIBITS FILED OR FURNISHED HEREWITH ARE TRUTHFUL OR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About the Proposed Transaction Will be Filed with the SEC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are not substitutes for the registration statement or for any other document that the Company may file with the SEC in connection with the proposed transaction. In connection with the proposed transaction between the Company and FNRG, the Company intends to file relevant materials with the SEC, including a registration statement on Form S-4 that will contain a proxy statement/prospectus of the Company. THE COMPANY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THE COMPANY, FNRG, THE PROPOSED TRANSACTION AND RELATED MATTERS. Investors and stockholders will be able to obtain free copies of the proxy statement/prospectus and other documents filed by the Company with the SEC (when they become available) through the website maintained by the SEC at www.sec.gov or by directing a request to Bio Green Med Solution, Inc. via email to: ir@BGMS.com.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FNRG and their respective directors and executive officers may be considered participants in the solicitation of proxies in connection with the proposed transaction. Information about the Company’s directors and executive officers is included in the Company’s most recent Annual Report on Form 10-K, including any information incorporated therein by reference, as filed with the SEC on March 30, 2026. Additional information regarding the persons who may be deemed participants in the solicitation of proxies will be included in the proxy statement/prospectus relating to the proposed transaction when it is filed with the SEC. These documents can be obtained free of charge from the sources indicated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0" w:type="dxa"/>
            <w:vAlign w:val="bottom"/>
          </w:tcPr>
          <w:p>
            <w:pPr>
              <w:spacing w:after="0"/>
              <w:rPr>
                <w:sz w:val="18"/>
                <w:szCs w:val="18"/>
                <w:color w:val="auto"/>
              </w:rPr>
            </w:pPr>
          </w:p>
        </w:tc>
      </w:tr>
      <w:tr>
        <w:trPr>
          <w:trHeight w:val="238"/>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4"/>
                <w:szCs w:val="14"/>
                <w:color w:val="auto"/>
              </w:rPr>
            </w:pPr>
          </w:p>
        </w:tc>
        <w:tc>
          <w:tcPr>
            <w:tcW w:w="1046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Business Combination Agreement dated June 4, 2026</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5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0000EE"/>
              </w:rPr>
              <w:t>Form of Lock-Up Agreement</w:t>
            </w:r>
          </w:p>
        </w:tc>
      </w:tr>
      <w:tr>
        <w:trPr>
          <w:trHeight w:val="21"/>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58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Press Release dated June 4, 2026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b w:val="1"/>
          <w:bCs w:val="1"/>
          <w:color w:val="auto"/>
        </w:rPr>
        <w:t>Bio Green Med Solution,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Datuk Dr. Doris Wong Sing 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BUSINESS COMBINATION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Future NRG Sdn. Bhd.,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7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THE EXCHANGE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1.1</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Exchange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1.2</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Effects of the Exchange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1.3</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1.4</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Effective Time of the Exchange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1.5</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REPRESENTATIONS AND WARRANTIES OF THE COMPANY AND SELLING SHAREHOLDERS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2.1</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Standing and Corporate Power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2.2</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2.3</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Structure of the Company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2.4</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Authority; Noncontravention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2.5</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2.6</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2.7</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2.8</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Fees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2.9</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Labor Matters; Compliance with Laws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2.10</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Plans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5"/>
              </w:rPr>
              <w:t>2.11</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Returns and Tax Payments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2.12</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2.13</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Material Contract Defaults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2.14</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2.15</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2.16</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2.17</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Board Recommendation and Affirmative Vote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2.18</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Undisclosed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2.19</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Cybersecurity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2.20</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2.21</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2.22</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2.23</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2.24</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2.25</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Full Disclosure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PARENT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Standing and Corporate Power</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Structure of Parent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3.4</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Authority; Noncontravention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3.5</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Authorization</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3.6</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Documents; Undisclosed Liabilities; Financial Statements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3.7</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3.8</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Fees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3.9</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Labor Matters; Compliance with Laws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3.10</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Plans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5"/>
              </w:rPr>
              <w:t>3.11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Returns and Tax Payments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Material Contract Defaults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3.14</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3.15</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3.16</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3.17</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Board Determination and Vote Required</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3.18</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Required Parent Share Issuance Approval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3.19</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Undisclosed Liabilities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3.20</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3.21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3.22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Full Disclosure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 OF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the Company Business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Satisfaction of Conditions Precedent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4.4</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Negotiations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4.5</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4.6</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 OF PARENT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5.1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Parent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5.2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the Parent Business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5.3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5.4</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5.5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5.6</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Satisfaction of Conditions Precedent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5.7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16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5.8</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 Other Negotiations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COVENANTS OF PARENT AND THE COMPANY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6.1</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6.2</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Announcements; Confidentiality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6.4</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Reasonable Efforts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 and 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6.6</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Legends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 Statement; Proxy Statement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6.8</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Shareholder Written Consent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6.9</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CONDITIONS TO EXCHANGE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7.1</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Condition to Obligation of Each Party to Effect the Exchange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7.2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Conditions to Obligations of Parent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7.3</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TERMINATION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8.1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8.2</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 of Termination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8.3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SURVIVAL OF REPRESENTATIONS, WARRANTIES AND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GENERAL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Waiver</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Failure or Indulgence Not Waiver; Remedies Cumulative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10.5</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10.6</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10.7</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10.8</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10.9</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Parties In Interest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10.10</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10.11</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10.13</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Attorneys’ Fees</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10.14</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10.15</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Drafting</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10.16</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Interpretation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660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Definitions</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 –</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Shareholders Share Allocation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 –</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 Form of Transfer</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D -</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Directors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E –</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of Shareholder Representation Letter</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F –</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Lock-Up Agreement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BUSINESS COMBINATION AGREEMENT (this or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June 4, 2026, by and among Bio Green Med Solution,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Future NRG Sdn. Bhd., a Malaysian private limited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shareholders of the Company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(collectively,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and together with Parent, and the Company,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Certain other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is a Delaware corporation listed on the Nasdaq under the symbol “BGMS;”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intend to effect a share exchange between Parent and the Selling Shareholder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become a wholly-owned subsidiary of Parent, in accordance with this Agreement and the DGCL and Malaysian Companies Act;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Parent has (a) determined that this Agreement, the Exchange and the transactions contemplated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in the best interest of Parent and its stockholders, (b) approved the Exchange, (c) adopted this Agreement, and (d) determined to recommend that its stockholders adopt, authorize and approve this Agreement, the Exchange and the transactions contemplated under this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and the Selling Shareholders have (a) determined that this Agreement, the Exchange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under this Agreement are in the best interest of the Company, (b) approved the Exchange, and (c) adopted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Parent, the Company and the Selling Shareholders desires to make certain representations, warranties,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in connection with the Exchange and the other transactions contemplated by this Agreement and also to prescribe various conditions to the consummation thereof;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income Tax purposes, the Parties intend, and each Party acknowledges, that the Exchange will qualify as a tax-free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property under the provisions of Section 351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promises, representations, warranties, covenants and agreements herein contained, the parties hereto,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EXCHANGE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Share Exchange</w:t>
      </w:r>
      <w:r>
        <w:rPr>
          <w:rFonts w:ascii="Times New Roman" w:cs="Times New Roman" w:eastAsia="Times New Roman" w:hAnsi="Times New Roman"/>
          <w:sz w:val="18"/>
          <w:szCs w:val="18"/>
          <w:color w:val="auto"/>
        </w:rPr>
        <w:t>. Upon the terms and subject to the conditions set forth in this Agreement, and in accordance with the DGCL, at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hereinafter defined), the Parties shall do the following:</w:t>
      </w:r>
    </w:p>
    <w:p>
      <w:pPr>
        <w:spacing w:after="0" w:line="159" w:lineRule="exact"/>
        <w:rPr>
          <w:sz w:val="20"/>
          <w:szCs w:val="20"/>
          <w:color w:val="auto"/>
        </w:rPr>
      </w:pPr>
    </w:p>
    <w:p>
      <w:pPr>
        <w:jc w:val="both"/>
        <w:ind w:left="660" w:firstLine="644"/>
        <w:spacing w:after="0" w:line="258"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Shareholders shall convey, assign, and transfer all of their right, title and interest to the Company Ordinary Shares (individually,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shares of capital stock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left="660" w:firstLine="644"/>
        <w:spacing w:after="0" w:line="256" w:lineRule="auto"/>
        <w:tabs>
          <w:tab w:leader="none" w:pos="15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its acquisition of the Shares and without any action on the part of any Party or the holders of securities of Parent or the Company, each Share issued and outstanding immediately prior to the Effective Time shall be converted into, and the holder thereof shall be entitled to receive a number of shares of Parent Common Stock equal to the quotient of (i) the Transaction Consideration Shares divided by (ii) the total number of Shares issued and outstanding immediately prior to the Effective Time. The aggregate amount of shares of Parent Common Stock (the “</w:t>
      </w:r>
      <w:r>
        <w:rPr>
          <w:rFonts w:ascii="Times New Roman" w:cs="Times New Roman" w:eastAsia="Times New Roman" w:hAnsi="Times New Roman"/>
          <w:sz w:val="18"/>
          <w:szCs w:val="18"/>
          <w:b w:val="1"/>
          <w:bCs w:val="1"/>
          <w:color w:val="auto"/>
        </w:rPr>
        <w:t>Exchange Shares</w:t>
      </w:r>
      <w:r>
        <w:rPr>
          <w:rFonts w:ascii="Times New Roman" w:cs="Times New Roman" w:eastAsia="Times New Roman" w:hAnsi="Times New Roman"/>
          <w:sz w:val="18"/>
          <w:szCs w:val="18"/>
          <w:color w:val="auto"/>
        </w:rPr>
        <w:t>”) shall be issued to the Selling Shareholders by issuance of book-entry shares representing the Exchange Shares in accordance with the applicable provisions of the DGCL, and the Transfer Agent shall be instructed to update the register of stockholders of Parent.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federal income tax purposes, the Exchange is intended to constitute a tax-free exchange of property within the meaning of Section 351 of the Code, and the Parties shall report the transactions contemplated by this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 Effects of the Exchange. </w:t>
      </w:r>
      <w:r>
        <w:rPr>
          <w:rFonts w:ascii="Times New Roman" w:cs="Times New Roman" w:eastAsia="Times New Roman" w:hAnsi="Times New Roman"/>
          <w:sz w:val="18"/>
          <w:szCs w:val="18"/>
          <w:color w:val="auto"/>
        </w:rPr>
        <w:t>The Exchange shall have the effects set forth in the applicable provisions of the DGCL and Malaysian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1.3 Closing</w:t>
      </w:r>
      <w:r>
        <w:rPr>
          <w:rFonts w:ascii="Times New Roman" w:cs="Times New Roman" w:eastAsia="Times New Roman" w:hAnsi="Times New Roman"/>
          <w:sz w:val="18"/>
          <w:szCs w:val="18"/>
          <w:color w:val="auto"/>
        </w:rPr>
        <w:t>. Upon the terms and subject to the conditions set forth herein and unless this Agreement has been terminated pursuant to its terms,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remotely, at the date and time to be specified by the Parties hereto, which date shall be no later than three (3) Business days after the date on which the conditions to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this Agreement shall have been satisfied or, to the extent permitted 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hereby become effective is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At the time of the Closing, Parent, the Company and the Selling Shareholders shall deliver the certificates and other documents and instruments required to be delivered hereunder</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 Effective Time of the Exchange. </w:t>
      </w:r>
      <w:r>
        <w:rPr>
          <w:rFonts w:ascii="Times New Roman" w:cs="Times New Roman" w:eastAsia="Times New Roman" w:hAnsi="Times New Roman"/>
          <w:sz w:val="18"/>
          <w:szCs w:val="18"/>
          <w:color w:val="auto"/>
        </w:rPr>
        <w:t>Subject to the provisions of this Agreement, at the Closing, the Parties hereto shall (a) cause a Form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105 (Form of Transfer of Securities)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Malaysia Form of Transfer</w:t>
      </w:r>
      <w:r>
        <w:rPr>
          <w:rFonts w:ascii="Times New Roman" w:cs="Times New Roman" w:eastAsia="Times New Roman" w:hAnsi="Times New Roman"/>
          <w:sz w:val="18"/>
          <w:szCs w:val="18"/>
          <w:color w:val="auto"/>
        </w:rPr>
        <w:t>”)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 The Exchange shall become effective as of the date and time of the filing of the Malaysia Form of Transfer or at such later date or time as may be agreed by the Company and Parent in writing and specified in the Malaysia Form of Transfer in accordance with relevant provisions of the Malaysian Companies Act. The date and time of such effectiveness are referred to herein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 Directors and Officers. </w:t>
      </w:r>
      <w:r>
        <w:rPr>
          <w:rFonts w:ascii="Times New Roman" w:cs="Times New Roman" w:eastAsia="Times New Roman" w:hAnsi="Times New Roman"/>
          <w:sz w:val="18"/>
          <w:szCs w:val="18"/>
          <w:color w:val="auto"/>
        </w:rPr>
        <w:t>The directors of Parent, the Company and its Subsidiaries shall, from and after the Effective Time, be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until their successors shall have been duly elected or appointed and qualified or until their earlier death, resignation or removal in accordance with the Malaysian Companies Act and the Company Governing Documents. The officers of Parent and the Company and its Subsidiaries shall, from and after the Effective Time remain the same.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 AND SELLING SHAREHOLDERS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and each of the Selling Shareholders jointly and severally represent and warrant to Parent that, except as set forth in the disclosure schedules delivered by the Company to Parent (the “</w:t>
      </w:r>
      <w:r>
        <w:rPr>
          <w:rFonts w:ascii="Times New Roman" w:cs="Times New Roman" w:eastAsia="Times New Roman" w:hAnsi="Times New Roman"/>
          <w:sz w:val="18"/>
          <w:szCs w:val="18"/>
          <w:b w:val="1"/>
          <w:bCs w:val="1"/>
          <w:color w:val="auto"/>
        </w:rPr>
        <w:t>Company Disclosure Schedule</w:t>
      </w:r>
      <w:r>
        <w:rPr>
          <w:rFonts w:ascii="Times New Roman" w:cs="Times New Roman" w:eastAsia="Times New Roman" w:hAnsi="Times New Roman"/>
          <w:sz w:val="18"/>
          <w:szCs w:val="18"/>
          <w:color w:val="auto"/>
        </w:rPr>
        <w:t>”) prior to the execution of this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 Organization, Standing and Corporate Power</w:t>
      </w:r>
      <w:r>
        <w:rPr>
          <w:rFonts w:ascii="Times New Roman" w:cs="Times New Roman" w:eastAsia="Times New Roman" w:hAnsi="Times New Roman"/>
          <w:sz w:val="18"/>
          <w:szCs w:val="18"/>
          <w:color w:val="auto"/>
        </w:rPr>
        <w:t>. The Company is duly organized, validly existing and in good standing under the Malaysian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Act and has the requisite corporate power and authority to own, lease and operate its properties and carry on its business as now being conducted. The Company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the Company. The Company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 Subsidiaries. </w:t>
      </w:r>
      <w:r>
        <w:rPr>
          <w:rFonts w:ascii="Times New Roman" w:cs="Times New Roman" w:eastAsia="Times New Roman" w:hAnsi="Times New Roman"/>
          <w:sz w:val="18"/>
          <w:szCs w:val="18"/>
          <w:color w:val="auto"/>
        </w:rPr>
        <w:t>The Company has no subsidiaries.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2.3 Capital Structure of the Company. </w:t>
      </w:r>
      <w:r>
        <w:rPr>
          <w:rFonts w:ascii="Times New Roman" w:cs="Times New Roman" w:eastAsia="Times New Roman" w:hAnsi="Times New Roman"/>
          <w:sz w:val="18"/>
          <w:szCs w:val="18"/>
          <w:color w:val="auto"/>
        </w:rPr>
        <w:t>As of the date of this Agreement, the number of shares and type of all authorized,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 shares of the Company, and all capital shares reserved for issuance under the Company’s various option and incentive plans is specified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All outstanding capital shares of the Company are duly authorized, validly issued, fully paid and nonassessable and, except as set forth in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xml:space="preserve">, not subject to preemptive rights. Except for the Company Ordinary Shares and as set forth on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xml:space="preserve">, there are no outstanding bonds, debentures, notes or other indebtedness or other securities of the Company having the right to vote (or convertible into, or exchangeable for, securities having the right to vote) on any matters. As of immediately prior to the Effective Time, there will be no outstanding indebtedness of the Company convertible into capital shares of the Company. Except as set forth in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xml:space="preserve">, there are no outstanding securities, options, warrants, calls, rights, commitments, agreements, arrangements or undertakings of any kind to which the Company is a party or by which it is bound obligating the Company to issue, deliver or sell, or cause to be issued, delivered or sold, additional capital shares or other equity or voting securities of the Company or obligating the Company to issue, grant, extend or enter into any such security, option, warrant, call, right, commitment, agreement, arrangement or undertaking. There are no outstanding contractual obligations, commitments, understandings or arrangements of the Company to repurchase, redeem or otherwise acquire or make any payment in respect of any capital shares of the Company. Except as set forth on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there are no agreements or arrangements pursuant to which the Company is or could be required to register Company Ordinary Shares or other securities under the Securities Act or other agreements or arrangements with or among any security holders of the Company with respect to securities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2.4 Corporate Authority; Noncontravention. </w:t>
      </w:r>
      <w:r>
        <w:rPr>
          <w:rFonts w:ascii="Times New Roman" w:cs="Times New Roman" w:eastAsia="Times New Roman" w:hAnsi="Times New Roman"/>
          <w:sz w:val="18"/>
          <w:szCs w:val="18"/>
          <w:color w:val="auto"/>
        </w:rPr>
        <w:t>The Company has all requisite corporate power and authority to enter into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receipt of the approval of its shareholders and the filing of the Malaysia Form of Transfer with the Companies Commission of Malaysia, to consummate the transactions contemplated by this Agreement. The execution and delivery of this Agreement by the Company and the consummation by the Company of the transactions contemplated hereby have been (or at Closing will have been) duly authorized by all necessary corporate action on the part of the Company. This Agreement has been duly executed and when delivered by the Company shall constitute a valid and binding obligation of the Company, enforceable against the Company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a loss of a material benefit under, or result in the creation of any Lien upon any of the properties or Assets of the Company under, (i) the Governing Documents of the Company, (ii) any loan or credit agreement, note, bond, mortgage, indenture, lease or other agreement, instrument, Permit, concession, franchise or license applicable to the Company, its properties or Assets, or (iii) subject to the governmental filings and other matters referred to in the following sentence, any judgment, Order, decree, statute, Law, ordinance, rule, regulation or arbitration award applicable to the Company, its properties or Assets, other than, in the case of clauses (ii) and (iii), any such conflicts, breaches, violations, Defaults, rights, losses or Liens that individually or in the aggregate would not have a Material Adverse Effect with respect to the Company or would not prevent, hinder or materially delay the ability of the Company to consummate the transactions contemplated by this Agreement.</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Governmental Authorization. </w:t>
      </w:r>
      <w:r>
        <w:rPr>
          <w:rFonts w:ascii="Times New Roman" w:cs="Times New Roman" w:eastAsia="Times New Roman" w:hAnsi="Times New Roman"/>
          <w:sz w:val="18"/>
          <w:szCs w:val="18"/>
          <w:color w:val="auto"/>
        </w:rPr>
        <w:t>No consent, approval, Order or authorization of, or registration, declaration or filing with, or notice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is required to be obtained or made by the Company in connection with the execution and delivery of this Agreement by the Company or the consummation by the Company of the transactions contemplated hereby, except any filings required under the Malaysian Companies Act, the DGCL, the Securities Act, the Exchange Act, or any applicable United States state securities or “blue sky”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Financial Statements.</w:t>
      </w:r>
    </w:p>
    <w:p>
      <w:pPr>
        <w:spacing w:after="0" w:line="229" w:lineRule="exact"/>
        <w:rPr>
          <w:sz w:val="20"/>
          <w:szCs w:val="20"/>
          <w:color w:val="auto"/>
        </w:rPr>
      </w:pPr>
    </w:p>
    <w:p>
      <w:pPr>
        <w:jc w:val="both"/>
        <w:ind w:left="660" w:firstLine="644"/>
        <w:spacing w:after="0" w:line="256" w:lineRule="auto"/>
        <w:tabs>
          <w:tab w:leader="none" w:pos="15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Closing, Parent will have received a copy of the audited financial statements of the Company for the fiscal years ended December 31, 2024, and 2025 (collectively, the “</w:t>
      </w:r>
      <w:r>
        <w:rPr>
          <w:rFonts w:ascii="Times New Roman" w:cs="Times New Roman" w:eastAsia="Times New Roman" w:hAnsi="Times New Roman"/>
          <w:sz w:val="18"/>
          <w:szCs w:val="18"/>
          <w:b w:val="1"/>
          <w:bCs w:val="1"/>
          <w:color w:val="auto"/>
        </w:rPr>
        <w:t>Company Financial Statements</w:t>
      </w:r>
      <w:r>
        <w:rPr>
          <w:rFonts w:ascii="Times New Roman" w:cs="Times New Roman" w:eastAsia="Times New Roman" w:hAnsi="Times New Roman"/>
          <w:sz w:val="18"/>
          <w:szCs w:val="18"/>
          <w:color w:val="auto"/>
        </w:rPr>
        <w:t>”). The Company Financial Statements fairly present in all material respects the financial position of the Company at the dates indicated and its results of operations and cash flows for the periods then ended and, to the Knowledge of the Company, except as indicated therein, reflect, as of the dates indicated, all debts and liabilities of the Company, fixed or contingent, and of a nature required to be disclosed on a balance sheet, that are, individually or in the aggregate, material to the business, results of operation, or financial condition of the Company.</w:t>
      </w:r>
    </w:p>
    <w:p>
      <w:pPr>
        <w:spacing w:after="0" w:line="183"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2026 (the “</w:t>
      </w:r>
      <w:r>
        <w:rPr>
          <w:rFonts w:ascii="Times New Roman" w:cs="Times New Roman" w:eastAsia="Times New Roman" w:hAnsi="Times New Roman"/>
          <w:sz w:val="18"/>
          <w:szCs w:val="18"/>
          <w:b w:val="1"/>
          <w:bCs w:val="1"/>
          <w:color w:val="auto"/>
        </w:rPr>
        <w:t>Company Balance Sheet Date</w:t>
      </w:r>
      <w:r>
        <w:rPr>
          <w:rFonts w:ascii="Times New Roman" w:cs="Times New Roman" w:eastAsia="Times New Roman" w:hAnsi="Times New Roman"/>
          <w:sz w:val="18"/>
          <w:szCs w:val="18"/>
          <w:color w:val="auto"/>
        </w:rPr>
        <w:t>”), there has been no Material Adverse Effect with respect to the</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2.6</w:t>
      </w:r>
      <w:r>
        <w:rPr>
          <w:rFonts w:ascii="Times New Roman" w:cs="Times New Roman" w:eastAsia="Times New Roman" w:hAnsi="Times New Roman"/>
          <w:sz w:val="18"/>
          <w:szCs w:val="18"/>
          <w:color w:val="auto"/>
        </w:rPr>
        <w:t xml:space="preserve"> or as contemplated by this Agreement, since the Company Balance Sheet Date, the Company has not (i) issued, sold or otherwise disposed of, or agreed to issue, sell or otherwise dispose of, any capital shares or any other security of the Company or (ii) granted, or agreed to grant, any option, warrant or other right to subscribe for or to purchase any capital shares or any other security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2.7 Absence of Certain Changes or Events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connection with the execution and delivery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of the transactions contemplated hereby, since the Company Balance Sheet Date, the Company has conducted its business only in the ordinary course consistent with past practice and there is not and has not been any:</w:t>
      </w:r>
    </w:p>
    <w:p>
      <w:pPr>
        <w:spacing w:after="0" w:line="175" w:lineRule="exact"/>
        <w:rPr>
          <w:sz w:val="20"/>
          <w:szCs w:val="20"/>
          <w:color w:val="auto"/>
        </w:rPr>
      </w:pPr>
    </w:p>
    <w:p>
      <w:pPr>
        <w:ind w:left="660" w:right="20" w:firstLine="644"/>
        <w:spacing w:after="0" w:line="282"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 which, if it had taken place following the execution of this Agreement, would not have been permitted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without prior consent of Parent;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event or occurrence which could reasonably be expected to prevent, hinder or materially delay the ability of the Company to consummate the transactions contemplated by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assumption or guarantee by the Company of any indebtedness for borrowed money other than in the ordinary course and in amounts and on terms consistent with past practices;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or other incurrence by the Company of any Lien on any asset other than in the ordinary course consistent with past practices;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 other than routine, individual grievances, or, to the Knowledge of the Company, any activity or proceeding by a labor union or representative thereof to organize any employees of the Company or any lockouts, strikes, slowdowns, work stoppages or, to the Knowledge of the Company, threats by or with respect to such employees to do any of the foregoing;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prepayment or discharge of any material liability other than in the ordinary course of business or any failure to pay any material liability when due;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write-offs or write-downs of any Assets of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destruction or loss of any Assets of the Company having, or reasonably expected to have, a Material Adverse Effect on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 event or occurrence which individually or in the aggregate could reasonably be expected to have a Material Adverse Effect with respect to the Company; or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commitment to do any of the foregoing.</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2.8 Certain Fees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2.8</w:t>
      </w:r>
      <w:r>
        <w:rPr>
          <w:rFonts w:ascii="Times New Roman" w:cs="Times New Roman" w:eastAsia="Times New Roman" w:hAnsi="Times New Roman"/>
          <w:sz w:val="18"/>
          <w:szCs w:val="18"/>
          <w:color w:val="auto"/>
        </w:rPr>
        <w:t>, no brokerage or finder’s fees or commissions are or will be payable by the Company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financial advisor or consultant, finder, placement agent, investment banker, bank or other person with respect to the transactions contemplated by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2.9 Litigation; Labor Matters; Compliance with Laws.</w:t>
      </w:r>
    </w:p>
    <w:p>
      <w:pPr>
        <w:spacing w:after="0" w:line="229" w:lineRule="exact"/>
        <w:rPr>
          <w:sz w:val="20"/>
          <w:szCs w:val="20"/>
          <w:color w:val="auto"/>
        </w:rPr>
      </w:pPr>
    </w:p>
    <w:p>
      <w:pPr>
        <w:jc w:val="both"/>
        <w:ind w:left="660" w:firstLine="644"/>
        <w:spacing w:after="0" w:line="255" w:lineRule="auto"/>
        <w:tabs>
          <w:tab w:leader="none" w:pos="15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2.9, as of the date of this Agreement, there is no suit, action or proceeding or, to the Knowledge of the Company, investigation pending or, to the Knowledge of the Company, threatened against or affecting the Company, or, to the Knowledge of the Company, any basis for any such suit, action, proceeding or investigation, in each case that, individually or in the aggregate, could reasonably be expected to have a Material Adverse Effect with respect to the Company or prevent, hinder or materially delay the ability of the Company to consummate the transactions contemplated by this Agreement, nor is there any judgment, decree, injunction, or Order of any Governmental Entity or arbitrator outstanding against the Company having, or which, insofar as reasonably could be foreseen by the Company in the future could have, any such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left="660" w:firstLine="644"/>
        <w:spacing w:after="0" w:line="258" w:lineRule="auto"/>
        <w:tabs>
          <w:tab w:leader="none" w:pos="1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Company.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statutes, Laws, regulations, ordinances, rules, judgments, Orders, decrees or arbitration awards applicable to the Company or by which the Company or any of its businesses or properties is bound, except for such non-compliance that would not reasonably be expected to have, individually or in the aggregate, a Material Adverse Effect on the Company.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during the past three (3) years have been, in compliance with all applicable regulatory requirements relating to the licensing, permitting, manufacturing, storage, distribution, and sale of their products and services, including all applicable requirements of the Department of Environment of Malaysia, the Energy Commission of Malaysia, and any other applicable Governmental Entity with jurisdiction over the Company’s renewable energy and waste management operations. All licenses, permits, approvals, and authorizations required under applicable Malaysian Law for the operation of the Company’s business have been duly obtained and are in full force and effect, and no material violations have been recorded against any such licenses, permits, approvals, or authorizations.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2.10 Benefit Plans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the Company is not a party to any Benefit Plan under which the Company currently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obligation to provide benefits to any current or former employee, officer or director of the Company. As used herein,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shall mean any employee benefit plan, program, or arrangement of any kind, including any defined benefit or defined contribution plan, share ownership plan, executive compensation program or arrangement, bonus plan, incentive compensation plan or arrangement, profit sharing plan or arrangement, deferred compensation plan, agreement or arrangement, supplemental retirement plan or arrangement, vacation pay, sickness, disability, or death benefit plan (whether provided through insurance, on a funded or unfunded basis, or otherwise), medical or life insurance plan providing benefits to employees, retirees, or former employees or any of their dependents, survivors, or beneficiaries, employee share option or share purchase plan, severance pay, termination, salary continuation, or employee assistance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2.11 Tax Returns and Tax Payments.</w:t>
      </w:r>
    </w:p>
    <w:p>
      <w:pPr>
        <w:spacing w:after="0" w:line="229" w:lineRule="exact"/>
        <w:rPr>
          <w:sz w:val="20"/>
          <w:szCs w:val="20"/>
          <w:color w:val="auto"/>
        </w:rPr>
      </w:pPr>
    </w:p>
    <w:p>
      <w:pPr>
        <w:jc w:val="both"/>
        <w:ind w:left="660" w:firstLine="644"/>
        <w:spacing w:after="0" w:line="253" w:lineRule="auto"/>
        <w:tabs>
          <w:tab w:leader="none" w:pos="15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timely filed with the appropriate taxing authorities all material Tax Returns required to be filed by it (taking into account all applicable extensions). All such Tax Returns are true, correct and complete in all material respects. All material Taxes due and owing by the Company have been paid (whether or not shown on any Tax Return and whether or not any Tax Return was required). Except as set forth on </w:t>
      </w:r>
      <w:r>
        <w:rPr>
          <w:rFonts w:ascii="Times New Roman" w:cs="Times New Roman" w:eastAsia="Times New Roman" w:hAnsi="Times New Roman"/>
          <w:sz w:val="18"/>
          <w:szCs w:val="18"/>
          <w:u w:val="single" w:color="auto"/>
          <w:color w:val="auto"/>
        </w:rPr>
        <w:t>Schedule 2.11</w:t>
      </w:r>
      <w:r>
        <w:rPr>
          <w:rFonts w:ascii="Times New Roman" w:cs="Times New Roman" w:eastAsia="Times New Roman" w:hAnsi="Times New Roman"/>
          <w:sz w:val="18"/>
          <w:szCs w:val="18"/>
          <w:color w:val="auto"/>
        </w:rPr>
        <w:t>, the Company is not currently the beneficiary of any extension of time within which to file any Tax Return or pay any Tax. No claim has ever been made in writing or, to the Knowledge of the Company, otherwise addressed to the Company by a taxing authority in a jurisdiction where the Company does not file Tax Returns that it is or may be subject to taxation by that jurisdiction. The unpaid Taxes of the Company did not, as of the Company Balance Sheet Date, materially exceed the reserve for Tax liability (excluding any reserve for deferred Taxes established to reflect timing differences between book and Tax income) set forth on the face of the most recent balance sheet included in the Company Financial Statements (rather than in any notes thereto). Since the Company Balance Sheet Date, the Company has not incurred any material liability for Taxes outside the ordinary course of business consistent with past practice. As of the Closing Date, the unpaid Taxes of the Company will not materially exceed the reserve for Tax liability (excluding any reserve for deferred Taxes established to reflect timing differences between book and Tax income) set forth on the books and records of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left="660" w:firstLine="644"/>
        <w:spacing w:after="0" w:line="258" w:lineRule="auto"/>
        <w:tabs>
          <w:tab w:leader="none" w:pos="1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claim for unpaid Taxes has been made or asserted in writing against the Company or become a Lien against the property of the Company, no audit of any Tax Return of the Company is being conducted by a tax authority, and no extension of the statute of limitations on the assessment of any Taxes has been granted by the Company and is currently in effect. The Company has withheld and paid all material Taxes required to have been withheld and paid in connection with amounts paid or owing to any employee, independent contractor, creditor, shareholder or other third party.</w:t>
      </w:r>
    </w:p>
    <w:p>
      <w:pPr>
        <w:spacing w:after="0" w:line="179" w:lineRule="exact"/>
        <w:rPr>
          <w:rFonts w:ascii="Times New Roman" w:cs="Times New Roman" w:eastAsia="Times New Roman" w:hAnsi="Times New Roman"/>
          <w:sz w:val="18"/>
          <w:szCs w:val="18"/>
          <w:color w:val="auto"/>
        </w:rPr>
      </w:pPr>
    </w:p>
    <w:p>
      <w:pPr>
        <w:ind w:left="660" w:firstLine="644"/>
        <w:spacing w:after="0" w:line="286" w:lineRule="auto"/>
        <w:tabs>
          <w:tab w:leader="none" w:pos="15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any return, report or statement required to be filed with any governmental authority with respect to Taxes.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2.12 Environmental Matters. </w:t>
      </w:r>
      <w:r>
        <w:rPr>
          <w:rFonts w:ascii="Times New Roman" w:cs="Times New Roman" w:eastAsia="Times New Roman" w:hAnsi="Times New Roman"/>
          <w:sz w:val="18"/>
          <w:szCs w:val="18"/>
          <w:color w:val="auto"/>
        </w:rPr>
        <w:t>Except for such matters as would not reasonably be expected to have, individually or in the aggregate,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on the Company:</w:t>
      </w:r>
    </w:p>
    <w:p>
      <w:pPr>
        <w:spacing w:after="0" w:line="159" w:lineRule="exact"/>
        <w:rPr>
          <w:sz w:val="20"/>
          <w:szCs w:val="20"/>
          <w:color w:val="auto"/>
        </w:rPr>
      </w:pPr>
    </w:p>
    <w:p>
      <w:pPr>
        <w:jc w:val="both"/>
        <w:ind w:left="660" w:firstLine="644"/>
        <w:spacing w:after="0" w:line="258" w:lineRule="auto"/>
        <w:tabs>
          <w:tab w:leader="none" w:pos="15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during the past three (3) years have been, in compliance in all material respects with all applicable Environmental Laws, including all permits, approvals, licenses, registrations, and authorizations issued by any Governmental Entity, including the Department of Environment of Malaysia (DOE). The Company has not received any unresolved written notice of material violation of Environmental Laws, nor is the Company subject to any pending or, to the Knowledge of the Company, threatened investigation, enforcement action, or proceeding by a Governmental Entity relating to Environmental Laws.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the Company is, and during the past three (3) years have been, in compliance in all material respects with all applicable Malaysian Laws governing the generation, segregation, handling, storage, labeling, transportation, treatment, and disposal of scheduled waste, clinical waste, infectious waste, pathological waste, pharmaceutical waste, sharps, and other regulated healthcare waste (collectively, “</w:t>
      </w:r>
      <w:r>
        <w:rPr>
          <w:rFonts w:ascii="Times New Roman" w:cs="Times New Roman" w:eastAsia="Times New Roman" w:hAnsi="Times New Roman"/>
          <w:sz w:val="18"/>
          <w:szCs w:val="18"/>
          <w:b w:val="1"/>
          <w:bCs w:val="1"/>
          <w:color w:val="auto"/>
        </w:rPr>
        <w:t>Medical Waste</w:t>
      </w:r>
      <w:r>
        <w:rPr>
          <w:rFonts w:ascii="Times New Roman" w:cs="Times New Roman" w:eastAsia="Times New Roman" w:hAnsi="Times New Roman"/>
          <w:sz w:val="18"/>
          <w:szCs w:val="18"/>
          <w:color w:val="auto"/>
        </w:rPr>
        <w:t>”), including without limitation: the Environmental Quality Act 1974, the Environmental Quality (Scheduled Wastes) Regulations 2005, and applicable requirements of the DOE and relevant local authorities. The Company holds all material licenses, approvals, registrations, and permits required under Malaysian Law to conduct its Medical Waste operations (the “</w:t>
      </w:r>
      <w:r>
        <w:rPr>
          <w:rFonts w:ascii="Times New Roman" w:cs="Times New Roman" w:eastAsia="Times New Roman" w:hAnsi="Times New Roman"/>
          <w:sz w:val="18"/>
          <w:szCs w:val="18"/>
          <w:b w:val="1"/>
          <w:bCs w:val="1"/>
          <w:color w:val="auto"/>
        </w:rPr>
        <w:t>Medical Waste Permits</w:t>
      </w:r>
      <w:r>
        <w:rPr>
          <w:rFonts w:ascii="Times New Roman" w:cs="Times New Roman" w:eastAsia="Times New Roman" w:hAnsi="Times New Roman"/>
          <w:sz w:val="18"/>
          <w:szCs w:val="18"/>
          <w:color w:val="auto"/>
        </w:rPr>
        <w:t>”), all of which are valid, in full force and effect, and not subject to suspension or revocation.</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commercially reasonable procedures designed to ensure that only Medical Waste permitted under applicable Law and the Medical Waste Permits is accepted and processed, and prohibited waste streams are not knowingly accepted or treated. To the Knowledge of the Company, the Company has not materially handled, treated, or disposed of waste outside the scope of its Medical Waste Permits.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left="660" w:firstLine="644"/>
        <w:spacing w:after="0" w:line="261" w:lineRule="auto"/>
        <w:tabs>
          <w:tab w:leader="none" w:pos="15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of Medical Waste by or on behalf of the Company is conducted in all material respects in compliance with applicable Malaysian Law. There have been no unauthorized releases, spills, or disposals of Medical Waste at or from any Company facility that have resulted in unresolved material environmental liability, nor is the Company subject to any pending remediation or corrective action obligation arising from its Medical Waste operations.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releases of Hazardous Materials have occurred at, from, in, to, on or under any real property currently or formerly owned, operated or leased by the Company or any predecessor thereof and no Hazardous Materials are present in, on, about or migrating to or from any such property.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liability, absolute or contingent, under any Environmental Law, and there are no past, pending or, to the Knowledge of the Company, threatened claims under Environmental Laws against the Company and Company is not aware of any facts or circumstances that could reasonably be expected to result in a liability or claim against the Company pursuant to Environmental Laws.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2.13 Material Contract Defaults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2.13</w:t>
      </w:r>
      <w:r>
        <w:rPr>
          <w:rFonts w:ascii="Times New Roman" w:cs="Times New Roman" w:eastAsia="Times New Roman" w:hAnsi="Times New Roman"/>
          <w:sz w:val="18"/>
          <w:szCs w:val="18"/>
          <w:color w:val="auto"/>
        </w:rPr>
        <w:t>, the Company is not, and has not received any written notice or has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that any other Party is, in Material Contract Default under any Company Material Contract; and, to the Knowledge of the Company, there has not occurred any event that with the lapse of time or the giving of notice or both would constitute such a Material Contract Default under any Company Material Contract. For purposes of this Agreement, a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xml:space="preserve">” means any Contract that is in effect as of the Closing Date to which the Company is a party (i) with expected receipts or expenditures in excess of $100,000, (ii) requiring the Company to indemnify any person, other than any Contract providing for indemnification of customers or other Persons pursuant to Contracts entered into in the ordinary course of business, (iii) granting exclusive rights to any party, or (iv) evidencing indebtedness for borrowed or loaned money in excess of $100,000, including guarantees of such indebtedness. </w:t>
      </w:r>
      <w:r>
        <w:rPr>
          <w:rFonts w:ascii="Times New Roman" w:cs="Times New Roman" w:eastAsia="Times New Roman" w:hAnsi="Times New Roman"/>
          <w:sz w:val="18"/>
          <w:szCs w:val="18"/>
          <w:u w:val="single" w:color="auto"/>
          <w:color w:val="auto"/>
        </w:rPr>
        <w:t>Schedule 2.13</w:t>
      </w:r>
      <w:r>
        <w:rPr>
          <w:rFonts w:ascii="Times New Roman" w:cs="Times New Roman" w:eastAsia="Times New Roman" w:hAnsi="Times New Roman"/>
          <w:sz w:val="18"/>
          <w:szCs w:val="18"/>
          <w:color w:val="auto"/>
        </w:rPr>
        <w:t xml:space="preserve"> contains a true, correct and complete list of all Company Material Contracts. The Company has made available to Parent true, correct and complete copies of each Company Material Contract. Each Company Material Contract is valid, binding and enforceable in accordance with its terms and is in full force and effect, except as may be limited by bankruptcy, insolvency or similar Laws affecting creditors’ rights generally. Neither the Company nor any other party thereto is in material breach or default under any Company Material Contract, and no event has occurred that, with notice or lapse of time or both, would constitute a material breach or default thereunder or permit termination, modification, or acceleration thereunder. The Company has not received any written notice that any party to any Company Material Contract intends to cancel, terminate, or materially modify such Company Material Contract.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2.14 Accounts Receivable. </w:t>
      </w:r>
      <w:r>
        <w:rPr>
          <w:rFonts w:ascii="Times New Roman" w:cs="Times New Roman" w:eastAsia="Times New Roman" w:hAnsi="Times New Roman"/>
          <w:sz w:val="18"/>
          <w:szCs w:val="18"/>
          <w:color w:val="auto"/>
        </w:rPr>
        <w:t>All of the accounts receivable of the Company that are reflected on the most recent balance sheet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Financial Statements or the accounting records of the Company as of the Closing (collectively, the “</w:t>
      </w: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Accounts Receivable are fully collectible to the extent not reserved for on the balance sheet on which they are shown or on the accounting records of the Company.</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2.15 Properties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2.15</w:t>
      </w:r>
      <w:r>
        <w:rPr>
          <w:rFonts w:ascii="Times New Roman" w:cs="Times New Roman" w:eastAsia="Times New Roman" w:hAnsi="Times New Roman"/>
          <w:sz w:val="18"/>
          <w:szCs w:val="18"/>
          <w:color w:val="auto"/>
        </w:rPr>
        <w:t>, the Company has valid land use rights for all real property that is material to its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good, clear and marketable title to all the tangible properties and tangible Assets reflected in the latest balance sheet included in the Company Financial Statements as being owned by the Company or acquired after the date thereof which are, individually or in the aggregate, material to the Company’s business (except properties sold or otherwise disposed of since the date thereof in the ordinary course of business), free and clear of all Material Liens. Any real property and facilities held under lease by the Company is held by it under valid, subsisting and enforceable leases of which the Company is in compliance, except as could not, individually or in the aggregate, have or reasonably be expected to result in a Material Adverse Effect.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2.16 Intellectual Property.</w:t>
      </w:r>
    </w:p>
    <w:p>
      <w:pPr>
        <w:spacing w:after="0" w:line="225" w:lineRule="exact"/>
        <w:rPr>
          <w:sz w:val="20"/>
          <w:szCs w:val="20"/>
          <w:color w:val="auto"/>
        </w:rPr>
      </w:pPr>
    </w:p>
    <w:p>
      <w:pPr>
        <w:jc w:val="both"/>
        <w:ind w:firstLine="644"/>
        <w:spacing w:after="0" w:line="252"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right, title and interest in or relating to all intellectual property, whether protected, created or arising under the laws of the United States or any other jurisdiction or under any international convention, including, but not limited to the following: (a) service marks, trademarks, trade names, trade dress, logos and corporate names (and any derivations, modifications or adaptations thereof), Internet domain names and Internet websites (and content thereof), together with the goodwill associated with any of the foregoing, and all applications, registrations, renewals and extensions thereof (collectively,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(b) patents and patent applications, including all continuations, divisionals, continuations-in-part and provisionals and patents issuing thereon, and all reissues, reexaminations, substitutions, renewals and extensions thereof (collectively,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(c) copyrights, works of authorship and moral rights, and all registrations, applications, renewals, extensions and reversions thereof (collectively,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(d) confidential and proprietary information, trade secrets and non-public discoveries, concepts, ideas, research and development, technology, know-how, formulae, inventions (whether or not patentable and whether or not reduced to practice), compositions, processes, techniques, technical data and information, procedures, designs, drawings, specifications, databases, customer lists, supplier lists, pricing and cost information, and business and marketing plans and proposals, in each case excluding any rights in respect of any of the foregoing that comprise or are protected by Patents (collectively,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and (e) Technology. For purposes of this Agreement,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means all Software, information, designs, formulae, algorithms, procedures, methods, techniques, ideas, know-how, research and development, technical data, programs, subroutines, tools, materials, specifications, processes, inventions (whether or not patentable and whether or not reduced to practice), apparatus, creations, improvements and other similar materials, and all recordings, graphs, drawings, reports, analyses, and other writings, and other embodiments of any of the foregoing, in any form or media whether or not specifically listed herein. Further, for purposes of this Agreement,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means any and all computer programs, whether in source code or object code; databases and compilations, whether machine readable or otherwise; descriptions, flow-charts and other work product used to design, plan, organize and develop any of the foregoing; and all documentation, including user manuals and other training documentation, related to any of the foregoing.</w:t>
      </w:r>
    </w:p>
    <w:p>
      <w:pPr>
        <w:spacing w:after="0" w:line="193" w:lineRule="exact"/>
        <w:rPr>
          <w:rFonts w:ascii="Times New Roman" w:cs="Times New Roman" w:eastAsia="Times New Roman" w:hAnsi="Times New Roman"/>
          <w:sz w:val="18"/>
          <w:szCs w:val="18"/>
          <w:color w:val="auto"/>
        </w:rPr>
      </w:pPr>
    </w:p>
    <w:p>
      <w:pPr>
        <w:jc w:val="both"/>
        <w:ind w:firstLine="644"/>
        <w:spacing w:after="0" w:line="255" w:lineRule="auto"/>
        <w:tabs>
          <w:tab w:leader="none" w:pos="9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xml:space="preserve"> sets forth a list, as of the date of this Agreement, of all: (a) Company-Owned IP that is the subject of any issuance, registration, certificate, application or other filing by, to or with any Governmental Authority or authorized private registrar, including registered Marks, registered Copyrights, issued Patents, domain name registrations and pending applications for any of the foregoing; (b) material unregistered Company-Owned IP, including, but not limited to all Software developed by or for the Company; and (c) any Software not exclusively owned by the Company and incorporated, embedded or bundled with any Software listed in clause (b) above (except for commercially available software and so-called “shrink wrap” software licensed to the Company on reasonable terms through commercial distributors or in consumer retail stores for a license fee of no more than $20,000).</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0" w:name="page21"/>
    <w:bookmarkEnd w:id="20"/>
    <w:p>
      <w:pPr>
        <w:jc w:val="both"/>
        <w:ind w:left="4" w:firstLine="644"/>
        <w:spacing w:after="0" w:line="254" w:lineRule="auto"/>
        <w:tabs>
          <w:tab w:leader="none" w:pos="8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exclusive owner of or, to the Knowledge of the Company, has a valid and enforceable right to use all Intellectual Property listed for the Company in </w:t>
      </w: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xml:space="preserve"> (and any other Intellectual Property required to be listed in </w:t>
      </w: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as the same are used, sold, licensed and otherwise commercially exploited by the Company, free and clear of all Material Liens, and no such Intellectual Property has been abandoned, except in each case as would not reasonably be expected to have, individually or in the aggregate, a Material Adverse Effect on the Company. To the Knowledge of the Company, the Company-Owned IP and the material Intellectual Property licensed to it pursuant to, to the Knowledge of the Company, valid and enforceable written license agreements include all of the material Intellectual Property necessary and sufficient to enable the Company to conduct its business in substantially the manner in which such business is currently being conducted. To the Knowledge of the Company, its rights in and to the Company-Owned IP are valid and enforceable, except as would not reasonably be expected to have, individually or in the aggregate, a Material Adverse Effect on the Company.</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and is not aware of, any written or oral notice of any reasonable basis for an allegation against the Company of any infringement, misappropriation, or violation by the Company of any rights of any third party with respect to any Intellectual Property, and the Company is not aware of any reasonable basis for any claim challenging the ownership, use, validity or enforceability of any Intellectual Property owned, used or held for use by the Company, in each case except for such allegations or claims that would not reasonably be expected to have, individually or in the aggregate, a Material Adverse Effect on the Company. To the Knowledge of the Company, no third party is infringing, misappropriating, or otherwise violating (or has infringed, misappropriated or violated) any Company-Owned IP or Intellectual Property exclusively licensed to the Company, except as would not be reasonably be expected to have, individually or in the aggregate, a Material Adverse Effect on the Company.</w:t>
      </w:r>
    </w:p>
    <w:p>
      <w:pPr>
        <w:spacing w:after="0" w:line="191"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reasonably be expected to have, individually or in the aggregate, a Material Adverse Effect on the Company,</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business of the Company is not infringing, misappropriating or otherwise violating any Intellectual Property rights of any third parties, and (b) the Company is not aware of any infringement, misappropriation or violation of any third-party rights which will occur as a result of the continued operation of the Company as presently operated and/or the consummation of the transaction contemplated by this Agreement.</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reasonable measures to protect the confidentiality and value of its Trade Secrets (and any confidential information owned by a third party to whom the Company has a confidentiality obligation), except where the failure to take such actions would not reasonably be expected to have, individually or in the aggregate, a Material Adverse Effect on the Company.</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consummation of the transactions contemplated by this Agreement will not adversely affect the right of the Company to own or use any Intellectual Property owned, used or held for use by it), except for any such effect as would not reasonably be expected to have, individually or in the aggregate, a Material Adverse Effect on the Company.</w:t>
      </w:r>
    </w:p>
    <w:p>
      <w:pPr>
        <w:spacing w:after="0" w:line="17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1" w:name="page22"/>
    <w:bookmarkEnd w:id="21"/>
    <w:p>
      <w:pPr>
        <w:jc w:val="both"/>
        <w:ind w:left="660" w:firstLine="644"/>
        <w:spacing w:after="0" w:line="254" w:lineRule="auto"/>
        <w:tabs>
          <w:tab w:leader="none" w:pos="15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necessary registration, maintenance, renewal and other relevant filing fees in connection with any of the Company-Owned IP listed (or required to be listed) on </w:t>
      </w: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xml:space="preserve"> have been timely paid and all necessary registrations, documents, certificates and other relevant filings in connection with such Company-Owned IP have been timely filed with the relevant governmental authorities in the United States or foreign jurisdictions, as the case may be, for the purpose of maintaining such Company-Owned IP and all issuances, registrations and applications therefor, except in each case where the failure to take such actions would not reasonably be expected to have, individually or in the aggregate, a Material Adverse Effect on the Company. To the Knowledge of the Company, there are no material annuities, payments, fees, responses to office actions or other filings necessary to be made and having a due date with respect to any such Company-Owned IP within ninety (90) days after the date of this Agreement.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2.17 Board Recommendation and Affirmative Vote. </w:t>
      </w:r>
      <w:r>
        <w:rPr>
          <w:rFonts w:ascii="Times New Roman" w:cs="Times New Roman" w:eastAsia="Times New Roman" w:hAnsi="Times New Roman"/>
          <w:sz w:val="18"/>
          <w:szCs w:val="18"/>
          <w:color w:val="auto"/>
        </w:rPr>
        <w:t>The Board of Directors of the Company have determined that the terms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fair to and in the best interests of the Selling Shareholders and the Company and recommended that the Selling Shareholders approve the Exchange. The unanimous vote (or written consent) of the Selling Shareholders is required to approve the Exchange and this Agreement (the “</w:t>
      </w:r>
      <w:r>
        <w:rPr>
          <w:rFonts w:ascii="Times New Roman" w:cs="Times New Roman" w:eastAsia="Times New Roman" w:hAnsi="Times New Roman"/>
          <w:sz w:val="18"/>
          <w:szCs w:val="18"/>
          <w:b w:val="1"/>
          <w:bCs w:val="1"/>
          <w:color w:val="auto"/>
        </w:rPr>
        <w:t>Required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 Vote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2.18 Undisclosed Liabilities. </w:t>
      </w:r>
      <w:r>
        <w:rPr>
          <w:rFonts w:ascii="Times New Roman" w:cs="Times New Roman" w:eastAsia="Times New Roman" w:hAnsi="Times New Roman"/>
          <w:sz w:val="18"/>
          <w:szCs w:val="18"/>
          <w:color w:val="auto"/>
        </w:rPr>
        <w:t>The Company has no liabilities, indebtedness or monetary obligations of any nature (whether fixed or unfixed,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or unsecured, known or unknown and whether absolute, accrued, contingent, or otherwise) except for such liabilities, indebtedness or obligations</w:t>
      </w:r>
    </w:p>
    <w:p>
      <w:pPr>
        <w:spacing w:after="0" w:line="1" w:lineRule="exact"/>
        <w:rPr>
          <w:sz w:val="20"/>
          <w:szCs w:val="20"/>
          <w:color w:val="auto"/>
        </w:rPr>
      </w:pPr>
    </w:p>
    <w:p>
      <w:pPr>
        <w:jc w:val="both"/>
        <w:ind w:firstLine="8"/>
        <w:spacing w:after="0" w:line="255" w:lineRule="auto"/>
        <w:tabs>
          <w:tab w:leader="none" w:pos="2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reflected or reserved against in the Company Financial Statements, (ii) incurred in the ordinary course of business after the Company Balance Sheet Date, (iii) incurred in connection with the transactions contemplated by this Agreement, (iv) disclosed in </w:t>
      </w:r>
      <w:r>
        <w:rPr>
          <w:rFonts w:ascii="Times New Roman" w:cs="Times New Roman" w:eastAsia="Times New Roman" w:hAnsi="Times New Roman"/>
          <w:sz w:val="18"/>
          <w:szCs w:val="18"/>
          <w:u w:val="single" w:color="auto"/>
          <w:color w:val="auto"/>
        </w:rPr>
        <w:t>Schedule 2.18</w:t>
      </w:r>
      <w:r>
        <w:rPr>
          <w:rFonts w:ascii="Times New Roman" w:cs="Times New Roman" w:eastAsia="Times New Roman" w:hAnsi="Times New Roman"/>
          <w:sz w:val="18"/>
          <w:szCs w:val="18"/>
          <w:color w:val="auto"/>
        </w:rPr>
        <w:t>, or (v) would not reasonably be expected to have, individually or in the aggregate, a Material Adverse Effect on the Company.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2.19 Cybersecurity</w:t>
      </w:r>
      <w:r>
        <w:rPr>
          <w:rFonts w:ascii="Times New Roman" w:cs="Times New Roman" w:eastAsia="Times New Roman" w:hAnsi="Times New Roman"/>
          <w:sz w:val="18"/>
          <w:szCs w:val="18"/>
          <w:color w:val="auto"/>
        </w:rPr>
        <w:t>. The Company maintain and comply with commercially reasonable cybersecurity, data protection, and information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policies, and procedures designed to protect the confidentiality, integrity, and availability of their information technology systems, networks, and data (including all Personal Data) against unauthorized access, use, modification, disclosure, or other misuse. To the Knowledge of the Company, there has been no (i) material security breach, cyberattack, or other material security incident affecting any such systems, networks, or data, (ii) material unauthorized access to or disclosure of any trade secrets, confidential information, or Personal Data in the Company’s possession or control, or (iii) material violation of any applicable Data Protection Laws by the Company. The Company have implemented commercially reasonable backup and disaster recovery procedures.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2.20 Parent Information. </w:t>
      </w:r>
      <w:r>
        <w:rPr>
          <w:rFonts w:ascii="Times New Roman" w:cs="Times New Roman" w:eastAsia="Times New Roman" w:hAnsi="Times New Roman"/>
          <w:sz w:val="18"/>
          <w:szCs w:val="18"/>
          <w:color w:val="auto"/>
        </w:rPr>
        <w:t>The Company and Selling Shareholders acknowledge that they have had access to the documents filed by Parent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since the end of its most recently completed fiscal year to the date hereof, and has carefully reviewed the same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The Company and Selling Shareholders have carefully considered the potential risks relating to Parent and investing in the Parent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fully understand that such securities are speculative investments, which involve a high degree of risk of loss of the Selling Shareholders’ entire investment. Among others, the Company and Selling Shareholders have carefully considered each of the risks identified under the caption “Risk Factors” in the Exchange Act Documents, which “Risk Factors” are incorporated herein by reference.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2.21 Transactions with Affiliates.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describes any material transactions or relationships between, on the one hand,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other hand, any (i) executive officer or director of the Company or any such executive officer’s or director’s immediate family members, (ii) owner of more than 5% of the voting power of the outstanding capital shares of the Company,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Regulations S-K under the Securities Act.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color w:val="auto"/>
        </w:rPr>
        <w:t xml:space="preserve"> lists each shareholders’ agreement, voting agreement, registration rights agreement, co-sale agreement or other similar Company Material Contract between the Company and any holders of capital share of the Company, including any such Contract granting any Person investor rights, rights of first refusal, rights of first offer, registration rights, director designation rights or similar rights.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2.22 Certain Business Practices.</w:t>
      </w:r>
    </w:p>
    <w:p>
      <w:pPr>
        <w:spacing w:after="0" w:line="229" w:lineRule="exact"/>
        <w:rPr>
          <w:sz w:val="20"/>
          <w:szCs w:val="20"/>
          <w:color w:val="auto"/>
        </w:rPr>
      </w:pPr>
    </w:p>
    <w:p>
      <w:pPr>
        <w:jc w:val="both"/>
        <w:ind w:left="660" w:firstLine="644"/>
        <w:spacing w:after="0" w:line="254" w:lineRule="auto"/>
        <w:tabs>
          <w:tab w:leader="none" w:pos="15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nor any of its respective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the Malaysian Anti-Corruption Commission Act 2009 or any other local or foreign anti-corruption or bribery Law or (iii) made any other unlawful payment. The Company, nor to the Knowledge of the Company, any of their respective representatives acting on their behalf, has directly or indirectly, given or agreed to give any unlawful gift or similar benefit in any material amount to any customer, supplier, governmental employee or other Person who is or may be in a position to help or hinder the Company or assist the Company in connection with any actual or proposed transaction.</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in compliance with money laundering statutes in all applicable jurisdictions, the rules and regulations thereunder and any related or similar rules, regulations or guidelines, issued, administered or enforced by any Governmental Entity, and no action involving the Company with respect to any of the foregoing is pending or, to the Knowledge of the Company, threatened.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respective directors or officers, or, to the Knowledge of the Company, any other representative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on the sanctions lists adopted by the United Nations and/or European Union, as such lists may be extended from time to time (“</w:t>
      </w:r>
      <w:r>
        <w:rPr>
          <w:rFonts w:ascii="Times New Roman" w:cs="Times New Roman" w:eastAsia="Times New Roman" w:hAnsi="Times New Roman"/>
          <w:sz w:val="18"/>
          <w:szCs w:val="18"/>
          <w:b w:val="1"/>
          <w:bCs w:val="1"/>
          <w:color w:val="auto"/>
        </w:rPr>
        <w:t>Sanctions List</w:t>
      </w:r>
      <w:r>
        <w:rPr>
          <w:rFonts w:ascii="Times New Roman" w:cs="Times New Roman" w:eastAsia="Times New Roman" w:hAnsi="Times New Roman"/>
          <w:sz w:val="18"/>
          <w:szCs w:val="18"/>
          <w:color w:val="auto"/>
        </w:rPr>
        <w:t>”) and the Company has not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on the Sanctions List or for the purpose of financing the activities of any Person currently subject to, or otherwise in violation of, any U.S. sanctions administered by OFAC or the Sanctions List.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2.23 Independent Investigation</w:t>
      </w:r>
      <w:r>
        <w:rPr>
          <w:rFonts w:ascii="Times New Roman" w:cs="Times New Roman" w:eastAsia="Times New Roman" w:hAnsi="Times New Roman"/>
          <w:sz w:val="18"/>
          <w:szCs w:val="18"/>
          <w:color w:val="auto"/>
        </w:rPr>
        <w:t>. The Company and Selling Shareholders have conducted their own independent investigation, review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of the business, results of operations, prospects, condition (financial or otherwise) or assets of Parent, and acknowledge that they have been provided adequate access to the personnel, properties, assets, premises, books and records, and other documents and data of Parent for such purpose. The Company and Selling Shareholders acknowledge and agree that in making their decision to enter into this Agreement and to consummate the transactions contemplated under this Agreement, they have relied solely upon their own investigation and the express representations and warranties of Parent set forth in this Agreement (including the related portions of Parent Disclosure Schedules) and in any certificate delivered to the Company and/or the Selling Shareholders pursuant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2.24 No Other Representations or Warranties. </w:t>
      </w:r>
      <w:r>
        <w:rPr>
          <w:rFonts w:ascii="Times New Roman" w:cs="Times New Roman" w:eastAsia="Times New Roman" w:hAnsi="Times New Roman"/>
          <w:sz w:val="18"/>
          <w:szCs w:val="18"/>
          <w:color w:val="auto"/>
        </w:rPr>
        <w:t>The Company and Selling Shareholders hereby acknowledge and agree that, except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and warranties contained in this Agreement, neither Parent nor any other Person on behalf of Parent makes any express or implied representation or warranty with respect to Parent, or with respect to any other information provided to the Company, any of the Selling Shareholders or any of their respective Affiliates in connection with the transactions contemplated by this Agreement, and (subject to the express representations and warranties of Parent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(in each case as qualified and limited by the Parent Disclosure Schedule)) none of the Company, or any of its representatives or the Selling Shareholders, has relied on any such information (including the accuracy or completeness thereof).</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2.25 Full Disclosure</w:t>
      </w:r>
      <w:r>
        <w:rPr>
          <w:rFonts w:ascii="Times New Roman" w:cs="Times New Roman" w:eastAsia="Times New Roman" w:hAnsi="Times New Roman"/>
          <w:sz w:val="18"/>
          <w:szCs w:val="18"/>
          <w:color w:val="auto"/>
        </w:rPr>
        <w:t>. The representations and warranties made by the Company and Selling Shareholders in this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Disclosure Schedules attached hereto, and all statements set forth in the certificates delivered by the Company and Selling Shareholders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Parent represents and warrants to the Company and Selling Shareholders that, except as set forth in the Parent SEC Documents and the Parent Disclosure Schedule:</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Organization, Standing and Corporate Power. </w:t>
      </w:r>
      <w:r>
        <w:rPr>
          <w:rFonts w:ascii="Times New Roman" w:cs="Times New Roman" w:eastAsia="Times New Roman" w:hAnsi="Times New Roman"/>
          <w:sz w:val="18"/>
          <w:szCs w:val="18"/>
          <w:color w:val="auto"/>
        </w:rPr>
        <w:t>Parent is duly organized, validly existing and in good standing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and has the requisite corporate power and authority to own, lease and operate its properties and carry on its business as now being conducted. Parent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Parent. Parent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 with respect to Parent. Shares of common stock of Parent, par value $0.001 (“</w:t>
      </w:r>
      <w:r>
        <w:rPr>
          <w:rFonts w:ascii="Times New Roman" w:cs="Times New Roman" w:eastAsia="Times New Roman" w:hAnsi="Times New Roman"/>
          <w:sz w:val="18"/>
          <w:szCs w:val="18"/>
          <w:b w:val="1"/>
          <w:bCs w:val="1"/>
          <w:color w:val="auto"/>
        </w:rPr>
        <w:t>Parent Common Stock</w:t>
      </w:r>
      <w:r>
        <w:rPr>
          <w:rFonts w:ascii="Times New Roman" w:cs="Times New Roman" w:eastAsia="Times New Roman" w:hAnsi="Times New Roman"/>
          <w:sz w:val="18"/>
          <w:szCs w:val="18"/>
          <w:color w:val="auto"/>
        </w:rPr>
        <w:t>”), are listed on the Nasdaq under the symbol “</w:t>
      </w:r>
      <w:r>
        <w:rPr>
          <w:rFonts w:ascii="Times New Roman" w:cs="Times New Roman" w:eastAsia="Times New Roman" w:hAnsi="Times New Roman"/>
          <w:sz w:val="18"/>
          <w:szCs w:val="18"/>
          <w:b w:val="1"/>
          <w:bCs w:val="1"/>
          <w:color w:val="auto"/>
        </w:rPr>
        <w:t>BGMS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3.2 Subsidiaries.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3.2</w:t>
      </w:r>
      <w:r>
        <w:rPr>
          <w:rFonts w:ascii="Times New Roman" w:cs="Times New Roman" w:eastAsia="Times New Roman" w:hAnsi="Times New Roman"/>
          <w:sz w:val="18"/>
          <w:szCs w:val="18"/>
          <w:color w:val="auto"/>
        </w:rPr>
        <w:t>, Parent has no Subsidiaries.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3.3 Capital Structure of Parent. </w:t>
      </w:r>
      <w:r>
        <w:rPr>
          <w:rFonts w:ascii="Times New Roman" w:cs="Times New Roman" w:eastAsia="Times New Roman" w:hAnsi="Times New Roman"/>
          <w:sz w:val="18"/>
          <w:szCs w:val="18"/>
          <w:color w:val="auto"/>
        </w:rPr>
        <w:t>The authorized capital stock of Parent as of the date hereof consists of (i) 600,000,000 shares of Parent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which 5,519,456 shares are issued and outstanding, and (ii) 5,000,000 shares of Preferred Stock, par value $0.001 (“</w:t>
      </w:r>
      <w:r>
        <w:rPr>
          <w:rFonts w:ascii="Times New Roman" w:cs="Times New Roman" w:eastAsia="Times New Roman" w:hAnsi="Times New Roman"/>
          <w:sz w:val="18"/>
          <w:szCs w:val="18"/>
          <w:b w:val="1"/>
          <w:bCs w:val="1"/>
          <w:color w:val="auto"/>
        </w:rPr>
        <w:t>Parent Preferred Stock</w:t>
      </w:r>
      <w:r>
        <w:rPr>
          <w:rFonts w:ascii="Times New Roman" w:cs="Times New Roman" w:eastAsia="Times New Roman" w:hAnsi="Times New Roman"/>
          <w:sz w:val="18"/>
          <w:szCs w:val="18"/>
          <w:color w:val="auto"/>
        </w:rPr>
        <w:t>”), of which 135,537 shares are issued and outstanding, and 27,823 shares of Parent Common Stock or Parent Preferred Stock issuable upon the exercise of outstanding warrants, convertible notes, options or otherwise. All outstanding shares of capital stock of Parent are duly authorized, validly issued, fully paid and nonassessable, not subject to preemptive rights, and issued in compliance with all applicable state and federal Laws concerning the issuance of securities. Except for the Parent Common Stock and Parent Preferred Stock, there are no outstanding bonds, debentures, notes or other indebtedness or other securities of Parent having the right to vote (or convertible into, or exchangeable for, securities having the right to vote). Except as set forth in the SEC Parent Documents, there are no outstanding securities, options, warrants, calls, rights, commitments, agreements, arrangements or undertakings of any kind to which Parent is a party or by which Parent is bound obligating Parent to issue, deliver or sell, or cause to be issued, delivered or sold, additional shares of capital stock or other equity securities of Parent or obligating Parent to issue, deliver or sell, or cause to be issued, delivered or sold, additional shares of capital stock or other equity securities of Parent or obligating Parent to issue, grant, extend or enter into any such security, option, warrant, call, right, commitment, agreement, arrangement or undertaking. Except as set forth in the SEC Parent Documents, there are no outstanding contractual obligations, commitments, understandings or arrangements of Parent or any of its subsidiaries to repurchase, redeem or otherwise acquire or make any payment in respect of any shares of capital stock of Parent or any of its subsidiaries. Except as set forth in the SEC Parent Documents, there are no agreements or arrangements pursuant to which Parent is or could be required to register shares of Parent Common Stock or other securities under the Securities Act or other agreements or arrangements with or among any security holders of Parent with respect to securities of Parent.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3.4 Corporate Authority; Noncontravention</w:t>
      </w:r>
      <w:r>
        <w:rPr>
          <w:rFonts w:ascii="Times New Roman" w:cs="Times New Roman" w:eastAsia="Times New Roman" w:hAnsi="Times New Roman"/>
          <w:sz w:val="18"/>
          <w:szCs w:val="18"/>
          <w:color w:val="auto"/>
        </w:rPr>
        <w:t>. Parent has all requisite corporate power and authority to enter into this Agreement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the approval of its stockholders, to consummate the transactions contemplated by this Agreement. The execution and delivery of this Agreement by Parent and the consummation by Parent of the transactions contemplated hereby have been (or at Closing will have been) duly authorized by all necessary corporate action on the part of Parent. This Agreement has been duly executed and when delivered by Parent, shall constitute a valid and binding obligation of Parent, enforceable against Parent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loss of a material benefit under, or result in the creation of any Lien upon any of the properties or Assets of Parent under, (i) the certificate of incorporation, bylaws, or other charter documents of Parent, (ii) any loan or credit agreement, note, bond, mortgage, indenture, lease or other agreement, instrument, Permit, concession, franchise or license applicable to Parent, its properties or Assets, or (iii) subject to the governmental filings and other matters referred to in the following sentence, any judgment, Order, decree, statute, Law, ordinance, rule, regulation or arbitration award applicable to Parent, its properties or Assets, other than, in the case of clauses (ii) and (iii), any such conflicts, breaches, violations, Defaults, rights, losses or Liens that individually or in the aggregate would not have a Material Adverse Effect with respect to Parent or would not prevent, hinder or materially delay the ability of Parent to consummate the transactions contemplated by this Agreement.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3.5 Government Authorization</w:t>
      </w:r>
      <w:r>
        <w:rPr>
          <w:rFonts w:ascii="Times New Roman" w:cs="Times New Roman" w:eastAsia="Times New Roman" w:hAnsi="Times New Roman"/>
          <w:sz w:val="18"/>
          <w:szCs w:val="18"/>
          <w:color w:val="auto"/>
        </w:rPr>
        <w:t>. No consent, approval, Order or authorization of, or registration, declaration or filing with, or notice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is required to be obtained or made by Parent in connection with the execution and delivery of this Agreement by Parent, or the consummation by Parent of the transactions contemplated hereby, except any filings under the DGCL, Malaysian Companies Act, Nasdaq, the Securities Act, the Exchange Act or any applicable state securities or “blue sky”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3.6 SEC Documents; Undisclosed Liabilities; Financial Statements.</w:t>
      </w:r>
    </w:p>
    <w:p>
      <w:pPr>
        <w:spacing w:after="0" w:line="229" w:lineRule="exact"/>
        <w:rPr>
          <w:sz w:val="20"/>
          <w:szCs w:val="20"/>
          <w:color w:val="auto"/>
        </w:rPr>
      </w:pPr>
    </w:p>
    <w:p>
      <w:pPr>
        <w:jc w:val="both"/>
        <w:ind w:left="660" w:firstLine="644"/>
        <w:spacing w:after="0" w:line="252" w:lineRule="auto"/>
        <w:tabs>
          <w:tab w:leader="none" w:pos="15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all reports, schedules, forms, statements and other documents as required by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Parent has delivered or made available to the Company all reports, schedules, forms, statements and other documents filed with the SEC (collectively, and in each case including all exhibits and schedules thereto and documents incorporated by reference therein,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As of their respective dates, the Parent SEC Documents complied in all material respects with the requirements of the Securities Act or the Exchange Act, as the case may be, and the rules and regulations of the SEC promulgated thereunder applicable to such Parent SEC Documents. Except to the extent revised or superseded by a subsequent filing with the SEC (a copy of which has been provided to the Company prior to the date of this Agreement),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consolidated financial statements of Parent included in such Parent SEC Documents comply as to form in all material respects with applicable accounting requirements and the published rules and regulations of the SEC with respect thereto, have been prepared in accordance with GAAP (except, in the case of unaudited consolidated quarterly statements, as permitted by Form 10-Q of the SEC) applied on a consistent basis during the periods involved (except as may be indicated in the notes thereto) and fairly present the consolidated financial position of Parent and its consolidated subsidiaries as of the dates thereof and the consolidated results of operations and changes in cash flows for the periods then ended (subject, in the case of unaudited quarterly statements, to normal year-end audit adjustments as determined by Parent’s independent accountants). Except as set forth in the Parent SEC Documents, at the date of the most recent financial statements of Parent included in the Parent SEC Documents, Parent has not incurred any liabilities or monetary obligations of any nature (whether accrued, absolute, contingent or otherwise), which, individually, or in the aggregate, could reasonably be expected to have a Material Adverse Effect on Parent.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2026 (the “</w:t>
      </w:r>
      <w:r>
        <w:rPr>
          <w:rFonts w:ascii="Times New Roman" w:cs="Times New Roman" w:eastAsia="Times New Roman" w:hAnsi="Times New Roman"/>
          <w:sz w:val="18"/>
          <w:szCs w:val="18"/>
          <w:b w:val="1"/>
          <w:bCs w:val="1"/>
          <w:color w:val="auto"/>
        </w:rPr>
        <w:t>Parent Balance Sheet Date</w:t>
      </w:r>
      <w:r>
        <w:rPr>
          <w:rFonts w:ascii="Times New Roman" w:cs="Times New Roman" w:eastAsia="Times New Roman" w:hAnsi="Times New Roman"/>
          <w:sz w:val="18"/>
          <w:szCs w:val="18"/>
          <w:color w:val="auto"/>
        </w:rPr>
        <w:t>”), there has been no Material Adverse Effect with respect to Parent.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Parent SEC Documents filed prior to the date hereof or as provided in this Agreement, since the Parent Balance Sheet Date, Parent has not (i) issued, sold or otherwise disposed of, or agreed to issue, sell or otherwise dispose of, any capital stock or any other security of Parent or (ii) granted or agreed to grant any option, warrant or other right to subscribe for or to purchase any capital stock or any other security of Parent.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3.7 Absence of Certain Changes</w:t>
      </w:r>
      <w:r>
        <w:rPr>
          <w:rFonts w:ascii="Times New Roman" w:cs="Times New Roman" w:eastAsia="Times New Roman" w:hAnsi="Times New Roman"/>
          <w:sz w:val="18"/>
          <w:szCs w:val="18"/>
          <w:color w:val="auto"/>
        </w:rPr>
        <w:t>. Except as disclosed in the Parent SEC Documents filed prior to the date hereof or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the Parent Balance Sheet Date, Parent has conducted its business only in the ordinary course consistent with past practice in light of its current business circumstances, and there is not and has not been any:</w:t>
      </w:r>
    </w:p>
    <w:p>
      <w:pPr>
        <w:spacing w:after="0" w:line="175" w:lineRule="exact"/>
        <w:rPr>
          <w:sz w:val="20"/>
          <w:szCs w:val="20"/>
          <w:color w:val="auto"/>
        </w:rPr>
      </w:pPr>
    </w:p>
    <w:p>
      <w:pPr>
        <w:ind w:left="660" w:firstLine="644"/>
        <w:spacing w:after="0" w:line="282" w:lineRule="auto"/>
        <w:tabs>
          <w:tab w:leader="none" w:pos="15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 which, if it had taken place following the execution of this Agreement, would not have been permitted by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without prior consent of the Company;</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event or occurrence which could reasonably be expected to prevent, hinder or materially delay the ability of Parent to consummate the transactions contemplated by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assumption or guarantee by Parent of any indebtedness for borrowed money other than in the ordinary course and in amounts and on terms consistent with past practices;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or other incurrence by Parent of any Lien on any asset other than in the ordinary course consistent with past practices;</w:t>
      </w:r>
    </w:p>
    <w:p>
      <w:pPr>
        <w:spacing w:after="0" w:line="22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 other than routine, individual grievances, or, to the Knowledge of Parent, any activity or proceeding by a labor union or representative thereof to organize any employees of Parent or any lockouts, strikes, slowdowns, work stoppages, or to the Knowledge of Parent, or threats by or with respect to such employees to do any of the foregoing;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prepayment or discharge of any material liability other than in the ordinary course of business or any failure to pay any material liability when due;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write-offs or write-downs of any Assets of Parent;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destruction or loss of any Assets of Parent having, or reasonably expected to have, a Material Adverse Effect on Parent;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 event or occurrence which individually or in the aggregate could reasonably be expected to have a Material Adverse Effect with respect to Parent; or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commitment to do any of the foregoing.</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3.8 Certain Fees. </w:t>
      </w:r>
      <w:r>
        <w:rPr>
          <w:rFonts w:ascii="Times New Roman" w:cs="Times New Roman" w:eastAsia="Times New Roman" w:hAnsi="Times New Roman"/>
          <w:sz w:val="18"/>
          <w:szCs w:val="18"/>
          <w:color w:val="auto"/>
        </w:rPr>
        <w:t>No brokerage or finder’s fees or commissions are or will be payable by Parent to any broker, financial advisor or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 placement agent, investment banker, bank or other person with respect to the transactions contemplated by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3.9 Litigation; Labor Matters; Compliance with Laws.</w:t>
      </w:r>
    </w:p>
    <w:p>
      <w:pPr>
        <w:spacing w:after="0" w:line="229" w:lineRule="exact"/>
        <w:rPr>
          <w:sz w:val="20"/>
          <w:szCs w:val="20"/>
          <w:color w:val="auto"/>
        </w:rPr>
      </w:pPr>
    </w:p>
    <w:p>
      <w:pPr>
        <w:jc w:val="both"/>
        <w:ind w:left="660" w:firstLine="644"/>
        <w:spacing w:after="0" w:line="256" w:lineRule="auto"/>
        <w:tabs>
          <w:tab w:leader="none" w:pos="1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except as set forth on </w:t>
      </w:r>
      <w:r>
        <w:rPr>
          <w:rFonts w:ascii="Times New Roman" w:cs="Times New Roman" w:eastAsia="Times New Roman" w:hAnsi="Times New Roman"/>
          <w:sz w:val="18"/>
          <w:szCs w:val="18"/>
          <w:u w:val="single" w:color="auto"/>
          <w:color w:val="auto"/>
        </w:rPr>
        <w:t>Schedule 3.9</w:t>
      </w:r>
      <w:r>
        <w:rPr>
          <w:rFonts w:ascii="Times New Roman" w:cs="Times New Roman" w:eastAsia="Times New Roman" w:hAnsi="Times New Roman"/>
          <w:sz w:val="18"/>
          <w:szCs w:val="18"/>
          <w:color w:val="auto"/>
        </w:rPr>
        <w:t>, there is no suit, action or proceeding or, to the Knowledge of Parent, investigation pending or, to the Knowledge of Parent, threatened against or affecting Parent or to the Knowledge of Parent, any basis for any such suit, action, proceeding or investigation in each case that, individually or in the aggregate, could reasonably be expected to have a Material Adverse Effect with respect to Parent or prevent, hinder or materially delay the ability of Parent to consummate the transactions contemplated by this Agreement, nor is there any judgment, decree, injunction, or Order of any Governmental Entity or arbitrator outstanding against Parent having, or which, insofar as reasonably could be foreseen by Parent, in the future could have, any such effect.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Parent.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with all statutes, Laws, regulations, ordinances, rules, judgments, Orders, decrees or arbitration awards applicable to Parent or by which Parent or any of its businesses or properties is bound, except for such non-compliance that would not reasonably be expected to have, individually or in the aggregate, a Material Adverse Effect on Parent.</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3.10 Benefit Plans</w:t>
      </w:r>
      <w:r>
        <w:rPr>
          <w:rFonts w:ascii="Times New Roman" w:cs="Times New Roman" w:eastAsia="Times New Roman" w:hAnsi="Times New Roman"/>
          <w:sz w:val="18"/>
          <w:szCs w:val="18"/>
          <w:color w:val="auto"/>
        </w:rPr>
        <w:t>. Except as set forth in the SEC Parent Documents, Parent is not a party to any Benefit Plan under which Parent currently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obligation to provide benefits to any current or former employee, officer or director of Parent.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color w:val="auto"/>
        </w:rPr>
        <w:t>3.11 Tax Returns and Tax Payments.</w:t>
      </w:r>
    </w:p>
    <w:p>
      <w:pPr>
        <w:spacing w:after="0" w:line="229" w:lineRule="exact"/>
        <w:rPr>
          <w:sz w:val="20"/>
          <w:szCs w:val="20"/>
          <w:color w:val="auto"/>
        </w:rPr>
      </w:pPr>
    </w:p>
    <w:p>
      <w:pPr>
        <w:jc w:val="both"/>
        <w:ind w:left="660" w:firstLine="644"/>
        <w:spacing w:after="0" w:line="253" w:lineRule="auto"/>
        <w:tabs>
          <w:tab w:leader="none" w:pos="15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with the appropriate taxing authorities all material Tax Returns required to be filed by it (taking into account all applicable extensions). All such Tax Returns are true, correct and complete in all material respects. All material Taxes due and owing by Parent has been paid (whether or not shown on any Tax Return and whether or not any Tax Return was required). Parent is not currently the beneficiary of any extension of time within which to file any Tax Return or pay any Tax. No claim has ever been made in writing or, to the Knowledge of Parent, otherwise addressed to Parent by a taxing authority in a jurisdiction where Parent does not file Tax Returns that it is or may be subject to taxation by that jurisdiction. The unpaid Taxes of Parent did not, as of the Parent Balance Sheet Date, materially exceed the reserve for Tax liability (excluding any reserve for deferred Taxes established to reflect timing differences between book and Tax income) set forth on the face of the most recent balance sheet included in the Parent SEC Documents (rather than in any notes thereto). Since the Parent Balance Sheet Date, Parent has not incurred any material liability for Taxes outside the ordinary course of business consistent with past practice. As of the Closing Date, the unpaid Taxes of Parent will not materially exceed the reserve for Tax liability (excluding any reserve for deferred Taxes established to reflect timing differences between book and Tax income) set forth on the books and records of Parent.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claim for unpaid Taxes has been made or asserted in writing against Parent or become a Lien against the property of Parent, no audit of any Tax Return of Parent is being conducted by a tax authority, and no extension of the statute of limitations on the assessment of any Taxes has been granted by Parent and is currently in effect. Parent has withheld and paid all material Taxes required to have been withheld and paid in connection with amounts paid or owing to any employee, independent contractor, creditor, stockholder or other third party.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3.12 Environmental Matters. </w:t>
      </w:r>
      <w:r>
        <w:rPr>
          <w:rFonts w:ascii="Times New Roman" w:cs="Times New Roman" w:eastAsia="Times New Roman" w:hAnsi="Times New Roman"/>
          <w:sz w:val="18"/>
          <w:szCs w:val="18"/>
          <w:color w:val="auto"/>
        </w:rPr>
        <w:t>Except for such matters as would not reasonably be expected to have, individually or in the aggregate,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on Parent, (i) Parent is in compliance with all Environmental Laws; (ii) Parent has not received any written notice regarding any violation of any Environmental Laws, including any investigatory, remedial or corrective obligations, which, if determined adversely to Parent, would reasonably be expected to have, either individually or in the aggregate, a Material Adverse Effect; (iii) Parent holds all Permits and authorizations required under applicable Environmental Laws and is compliance with all terms, conditions and provisions of all such Permits and authorizations; (iv) no releases of Hazardous Materials have occurred at, from, in, to, on or under any real property currently or formerly owned, operated or leased by Parent or any predecessor thereof and no Hazardous Materials are present in, on, about or migrating to or from any such property; (v) Parent has not transported or arranged for the treatment, storage, handling, disposal, or transportation of any Hazardous Material to any off-site location; (vi) Parent has no liability, absolute or contingent, under any Environmental Law; and (vii) there are no past, pending or, to the Knowledge of Parent, threatened claims under Environmental Laws against Parent and Parent is not aware of any facts or circumstances that could reasonably be expected to result in a liability or claim against Parent pursuant to Environmental Laws.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3.13 Material Contract Defaults</w:t>
      </w:r>
      <w:r>
        <w:rPr>
          <w:rFonts w:ascii="Times New Roman" w:cs="Times New Roman" w:eastAsia="Times New Roman" w:hAnsi="Times New Roman"/>
          <w:sz w:val="18"/>
          <w:szCs w:val="18"/>
          <w:color w:val="auto"/>
        </w:rPr>
        <w:t>. Parent is not and has not received any written notice or has any Knowledge that any other Party is, in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Default under any Parent Material Contract; and to the Knowledge of Parent, there has not occurred any event that with the lapse of time or the giving of notice or both would constitute such a Material Contract Default and any Parent Material Contract. For purposes of this Agreement,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that is in effect as of the Closing Date to which Parent is a party (i) with expected receipts or expenditures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 of $100,000, (ii) requiring Parent to indemnify any person, other than any Contract providing for indemnification of customers or other Persons pursuant to Contract entered into in the ordinary course of business, (iii) granting exclusive rights to any party, or (iv) evidencing indebtedness for borrowed or loaned money in excess of $100,000, including guarantees of such indebtedness.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3.14 Accounts Receivable</w:t>
      </w:r>
      <w:r>
        <w:rPr>
          <w:rFonts w:ascii="Times New Roman" w:cs="Times New Roman" w:eastAsia="Times New Roman" w:hAnsi="Times New Roman"/>
          <w:sz w:val="18"/>
          <w:szCs w:val="18"/>
          <w:color w:val="auto"/>
        </w:rPr>
        <w:t>. All of the accounts receivable of Parent that are reflected on the most recent balance sheet included in the Parent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the accounting records of Parent as of the Closing (collectively, the “</w:t>
      </w:r>
      <w:r>
        <w:rPr>
          <w:rFonts w:ascii="Times New Roman" w:cs="Times New Roman" w:eastAsia="Times New Roman" w:hAnsi="Times New Roman"/>
          <w:sz w:val="18"/>
          <w:szCs w:val="18"/>
          <w:b w:val="1"/>
          <w:bCs w:val="1"/>
          <w:color w:val="auto"/>
        </w:rPr>
        <w:t>Parent Accounts Receivable</w:t>
      </w:r>
      <w:r>
        <w:rPr>
          <w:rFonts w:ascii="Times New Roman" w:cs="Times New Roman" w:eastAsia="Times New Roman" w:hAnsi="Times New Roman"/>
          <w:sz w:val="18"/>
          <w:szCs w:val="18"/>
          <w:color w:val="auto"/>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Parent Accounts Receivable are fully collectible to the extent not reserved for on the balance sheet on which they are shown or on the accounting records of Parent.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3.15 Properties</w:t>
      </w:r>
      <w:r>
        <w:rPr>
          <w:rFonts w:ascii="Times New Roman" w:cs="Times New Roman" w:eastAsia="Times New Roman" w:hAnsi="Times New Roman"/>
          <w:sz w:val="18"/>
          <w:szCs w:val="18"/>
          <w:color w:val="auto"/>
        </w:rPr>
        <w:t>. Parent has valid land use rights for all real property that is material to its business and good, clear and marketable title to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tangible properties and tangible Assets reflected in the latest balance sheet included in the Parent SEC Documents as being owned by Parent or acquired after the date thereof which are, individually or in the aggregate, material to Parent’s business (except properties sold or otherwise disposed of since the date thereof in the ordinary course of business), free and clear of all Material Liens. Any real property and facilities held under lease by Parent are held by it under valid, subsisting and enforceable leases of which Parent is in compliance, except as could not, individually or in the aggregate, have or reasonably be expected to result in a Material Adverse Effect.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3.16 Intellectual Property</w:t>
      </w:r>
      <w:r>
        <w:rPr>
          <w:rFonts w:ascii="Times New Roman" w:cs="Times New Roman" w:eastAsia="Times New Roman" w:hAnsi="Times New Roman"/>
          <w:sz w:val="18"/>
          <w:szCs w:val="18"/>
          <w:color w:val="auto"/>
        </w:rPr>
        <w:t>. Parent owns or has valid rights to use the Trademarks, trade names, domain names, copyrights, patents, logos,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computer software programs (including, without limitation, the source codes thereto) that are necessary for the conduct of its business as now being conducted. All of Parent’s licenses to use Software programs are current and have been paid for the appropriate number of users. To the Knowledge of Parent , none of Parent’s Intellectual Property or Parent’s License Agreements infringe upon the rights of any third party that may give rise to a cause of action or claim against Parent or its successors.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3.17 Board Determination and Vote Required. </w:t>
      </w:r>
      <w:r>
        <w:rPr>
          <w:rFonts w:ascii="Times New Roman" w:cs="Times New Roman" w:eastAsia="Times New Roman" w:hAnsi="Times New Roman"/>
          <w:sz w:val="18"/>
          <w:szCs w:val="18"/>
          <w:color w:val="auto"/>
        </w:rPr>
        <w:t>The Board of Directors of Parent has unanimously determined that the terms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transactions contemplated under this Agreement are fair to and in the best interests of Parent and its stockholders. The affirmative vote of a majority of</w:t>
      </w:r>
    </w:p>
    <w:p>
      <w:pPr>
        <w:spacing w:after="0" w:line="1" w:lineRule="exact"/>
        <w:rPr>
          <w:sz w:val="20"/>
          <w:szCs w:val="20"/>
          <w:color w:val="auto"/>
        </w:rPr>
      </w:pPr>
    </w:p>
    <w:p>
      <w:pPr>
        <w:jc w:val="both"/>
        <w:ind w:firstLine="8"/>
        <w:spacing w:after="0" w:line="252" w:lineRule="auto"/>
        <w:tabs>
          <w:tab w:leader="none" w:pos="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Common Stock properly cast is the only vote of the holders of any class or series of Parent’s capital stock necessary to approve this Agreement and thereby approve the transactions contemplated under this Agreement, including the Exchange (the “</w:t>
      </w:r>
      <w:r>
        <w:rPr>
          <w:rFonts w:ascii="Times New Roman" w:cs="Times New Roman" w:eastAsia="Times New Roman" w:hAnsi="Times New Roman"/>
          <w:sz w:val="18"/>
          <w:szCs w:val="18"/>
          <w:b w:val="1"/>
          <w:bCs w:val="1"/>
          <w:color w:val="auto"/>
        </w:rPr>
        <w:t>Parent Stockholder Exchange Vote</w:t>
      </w:r>
      <w:r>
        <w:rPr>
          <w:rFonts w:ascii="Times New Roman" w:cs="Times New Roman" w:eastAsia="Times New Roman" w:hAnsi="Times New Roman"/>
          <w:sz w:val="18"/>
          <w:szCs w:val="18"/>
          <w:color w:val="auto"/>
        </w:rPr>
        <w:t>”) and (b) if deemed necessary by Parent, the shares of Parent Common Stock entitled to vote thereon is the only vote of the holders of any class or series of Parent’s capital stock necessary to approve an amendment to Parent’s certificate of incorporation to effect the Nasdaq Reverse Split, one new director nominated by the Selling Shareholders and/or the terms of the Future Financing (together with the Parent Stockholder Exchange Vote,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 Vote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3.18 Required Parent Share Issuance Approval. </w:t>
      </w:r>
      <w:r>
        <w:rPr>
          <w:rFonts w:ascii="Times New Roman" w:cs="Times New Roman" w:eastAsia="Times New Roman" w:hAnsi="Times New Roman"/>
          <w:sz w:val="18"/>
          <w:szCs w:val="18"/>
          <w:color w:val="auto"/>
        </w:rPr>
        <w:t>Parent represents that the issuance of the Parent Common Stock will be 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Nasdaq, and the Certificate of Incorporation and Bylaws of Parent.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3.19 Undisclosed Liabilities. </w:t>
      </w:r>
      <w:r>
        <w:rPr>
          <w:rFonts w:ascii="Times New Roman" w:cs="Times New Roman" w:eastAsia="Times New Roman" w:hAnsi="Times New Roman"/>
          <w:sz w:val="18"/>
          <w:szCs w:val="18"/>
          <w:color w:val="auto"/>
        </w:rPr>
        <w:t>Parent has no liabilities or obligations of any nature (whether fixed or unfixed, secured or unsecured, known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unknown and whether absolute, accrued, contingent, or otherwise) except for liabilities or obligations (i) reflected or reserved against in the financial statements included in the Parent SEC Documents filed prior to the date hereof, (ii) incurred in the ordinary course of business since the Parent Balance Sheet Date, (iii) incurred in connection with the transactions contemplated by this Agreement, (iv) disclosed in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or (v) would not reasonably be expected to have, individually or in the aggregate, a Material Adverse Effect on Parent.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3.20 Independent Investigation</w:t>
      </w:r>
      <w:r>
        <w:rPr>
          <w:rFonts w:ascii="Times New Roman" w:cs="Times New Roman" w:eastAsia="Times New Roman" w:hAnsi="Times New Roman"/>
          <w:sz w:val="18"/>
          <w:szCs w:val="18"/>
          <w:color w:val="auto"/>
        </w:rPr>
        <w:t>. Parent has conducted its own independent investigation, review and analysis of the business,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in making its decision to enter into this Agreement and to consummate the transactions contemplated under this Agreement, it has relied solely upon its own investigation and the express representations and warranties of the Company and Selling Shareholders set forth in this Agreement (including the related portions of Company Disclosure Schedules) and in any certificate delivered to Parent pursuant hereto.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3.21 No Other Representations or Warranties. </w:t>
      </w:r>
      <w:r>
        <w:rPr>
          <w:rFonts w:ascii="Times New Roman" w:cs="Times New Roman" w:eastAsia="Times New Roman" w:hAnsi="Times New Roman"/>
          <w:sz w:val="18"/>
          <w:szCs w:val="18"/>
          <w:color w:val="auto"/>
        </w:rPr>
        <w:t>Parent hereby acknowledges and agrees that, except for the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contained in this Agreement, neither the Company, nor any other Person on behalf of the Company makes any express or implied representation or warranty with respect to the Company or with respect to any other information provided to Parent or any of its stockholders or any of its Affiliates in connection with the transactions contemplated by this Agreement, and (subject to the express representations and warranties of the Company set forth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 each case as qualified and limited by the Company Disclosure Schedule) none of Parent, or its representatives or stockholders, has relied on any such information (including the accuracy or completeness thereof).</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3.22 Full Disclosure</w:t>
      </w:r>
      <w:r>
        <w:rPr>
          <w:rFonts w:ascii="Times New Roman" w:cs="Times New Roman" w:eastAsia="Times New Roman" w:hAnsi="Times New Roman"/>
          <w:sz w:val="18"/>
          <w:szCs w:val="18"/>
          <w:color w:val="auto"/>
        </w:rPr>
        <w:t>. The representations and warranties made by Parent in this Agreement, including the Parent Disclosure Schedules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all statements set forth in the certificates delivered by Parent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4.1 Conduct of the Company Business</w:t>
      </w:r>
      <w:r>
        <w:rPr>
          <w:rFonts w:ascii="Times New Roman" w:cs="Times New Roman" w:eastAsia="Times New Roman" w:hAnsi="Times New Roman"/>
          <w:sz w:val="18"/>
          <w:szCs w:val="18"/>
          <w:color w:val="auto"/>
        </w:rPr>
        <w:t>. From the date of this Agreement until the earlier of the Effective Time or the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in accordance with its terms, the Company shall not, unless consented to in writing by Parent (which consent shall not be unreasonably withheld, delayed, denied, or conditioned), expressly contemplated by this Agreement, required by applicable Law, or as set forth on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right="20" w:firstLine="644"/>
        <w:spacing w:after="0" w:line="282" w:lineRule="auto"/>
        <w:tabs>
          <w:tab w:leader="none" w:pos="15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except in the ordinary course of business, or create or suffer to exist any material lien or other encumbrance upon any of its assets which will not be discharged in full prior to the Effective Time;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or otherwise transfer any of its assets, or cancel or compromise any debts or claims relating to its assets, other than in each case in the ordinary course of business and consistent with past practice;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reasonable efforts to preserve intact its present business organization, keep available the services of its employees and preserve its material relationships with customers, suppliers, licensors, licensees, distributors and others having business relationships with it, to the end that its goodwill and ongoing business will not be materially impaired prior to the Effective Time;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permit any Material Adverse Effect to occur with respect to the Company;</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accounting or bookkeeping methods, principles or practices, except as required by GAAP;</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transactions contemplated under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distribution with respect to its capital shares;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dispose of, pledge, or otherwise encumber any shares of its capital stock, or any options, warrants, or other securities convertible into or exchangeable for capital shares, except for the issuance of shares upon the exercise of outstanding options or warrants;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Governing Documents;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such indebtedness of another Person, or issue or sell any debt securities or warrants or other rights to acquire any debt securities, except in the ordinary course of business and not exceeding $100,000 in the aggregate;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in excess of $250,000 individually or $500,000 in the aggregate;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acquisition of stock or assets, or otherwise) any other Person or any material assets, licenses, rights, or properties;</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except in the ordinary course of business;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 or amend, modify, or terminate any Company Material Contract;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any officer, director, or employee with annual compensation in excess of $100,000, or materially increase the compensation or benefits of any such Person;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material claim, action, or proceeding;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 Reserved.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4.3 Satisfaction of Conditions Precedent</w:t>
      </w:r>
      <w:r>
        <w:rPr>
          <w:rFonts w:ascii="Times New Roman" w:cs="Times New Roman" w:eastAsia="Times New Roman" w:hAnsi="Times New Roman"/>
          <w:sz w:val="18"/>
          <w:szCs w:val="18"/>
          <w:color w:val="auto"/>
        </w:rPr>
        <w:t>. Upon the terms and subject to the conditions set forth in this Agreement,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until the earlier of the Effective Time or the termination of this Agreement in accordance with its terms, the Company will use its commercially reasonable efforts to (i) satisfy or cause to be satisfied all the conditions precedent that are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(ii) cause the Exchange and the other transactions contemplated by this Agreement to be consummated.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4.4 No Other Negotiations. </w:t>
      </w:r>
      <w:r>
        <w:rPr>
          <w:rFonts w:ascii="Times New Roman" w:cs="Times New Roman" w:eastAsia="Times New Roman" w:hAnsi="Times New Roman"/>
          <w:sz w:val="18"/>
          <w:szCs w:val="18"/>
          <w:color w:val="auto"/>
        </w:rPr>
        <w:t>As of the date of this Agreement, the Company or the Selling Shareholders have not entered into any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with, and is/are not engaging in any discussions with, any third party concerning an Alternative Acquisition (as defined below), including, without limitation, any agreement or understanding that would require the Company to notify any third party of the terms of this Agreement. From and after the date of this Agreement until the earlier of the Effective Time or the termination of this Agreement in accordance with its terms, the Company and the Selling Shareholders shall not, directly or indirectly, (a) initiate, solicit, knowingly encourage, negotiate, accept or discuss any transaction or series of transactions with any Person, other than Parent and its Affiliates, involving any recapitalization, restructuring, financing, merger, consolidation, sale, license or encumbrance or other business combination transaction or extraordinary corporate transaction of the Company which would reasonably be expected to impede, interfere with, prevent or materially delay the Exchange (any such efforts by any such Person, including a firm proposal to make such an acquisition, to be referred to as an “</w:t>
      </w:r>
      <w:r>
        <w:rPr>
          <w:rFonts w:ascii="Times New Roman" w:cs="Times New Roman" w:eastAsia="Times New Roman" w:hAnsi="Times New Roman"/>
          <w:sz w:val="18"/>
          <w:szCs w:val="18"/>
          <w:b w:val="1"/>
          <w:bCs w:val="1"/>
          <w:color w:val="auto"/>
        </w:rPr>
        <w:t>Alternative Acquisition</w:t>
      </w:r>
      <w:r>
        <w:rPr>
          <w:rFonts w:ascii="Times New Roman" w:cs="Times New Roman" w:eastAsia="Times New Roman" w:hAnsi="Times New Roman"/>
          <w:sz w:val="18"/>
          <w:szCs w:val="18"/>
          <w:color w:val="auto"/>
        </w:rPr>
        <w:t>”), (b) provide information with respect to the Company to any Person, other than Parent and its Affiliates, relating to a possible Alternative Acquisition by any Person, other than Parent and its Affiliates, (c) enter into an agreement with any Person, other than Parent and its Affiliates, providing for a possible Alternative Acquisition, or (d) make or authorize any statement, recommendation or solicitation in support of any possible Alternative Acquisition by any Person, other than by Parent and its Affiliates.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 or the Selling Shareholders receives any unsolicited offer, inquiry or proposal to enter into discussions or negotiations relating to an Alternative Acquisition, or that could reasonably be expected to lead to an Alternative Acquisition, or any request for nonpublic information relating to the Company, the Company and the Selling Shareholders shall promptly notify Parent thereof, including the identity of the party making any such offer, inquiry or proposal and the material terms of such offer, inquiry or proposal, as the case may be, and shall keep Parent reasonably informed of any developments with respect to same.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4.5 Access. </w:t>
      </w:r>
      <w:r>
        <w:rPr>
          <w:rFonts w:ascii="Times New Roman" w:cs="Times New Roman" w:eastAsia="Times New Roman" w:hAnsi="Times New Roman"/>
          <w:sz w:val="18"/>
          <w:szCs w:val="18"/>
          <w:color w:val="auto"/>
        </w:rPr>
        <w:t>From the date of this Agreement until the earlier to occur of the Effective Time or the termination of this Agreement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terms, the Company shall afford to Parent, and to the officers, employees, accountants, counsel, financial advisors and other representatives of Parent, reasonable access, upon advance notice during normal business hours and in a manner as shall not unreasonably interfere with the business or operations of the Company, to all of the Company’s properties, books, contracts, commitments, personnel and records and, during such period, the Company shall furnish reasonably promptly to Parent, (a) a copy of each report, schedule, and other documents filed by it during such period pursuant to the requirements of federal or state securities Laws and (b) all other information concerning its business, properties and personnel as Parent or its representatives may reasonably request. The Company shall not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4.6 Notification of Certain Matters</w:t>
      </w:r>
      <w:r>
        <w:rPr>
          <w:rFonts w:ascii="Times New Roman" w:cs="Times New Roman" w:eastAsia="Times New Roman" w:hAnsi="Times New Roman"/>
          <w:sz w:val="18"/>
          <w:szCs w:val="18"/>
          <w:color w:val="auto"/>
        </w:rPr>
        <w:t>. The Company shall give prompt notice to Parent of any event, change or effect between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Effective Time that causes or is reasonably likely to cause the failure of the any of the conditions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7.2(e)</w:t>
      </w:r>
      <w:r>
        <w:rPr>
          <w:rFonts w:ascii="Times New Roman" w:cs="Times New Roman" w:eastAsia="Times New Roman" w:hAnsi="Times New Roman"/>
          <w:sz w:val="18"/>
          <w:szCs w:val="18"/>
          <w:color w:val="auto"/>
        </w:rPr>
        <w:t xml:space="preserve"> to be satisfied.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PARENT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 Obligations of Parent</w:t>
      </w:r>
      <w:r>
        <w:rPr>
          <w:rFonts w:ascii="Times New Roman" w:cs="Times New Roman" w:eastAsia="Times New Roman" w:hAnsi="Times New Roman"/>
          <w:sz w:val="18"/>
          <w:szCs w:val="18"/>
          <w:color w:val="auto"/>
        </w:rPr>
        <w:t>. Parent shall take all action necessary to perform its obligations under this Agreement and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on the terms and conditions set forth in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5.2 Conduct of the Parent Business</w:t>
      </w:r>
      <w:r>
        <w:rPr>
          <w:rFonts w:ascii="Times New Roman" w:cs="Times New Roman" w:eastAsia="Times New Roman" w:hAnsi="Times New Roman"/>
          <w:sz w:val="18"/>
          <w:szCs w:val="18"/>
          <w:color w:val="auto"/>
        </w:rPr>
        <w:t>. From the date of this Agreement until earlier of the Effective Time or the termination of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its terms, Parent shall not, (w) unless consented to in writing by the Company (which consent shall not be unreasonably withheld, delayed, denied, or conditioned), (x) expressly contemplated by this Agreement, including in connection with the Nasdaq Reverse Split, (y) required by applicable Law, or (z) as set forth on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right="20" w:firstLine="644"/>
        <w:spacing w:after="0" w:line="282" w:lineRule="auto"/>
        <w:tabs>
          <w:tab w:leader="none" w:pos="1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except in the ordinary course of business, or create or suffer to exist any material lien or other encumbrance upon any of its assets which will not be discharged in full prior to the Effective Time;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or otherwise transfer any of its assets, or cancel or compromise any debts or claims relating to its assets, other than in each case in the ordinary course of business and consistent with past practice;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reasonable efforts to preserve intact its present business organizations, keep available the services of its employees and preserve its material relationships with customers, suppliers, licensors, licensees, distributors and others having business relationships with it, to the end that its good will and ongoing business will not be materially impaired prior to the Effective Time;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permit any Material Adverse Effect to occur with respect to Parent;</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with respect in its accounting or bookkeeping methods, principles or practices, except as required by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or</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5.3 Access</w:t>
      </w:r>
      <w:r>
        <w:rPr>
          <w:rFonts w:ascii="Times New Roman" w:cs="Times New Roman" w:eastAsia="Times New Roman" w:hAnsi="Times New Roman"/>
          <w:sz w:val="18"/>
          <w:szCs w:val="18"/>
          <w:color w:val="auto"/>
        </w:rPr>
        <w:t>. From the date of this Agreement until the earlier to occur of the Effective Time or the termination of this Agreement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terms, Parent shall afford to the Company, and to the officers, employees, accountants, counsel, financial advisors and other representatives of the Company, reasonable access, upon advance notice, during normal business hours and in a manner as shall not unreasonably interfere with the business or operations of Parent, to all of Parent’s properties, books, contracts, commitments, personnel and records and, during such period, Parent shall reasonably furnish promptly to the Company, (a) a copy of each report, schedule, registration statements and other documents filed by it during such period pursuant to the requirements of federal or state securities Laws and (b) all other information concerning its business, properties and personnel as the Company or its representatives may reasonably request. Parent shall not be required to provide access to or disclose information where such access or disclosure would not jeopardize the protection of attorney-client privilege or contravene any Law (it being agreed that the parties shall use their reasonable best efforts to cause such information to be provided in a manner that would not result in such jeopardy or contravention).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5.4 Notification of Certain Matters</w:t>
      </w:r>
      <w:r>
        <w:rPr>
          <w:rFonts w:ascii="Times New Roman" w:cs="Times New Roman" w:eastAsia="Times New Roman" w:hAnsi="Times New Roman"/>
          <w:sz w:val="18"/>
          <w:szCs w:val="18"/>
          <w:color w:val="auto"/>
        </w:rPr>
        <w:t>. Parent shall give prompt notice to the Company of any event, change or effect between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Effective Time that causes or is reasonably likely to cause the failure of any of the conditions set forth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7.3(e)</w:t>
      </w:r>
      <w:r>
        <w:rPr>
          <w:rFonts w:ascii="Times New Roman" w:cs="Times New Roman" w:eastAsia="Times New Roman" w:hAnsi="Times New Roman"/>
          <w:sz w:val="18"/>
          <w:szCs w:val="18"/>
          <w:color w:val="auto"/>
        </w:rPr>
        <w:t xml:space="preserve"> to be satisfied.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5.5 Listing</w:t>
      </w:r>
      <w:r>
        <w:rPr>
          <w:rFonts w:ascii="Times New Roman" w:cs="Times New Roman" w:eastAsia="Times New Roman" w:hAnsi="Times New Roman"/>
          <w:sz w:val="18"/>
          <w:szCs w:val="18"/>
          <w:color w:val="auto"/>
        </w:rPr>
        <w:t>. At or prior to the Effective Time, Parent shall use its commercially reasonable efforts to (a) maintain its listing on Nasdaq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including submitting any applicable extension requests or attending any hearings with requested by Nasdaq; (b) prepare and submit to Nasdaq, to the extent required by the rules and regulations of Nasdaq, a notification form for the listing of the shares of Parent Common Stock to be issued in connection with the transactions contemplated under this Agreement; and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5.6 Satisfaction of Conditions Precedent</w:t>
      </w:r>
      <w:r>
        <w:rPr>
          <w:rFonts w:ascii="Times New Roman" w:cs="Times New Roman" w:eastAsia="Times New Roman" w:hAnsi="Times New Roman"/>
          <w:sz w:val="18"/>
          <w:szCs w:val="18"/>
          <w:color w:val="auto"/>
        </w:rPr>
        <w:t>. Upon the terms and subject to the conditions set forth in this Agreement,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until the earlier of the Effective Time or the termination of this Agreement in accordance with its terms, Parent will use its commercially reasonable efforts to (i) satisfy or cause to be satisfied all the conditions precedent that are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(ii) cause the Exchange and the other transactions contemplated by this Agreement to be consummated.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5.7 Section 16 Matters</w:t>
      </w:r>
      <w:r>
        <w:rPr>
          <w:rFonts w:ascii="Times New Roman" w:cs="Times New Roman" w:eastAsia="Times New Roman" w:hAnsi="Times New Roman"/>
          <w:sz w:val="18"/>
          <w:szCs w:val="18"/>
          <w:color w:val="auto"/>
        </w:rPr>
        <w:t>. Prior to the Effective Time, Parent shall take all such steps as may be required to cause any acquisitions of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any options to purchase Parent Common Stock in connection with the transactions contemplated under this Agreement, by each individual who is reasonably expected to become subject to the reporting requirements of Section 16(a) of the Exchange Act with respect to Parent, to be exempt under Rule 16b-3 promulgated under the Exchange 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5.8 No Other Negotiations</w:t>
      </w:r>
      <w:r>
        <w:rPr>
          <w:rFonts w:ascii="Times New Roman" w:cs="Times New Roman" w:eastAsia="Times New Roman" w:hAnsi="Times New Roman"/>
          <w:sz w:val="18"/>
          <w:szCs w:val="18"/>
          <w:color w:val="auto"/>
        </w:rPr>
        <w:t>. As of the date of this Agreement, Parent has not entered into any agreement or understanding with, and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engaging in any discussions with, any third party concerning a Parent Alternative Acquisition (as defined below), including, without limitation, any agreement or understanding that would require Parent to notify any third party of the terms of this Agreement. From and after the date of this Agreement until the earlier of the Effective Time or the termination of this Agreement in accordance with its terms, Parent shall not, directly or indirectly, (a) initiate, solicit, knowingly encourage, negotiate, accept or discuss any transaction or series of transactions with any Person, other than the Company and its Affiliates, involving any recapitalization, restructuring, financing, merger, consolidation, sale, license or encumbrance or other business combination transaction or extraordinary corporate transaction of Parent which would reasonably be expected to impede, interfere with, prevent or materially delay the Exchange (any such efforts by any such Person, including a firm proposal to make such an acquisition, to be referred to as a “</w:t>
      </w:r>
      <w:r>
        <w:rPr>
          <w:rFonts w:ascii="Times New Roman" w:cs="Times New Roman" w:eastAsia="Times New Roman" w:hAnsi="Times New Roman"/>
          <w:sz w:val="18"/>
          <w:szCs w:val="18"/>
          <w:b w:val="1"/>
          <w:bCs w:val="1"/>
          <w:color w:val="auto"/>
        </w:rPr>
        <w:t>Parent 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(b) provide information with respect to Parent to any Person, other than the Company and its Affiliates, relating to a possible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Alternative Acquisition by any Person, other than the Company and its Affiliates, (c) enter into an agreement with any Person, other than the Company and its Affiliates, providing for a possible Parent Alternative Acquisition, or (d) make or authorize any statement, recommendation or solicitation in support of any possible Parent Alternative Acquisition by any Person, other than by the Company and its Affiliates.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Parent receives any unsolicited offer, inquiry or proposal to enter into discussions or negotiations relating to a Parent Alternative Acquisition, or that could reasonably be expected to lead to a Parent Alternative Acquisition, or any request for nonpublic information relating to Parent, Parent shall promptly notify the Company thereof, including the identity of the party making any such offer, inquiry or proposal and the material terms of such offer, inquiry or proposal, as the case may be, and shall keep the Company reasonably informed of any developments with respect to same.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PARENT AND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 Notices of Certain Events. </w:t>
      </w:r>
      <w:r>
        <w:rPr>
          <w:rFonts w:ascii="Times New Roman" w:cs="Times New Roman" w:eastAsia="Times New Roman" w:hAnsi="Times New Roman"/>
          <w:sz w:val="18"/>
          <w:szCs w:val="18"/>
          <w:color w:val="auto"/>
        </w:rPr>
        <w:t>The Company and Parent shall promptly notify the other Party of:</w:t>
      </w:r>
    </w:p>
    <w:p>
      <w:pPr>
        <w:spacing w:after="0" w:line="229" w:lineRule="exact"/>
        <w:rPr>
          <w:sz w:val="20"/>
          <w:szCs w:val="20"/>
          <w:color w:val="auto"/>
        </w:rPr>
      </w:pPr>
    </w:p>
    <w:p>
      <w:pPr>
        <w:ind w:left="660" w:firstLine="644"/>
        <w:spacing w:after="0" w:line="282" w:lineRule="auto"/>
        <w:tabs>
          <w:tab w:leader="none" w:pos="15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that the consent of such Person is or may be required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Governmental Entity in connection with the transactions contemplated by this Agreement;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actions, suits, claims, investigations or proceedings commenced or, to its Knowledge, threatened against, relating to or involving or otherwise affecting such Party that, if pending on the date of this Agreement, would have been required to be disclosed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that relate to the consummation of the transactions contemplated by this Agreement or any other development causing a breach of any representation or warranty made by a Party 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6.2 Public Announcements; Confidentiality</w:t>
      </w:r>
      <w:r>
        <w:rPr>
          <w:rFonts w:ascii="Times New Roman" w:cs="Times New Roman" w:eastAsia="Times New Roman" w:hAnsi="Times New Roman"/>
          <w:sz w:val="18"/>
          <w:szCs w:val="18"/>
          <w:color w:val="auto"/>
        </w:rPr>
        <w:t>. No Party shall have the right to issue any press release or other public statement with respect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or the transactions contemplated herein without the prior written consent of each other Party (not to be unreasonably withheld, delayed, denied, or conditioned), except as required by Law. Parent, on the one hand, and the Company, on the other hand, shall, and shall cause their respective Affiliates to, hold in confidence and not use, and shall use their respective reasonable best efforts to cause their respective representatives to hold in confidence and not use, any and all non-public, confidential, or proprietary information, whether written or oral, concerning the other Party, including, without limitation, any such information obtained pursuant to </w:t>
      </w:r>
      <w:r>
        <w:rPr>
          <w:rFonts w:ascii="Times New Roman" w:cs="Times New Roman" w:eastAsia="Times New Roman" w:hAnsi="Times New Roman"/>
          <w:sz w:val="18"/>
          <w:szCs w:val="18"/>
          <w:u w:val="single" w:color="auto"/>
          <w:color w:val="auto"/>
        </w:rPr>
        <w:t>Sections 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as applicable, except to the extent that Parent, on the one hand, or the Company, on the other hand, as the case may be, can show that such information: (a) is generally available to and known by the public through no fault of such Party or any of its Affiliates or their respective representatives; (b) is lawfully acquired by such Party, any of its Affiliates or their respective representatives from sources that are not prohibited from disclosing such information by a legal, contractual or fiduciary obligation; or (c) is required to be disclosed by the requirements of the SEC or Nasdaq. If Parent, on the one hand, or the Company, on the other hand, as the case may be, or any of its Affiliates or their respective representatives is compelled to disclose any information by judicial or administrative process or by other requirements of Law, such compelled Party shall promptly notify the other Party in writing and shall disclose only that portion of such information that such compelled Party is advised by its counsel in writing is legally required to be disclosed, provided that such compelled Party shall use reasonable best efforts to obtain an appropriate protective order or other reasonable assurance that confidential treatment will be accorded such information.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6.3 Transfer Taxes</w:t>
      </w:r>
      <w:r>
        <w:rPr>
          <w:rFonts w:ascii="Times New Roman" w:cs="Times New Roman" w:eastAsia="Times New Roman" w:hAnsi="Times New Roman"/>
          <w:sz w:val="18"/>
          <w:szCs w:val="18"/>
          <w:color w:val="auto"/>
        </w:rPr>
        <w:t>. Parent and the Company shall cooperate in the preparation, execution and filing of all returns, questionnaires, applications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before the Effective Time. Parent and the Company agree that the Company (prior to the Exchange) and the Parent (following the Exchange) will pay any real property, transfer or gains tax, stamp tax, stock transfer tax, or other similar tax imposed on the Exchange or the surrender of the Shares pursuant to the Exchange (collectively,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excluding any Transfer Taxes as may result from the transfer of beneficial interests in the Shares other than as a result of the Exchange, and any penalties or interest with respect to the Transfer Taxes. The Company agrees to cooperate with Parent in the filing of any returns with respect to the Transfer Taxes.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6.4 Reasonable Efforts</w:t>
      </w:r>
      <w:r>
        <w:rPr>
          <w:rFonts w:ascii="Times New Roman" w:cs="Times New Roman" w:eastAsia="Times New Roman" w:hAnsi="Times New Roman"/>
          <w:sz w:val="18"/>
          <w:szCs w:val="18"/>
          <w:color w:val="auto"/>
        </w:rPr>
        <w:t>. The parties further agree to use their reasonable best efforts to take, or cause to be taken, all actions, and to do,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done, and to assist and cooperate with the other parties in doing, all things necessary, proper or advisable to consummate and make effective, and to satisfy all conditions to, in the most expeditious manner practicable, the Exchange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any filings required under the Hart-Scott-Rodino Antitrust Improvements Act of 1976, as amended, if applicable), (ii) the obtaining of all consents, approvals or waivers from third parties related to or required in connection with the Exchange that are necessary to consummate the Exchange and the transactions contemplated by this Agreement or required to prevent a Material Adverse Effect on the Company or Parent from occurring prior to or after the Effective Time, (iii) any notification or other document required to be filed in connection with the Exchange under any applicable foreign Law (including any filings required under Malaysian Companies Act and with the Companies Commission of Malaysia), (iv) the execution and delivery of any additional instruments necessary to consummate the transactions contemplated by, and to fully carry out the purposes of, this Agreement, and (v) the defense of any lawsuits or other legal proceedings, whether judicial or administrative, challenging this Agreement or the consummation of the Exchange, including seeking to have any stay or temporary restraining order entered by any court or other Governmental Entity vacated or reversed.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6.5 Fees and Expenses</w:t>
      </w:r>
      <w:r>
        <w:rPr>
          <w:rFonts w:ascii="Times New Roman" w:cs="Times New Roman" w:eastAsia="Times New Roman" w:hAnsi="Times New Roman"/>
          <w:sz w:val="18"/>
          <w:szCs w:val="18"/>
          <w:color w:val="auto"/>
        </w:rPr>
        <w:t>. All fees and expenses incurred by any Party in connection with this Agreement and the transactions contemplated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paid by the Party incurring such fees and expenses. Fees and expenses incurred by any Party in connection with the transactions contemplated by this Agreement shall include, without limitation, out-of-pocket fees and expenses incurred for legal, financial, accounting and other advisors.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6.6 Legends. </w:t>
      </w:r>
      <w:r>
        <w:rPr>
          <w:rFonts w:ascii="Times New Roman" w:cs="Times New Roman" w:eastAsia="Times New Roman" w:hAnsi="Times New Roman"/>
          <w:sz w:val="18"/>
          <w:szCs w:val="18"/>
          <w:color w:val="auto"/>
        </w:rPr>
        <w:t>Parent shall be entitled to place appropriate legends on the book entries and/or certificates evidencing any shares of Parent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to be received in the Exchange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6.7 Registration Statement; Proxy Statement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3" w:lineRule="auto"/>
        <w:tabs>
          <w:tab w:leader="none" w:pos="15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of this Agreement, (i) Parent shall prepare and file with the SEC a proxy statement relating to the Parent Stockholder Meeting to be held in connection with the Exchange and if applicable, the Nasdaq Reverse Split (together with any amendments thereof or supplements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(ii) Parent, in cooperation with the Company, shall prepare and file with the SEC a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in which the Proxy Statement shall be included as a part (the Proxy Statement and the Form S-4,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shares of Parent Common Stock to be issued by virtue of the transactions contemplated under this Agreement, including, without limitation, the Exchange Shares.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Exchange Shares pursuant to the transactions contemplated under this Agreement.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and the Selling Shareholders covenant and agree that the information supplied by or on behalf of the Company to Parent for inclusion in the Registration Statement (including the Company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left="-460" w:firstLine="644"/>
        <w:spacing w:after="0" w:line="252" w:lineRule="auto"/>
        <w:tabs>
          <w:tab w:leader="none" w:pos="4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commercially reasonable efforts to cause the Proxy Statement to be mailed to Parent’s stockholders as promptly as practicable after the Registration Statement is declared effective under the Securities Act. If at any time before the Effective Time, (i) Parent, the Company or the Selling Shareholders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transactions contemplated under this Agreement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Selling Shareholders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Required S-4 Information</w:t>
      </w:r>
      <w:r>
        <w:rPr>
          <w:rFonts w:ascii="Times New Roman" w:cs="Times New Roman" w:eastAsia="Times New Roman" w:hAnsi="Times New Roman"/>
          <w:sz w:val="18"/>
          <w:szCs w:val="18"/>
          <w:color w:val="auto"/>
        </w:rPr>
        <w:t>”). Without limiting the foregoing, the Company will use commercially reasonable efforts to cause to be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spacing w:after="0" w:line="1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7" w:name="page38"/>
    <w:bookmarkEnd w:id="37"/>
    <w:p>
      <w:pPr>
        <w:jc w:val="both"/>
        <w:ind w:firstLine="644"/>
        <w:spacing w:after="0" w:line="252" w:lineRule="auto"/>
        <w:tabs>
          <w:tab w:leader="none" w:pos="8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the Company shall furnish to Parent (i) prior to May 31, 2026, audited financial statements for each of its fiscal years required to be included in the Registration Statement, together with the auditor’s report thereon (the “</w:t>
      </w:r>
      <w:r>
        <w:rPr>
          <w:rFonts w:ascii="Times New Roman" w:cs="Times New Roman" w:eastAsia="Times New Roman" w:hAnsi="Times New Roman"/>
          <w:sz w:val="18"/>
          <w:szCs w:val="18"/>
          <w:b w:val="1"/>
          <w:bCs w:val="1"/>
          <w:color w:val="auto"/>
        </w:rPr>
        <w:t>Company Audited Financial Statements</w:t>
      </w:r>
      <w:r>
        <w:rPr>
          <w:rFonts w:ascii="Times New Roman" w:cs="Times New Roman" w:eastAsia="Times New Roman" w:hAnsi="Times New Roman"/>
          <w:sz w:val="18"/>
          <w:szCs w:val="18"/>
          <w:color w:val="auto"/>
        </w:rPr>
        <w:t>”), (ii) prior to May 31, 2026, unaudited interim financial statements for the interim period completed March 31, 2026 (the “</w:t>
      </w:r>
      <w:r>
        <w:rPr>
          <w:rFonts w:ascii="Times New Roman" w:cs="Times New Roman" w:eastAsia="Times New Roman" w:hAnsi="Times New Roman"/>
          <w:sz w:val="18"/>
          <w:szCs w:val="18"/>
          <w:b w:val="1"/>
          <w:bCs w:val="1"/>
          <w:color w:val="auto"/>
        </w:rPr>
        <w:t>Company Q1 2026 Interim Financial Statements</w:t>
      </w:r>
      <w:r>
        <w:rPr>
          <w:rFonts w:ascii="Times New Roman" w:cs="Times New Roman" w:eastAsia="Times New Roman" w:hAnsi="Times New Roman"/>
          <w:sz w:val="18"/>
          <w:szCs w:val="18"/>
          <w:color w:val="auto"/>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Interim Financial Statements</w:t>
      </w:r>
      <w:r>
        <w:rPr>
          <w:rFonts w:ascii="Times New Roman" w:cs="Times New Roman" w:eastAsia="Times New Roman" w:hAnsi="Times New Roman"/>
          <w:sz w:val="18"/>
          <w:szCs w:val="18"/>
          <w:color w:val="auto"/>
        </w:rPr>
        <w:t>” and together with the Company Q1 2026 Interim Financial Statements, the “</w:t>
      </w:r>
      <w:r>
        <w:rPr>
          <w:rFonts w:ascii="Times New Roman" w:cs="Times New Roman" w:eastAsia="Times New Roman" w:hAnsi="Times New Roman"/>
          <w:sz w:val="18"/>
          <w:szCs w:val="18"/>
          <w:b w:val="1"/>
          <w:bCs w:val="1"/>
          <w:color w:val="auto"/>
        </w:rPr>
        <w:t>Company Interim Financial Statements</w:t>
      </w:r>
      <w:r>
        <w:rPr>
          <w:rFonts w:ascii="Times New Roman" w:cs="Times New Roman" w:eastAsia="Times New Roman" w:hAnsi="Times New Roman"/>
          <w:sz w:val="18"/>
          <w:szCs w:val="18"/>
          <w:color w:val="auto"/>
        </w:rPr>
        <w:t>”). Each of the Company Audited Financial Statements and the Company Interim Financial Statements will be suitable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shareholders’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6.8 Company Shareholder Written Consent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6" w:lineRule="auto"/>
        <w:tabs>
          <w:tab w:leader="none" w:pos="8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Registration Statement has been declared effective under the Securities Act, and in any event no later than two (2) Business Days thereafter, the Company shall obtain the approval by unanimous written consent from the Selling Shareholders sufficient for the Required Company Shareholder Vote in lieu of a meeting pursuant to the Malaysian Companies Act, for purposes of adopting and approving this Agreement and the transactions contemplated under this Agreement (the “</w:t>
      </w:r>
      <w:r>
        <w:rPr>
          <w:rFonts w:ascii="Times New Roman" w:cs="Times New Roman" w:eastAsia="Times New Roman" w:hAnsi="Times New Roman"/>
          <w:sz w:val="18"/>
          <w:szCs w:val="18"/>
          <w:b w:val="1"/>
          <w:bCs w:val="1"/>
          <w:color w:val="auto"/>
        </w:rPr>
        <w:t>Company Shareholder Written Consents</w:t>
      </w:r>
      <w:r>
        <w:rPr>
          <w:rFonts w:ascii="Times New Roman" w:cs="Times New Roman" w:eastAsia="Times New Roman" w:hAnsi="Times New Roman"/>
          <w:sz w:val="18"/>
          <w:szCs w:val="18"/>
          <w:color w:val="auto"/>
        </w:rPr>
        <w:t>”). Under no circumstances shall the Company assert that any other approval or consent is necessary by the Selling Shareholders to approve this Agreement and the transactions contemplated under this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54" w:lineRule="auto"/>
        <w:tabs>
          <w:tab w:leader="none" w:pos="9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 the Company Board shall recommend that the Selling Shareholders vote to adopt and approve this Agreement and the transactions contemplated under this Agreement and shall use commercially reasonable efforts to solicit such approval within the time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(the recommendation of the Company Board that the Selling Shareholders vote to adopt and approve this Agreement being referred to as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Alternative Acquisition shall be adopted or proposed.</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b w:val="1"/>
          <w:bCs w:val="1"/>
          <w:color w:val="auto"/>
        </w:rPr>
        <w:t>6.9 Parent Stockholder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take all action necessary under applicable Law to call, give notice of and hold a meeting of the holders of Parent Common Stock to consider and vote on proposals to (i) approve this Agreement and thereby to approve the transactions contemplated under this Agreement, including without limitation, the Exchange (the “</w:t>
      </w:r>
      <w:r>
        <w:rPr>
          <w:rFonts w:ascii="Times New Roman" w:cs="Times New Roman" w:eastAsia="Times New Roman" w:hAnsi="Times New Roman"/>
          <w:sz w:val="18"/>
          <w:szCs w:val="18"/>
          <w:b w:val="1"/>
          <w:bCs w:val="1"/>
          <w:color w:val="auto"/>
        </w:rPr>
        <w:t>Parent Stockholder Exchange Approval Matter</w:t>
      </w:r>
      <w:r>
        <w:rPr>
          <w:rFonts w:ascii="Times New Roman" w:cs="Times New Roman" w:eastAsia="Times New Roman" w:hAnsi="Times New Roman"/>
          <w:sz w:val="18"/>
          <w:szCs w:val="18"/>
          <w:color w:val="auto"/>
        </w:rPr>
        <w:t>”), (ii) amend Parent’s certificate of incorporation to, if deemed appropriate by the Parties, effect a Nasdaq Reverse Split, and (iii) approve the Future Financing and one new director nominated by the Company, (clauses (i), (ii) and (iii) collectively, the “</w:t>
      </w:r>
      <w:r>
        <w:rPr>
          <w:rFonts w:ascii="Times New Roman" w:cs="Times New Roman" w:eastAsia="Times New Roman" w:hAnsi="Times New Roman"/>
          <w:sz w:val="18"/>
          <w:szCs w:val="18"/>
          <w:b w:val="1"/>
          <w:bCs w:val="1"/>
          <w:color w:val="auto"/>
        </w:rPr>
        <w:t>Parent Stockholder Matters</w:t>
      </w:r>
      <w:r>
        <w:rPr>
          <w:rFonts w:ascii="Times New Roman" w:cs="Times New Roman" w:eastAsia="Times New Roman" w:hAnsi="Times New Roman"/>
          <w:sz w:val="18"/>
          <w:szCs w:val="18"/>
          <w:color w:val="auto"/>
        </w:rPr>
        <w:t>” and such meeting, the “</w:t>
      </w:r>
      <w:r>
        <w:rPr>
          <w:rFonts w:ascii="Times New Roman" w:cs="Times New Roman" w:eastAsia="Times New Roman" w:hAnsi="Times New Roman"/>
          <w:sz w:val="18"/>
          <w:szCs w:val="18"/>
          <w:b w:val="1"/>
          <w:bCs w:val="1"/>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The Parent Stockholder Meeting shall be held as promptly as practicable after the date that the Registration Statement is declared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that (i) the Board of Directors of Parent shall recommend that the holders of Parent Common Stock vote to approve the Parent Stockholder Matters and shall use commercially reasonable efforts to solicit such approval within the timeframe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above, and (ii) the Proxy Statement shall include a statement to the effect that the Board of Directors of Parent recommends that Parent’s stockholders vote to approve the Parent Stockholder Matters (the recommendation of the Parent Board being referred to as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EXCHANGE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 Condition to Obligation of Each Party to Effect the Exchange</w:t>
      </w:r>
      <w:r>
        <w:rPr>
          <w:rFonts w:ascii="Times New Roman" w:cs="Times New Roman" w:eastAsia="Times New Roman" w:hAnsi="Times New Roman"/>
          <w:sz w:val="18"/>
          <w:szCs w:val="18"/>
          <w:color w:val="auto"/>
        </w:rPr>
        <w:t>. The respective obligations of Parent, the Company and the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to consummate the transactions contemplated herein are subject to the satisfaction or waiver in writing prior to the Effective Time of the following conditions:</w:t>
      </w:r>
    </w:p>
    <w:p>
      <w:pPr>
        <w:spacing w:after="0" w:line="171" w:lineRule="exact"/>
        <w:rPr>
          <w:sz w:val="20"/>
          <w:szCs w:val="20"/>
          <w:color w:val="auto"/>
        </w:rPr>
      </w:pPr>
    </w:p>
    <w:p>
      <w:pPr>
        <w:jc w:val="both"/>
        <w:ind w:left="660" w:firstLine="644"/>
        <w:spacing w:after="0" w:line="262" w:lineRule="auto"/>
        <w:tabs>
          <w:tab w:leader="none" w:pos="15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Injunctions</w:t>
      </w:r>
      <w:r>
        <w:rPr>
          <w:rFonts w:ascii="Times New Roman" w:cs="Times New Roman" w:eastAsia="Times New Roman" w:hAnsi="Times New Roman"/>
          <w:sz w:val="18"/>
          <w:szCs w:val="18"/>
          <w:color w:val="auto"/>
        </w:rPr>
        <w:t>. No temporary restraining Order, preliminary or permanent injunction issued by any court of competent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preventing or prohibiting the consummation of the Exchange or the other transactions contemplated herein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p>
      <w:pPr>
        <w:spacing w:after="0" w:line="176"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Parent shall have obtained the Parent Stockholder Exchange Vote and the Company shall have obtained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Company Shareholder Vote.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ind w:left="660" w:firstLine="644"/>
        <w:spacing w:after="0" w:line="257" w:lineRule="auto"/>
        <w:tabs>
          <w:tab w:leader="none" w:pos="15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Effectiveness of Registration Statement</w:t>
      </w:r>
      <w:r>
        <w:rPr>
          <w:rFonts w:ascii="Times New Roman" w:cs="Times New Roman" w:eastAsia="Times New Roman" w:hAnsi="Times New Roman"/>
          <w:sz w:val="18"/>
          <w:szCs w:val="18"/>
          <w:color w:val="auto"/>
        </w:rPr>
        <w:t>. The Registration Statement shall have become effective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this Agreement shall have been complied with and no stop order (or similar order) shall have been issued or threatened in writing in respect of thereof by any applicable state securities commissioner or court of competent jurisdiction.</w:t>
      </w:r>
    </w:p>
    <w:p>
      <w:pPr>
        <w:spacing w:after="0" w:line="182"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The shares of Parent Common Stock to be issued in the Exchange pursuant to this Agreement shall have been approved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(subject to official notice of issuance) on Nasdaq as of the Closing.</w:t>
      </w:r>
    </w:p>
    <w:p>
      <w:pPr>
        <w:spacing w:after="0" w:line="154"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Value of Exchange Shares</w:t>
      </w:r>
      <w:r>
        <w:rPr>
          <w:rFonts w:ascii="Times New Roman" w:cs="Times New Roman" w:eastAsia="Times New Roman" w:hAnsi="Times New Roman"/>
          <w:sz w:val="18"/>
          <w:szCs w:val="18"/>
          <w:color w:val="auto"/>
        </w:rPr>
        <w:t>. Parent and the Selling Shareholders shall agree in writing that the Exchange Shares represent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consideration for the acquisition of the Shares. In the event the amount, timing or value of the Exchange Shares is not mutually acceptable to both Parties, the Parties agree to negotiate in good faith an adjustment to the Exchange Shares, including a potential earnout.</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7.2 Additional Conditions to Obligations of Parent</w:t>
      </w:r>
      <w:r>
        <w:rPr>
          <w:rFonts w:ascii="Times New Roman" w:cs="Times New Roman" w:eastAsia="Times New Roman" w:hAnsi="Times New Roman"/>
          <w:sz w:val="18"/>
          <w:szCs w:val="18"/>
          <w:color w:val="auto"/>
        </w:rPr>
        <w:t>. The obligations of Parent to consummate the transactions contemplated herein are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waiver in writing prior to the Effective Time of the following conditions:</w:t>
      </w:r>
    </w:p>
    <w:p>
      <w:pPr>
        <w:spacing w:after="0" w:line="155" w:lineRule="exact"/>
        <w:rPr>
          <w:sz w:val="20"/>
          <w:szCs w:val="20"/>
          <w:color w:val="auto"/>
        </w:rPr>
      </w:pPr>
    </w:p>
    <w:p>
      <w:pPr>
        <w:jc w:val="both"/>
        <w:ind w:left="660" w:firstLine="644"/>
        <w:spacing w:after="0" w:line="257" w:lineRule="auto"/>
        <w:tabs>
          <w:tab w:leader="none" w:pos="15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representations and warranties of each of the Company and the Selling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and in any certificate delivered to Parent pursuant hereto shall be true and correct as of immediately prior to the Effective Time with the same force and effect as if made at and as of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the Company, and Parent shall have received a certificate to such effect signed by the President and the Chief Executive Officer of the Company.</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 and Covenants</w:t>
      </w:r>
      <w:r>
        <w:rPr>
          <w:rFonts w:ascii="Times New Roman" w:cs="Times New Roman" w:eastAsia="Times New Roman" w:hAnsi="Times New Roman"/>
          <w:sz w:val="18"/>
          <w:szCs w:val="18"/>
          <w:color w:val="auto"/>
        </w:rPr>
        <w:t>. Each of the Company and the Selling Shareholders shall have performed in all material respects,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complied with in all material respects, all agreements and covenants required by this Agreement to be performed or complied with by them prior to the Effective Time, and Parent shall have received a certificate to such effect signed by the President and Chief Executive Officer of the Company.</w:t>
      </w:r>
    </w:p>
    <w:p>
      <w:pPr>
        <w:spacing w:after="0" w:line="17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Secretary</w:t>
      </w:r>
      <w:r>
        <w:rPr>
          <w:rFonts w:ascii="Times New Roman" w:cs="Times New Roman" w:eastAsia="Times New Roman" w:hAnsi="Times New Roman"/>
          <w:sz w:val="18"/>
          <w:szCs w:val="18"/>
          <w:color w:val="auto"/>
        </w:rPr>
        <w:t>. The Company shall have delivered to Parent a certificate executed by the Secretary of the Company,</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(i) resolutions duly adopted by the Board of Directors of the Company authorizing this Agreement and the Exchange; (ii) the Governing Documents of the Company as in effect immediately prior to the Effective Time, including all amendments thereto; and (iii) the incumbency of the officers of the Company, executing this Agreement and all agreements and documents contemplated hereby.</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Obtained</w:t>
      </w:r>
      <w:r>
        <w:rPr>
          <w:rFonts w:ascii="Times New Roman" w:cs="Times New Roman" w:eastAsia="Times New Roman" w:hAnsi="Times New Roman"/>
          <w:sz w:val="18"/>
          <w:szCs w:val="18"/>
          <w:color w:val="auto"/>
        </w:rPr>
        <w:t>. All consents, waivers, approvals, authorizations or Orders required to be obtained, and all filings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the Company for the authorization, execution and delivery of this Agreement and the consummation by it of the transactions contemplated hereby shall have been obtained and made by the Company, except for such consents, waivers, approvals, authorizations and Orders, and such filings, which would not be reasonably likely to have a Material Adverse Effect on the Company or the Parent.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ind w:left="660" w:firstLine="644"/>
        <w:spacing w:after="0" w:line="286" w:lineRule="auto"/>
        <w:tabs>
          <w:tab w:leader="none" w:pos="15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Material Adverse Effect</w:t>
      </w:r>
      <w:r>
        <w:rPr>
          <w:rFonts w:ascii="Times New Roman" w:cs="Times New Roman" w:eastAsia="Times New Roman" w:hAnsi="Times New Roman"/>
          <w:sz w:val="18"/>
          <w:szCs w:val="18"/>
          <w:color w:val="auto"/>
        </w:rPr>
        <w:t>. Since the date of this Agreement, there shall not have been any Material Adverse Effect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Company.</w:t>
      </w:r>
    </w:p>
    <w:p>
      <w:pPr>
        <w:spacing w:after="0" w:line="154"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Shareholder Written Consent</w:t>
      </w:r>
      <w:r>
        <w:rPr>
          <w:rFonts w:ascii="Times New Roman" w:cs="Times New Roman" w:eastAsia="Times New Roman" w:hAnsi="Times New Roman"/>
          <w:sz w:val="18"/>
          <w:szCs w:val="18"/>
          <w:color w:val="auto"/>
        </w:rPr>
        <w:t>. The Company Shareholder Written Consent executed by the Selling Shareholders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full force and effect.</w:t>
      </w:r>
    </w:p>
    <w:p>
      <w:pPr>
        <w:spacing w:after="0" w:line="154"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Due Diligence. </w:t>
      </w:r>
      <w:r>
        <w:rPr>
          <w:rFonts w:ascii="Times New Roman" w:cs="Times New Roman" w:eastAsia="Times New Roman" w:hAnsi="Times New Roman"/>
          <w:sz w:val="18"/>
          <w:szCs w:val="18"/>
          <w:color w:val="auto"/>
        </w:rPr>
        <w:t>Parent shall have completed its legal, financial, tax, commercial, and operational due diligence review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Parent’s reasonable satisfaction, except to the extent any issues arising from such due diligence review are specifically disclosed in the Company Disclosure Schedule.</w:t>
      </w:r>
    </w:p>
    <w:p>
      <w:pPr>
        <w:spacing w:after="0" w:line="170" w:lineRule="exact"/>
        <w:rPr>
          <w:rFonts w:ascii="Times New Roman" w:cs="Times New Roman" w:eastAsia="Times New Roman" w:hAnsi="Times New Roman"/>
          <w:sz w:val="18"/>
          <w:szCs w:val="18"/>
          <w:color w:val="auto"/>
        </w:rPr>
      </w:pPr>
    </w:p>
    <w:p>
      <w:pPr>
        <w:ind w:left="660" w:firstLine="644"/>
        <w:spacing w:after="0" w:line="286" w:lineRule="auto"/>
        <w:tabs>
          <w:tab w:leader="none" w:pos="15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Selling Shareholder Representation Letter</w:t>
      </w:r>
      <w:r>
        <w:rPr>
          <w:rFonts w:ascii="Times New Roman" w:cs="Times New Roman" w:eastAsia="Times New Roman" w:hAnsi="Times New Roman"/>
          <w:sz w:val="18"/>
          <w:szCs w:val="18"/>
          <w:color w:val="auto"/>
        </w:rPr>
        <w:t>. Each of the Selling Shareholders shall have completed and executed the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shareholder representation letter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Certain of the Selling Shareholders, as agreed upon by Parent, shall have executed the Lock-Up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7.3 Additional Conditions to Obligations of the Company</w:t>
      </w:r>
      <w:r>
        <w:rPr>
          <w:rFonts w:ascii="Times New Roman" w:cs="Times New Roman" w:eastAsia="Times New Roman" w:hAnsi="Times New Roman"/>
          <w:sz w:val="18"/>
          <w:szCs w:val="18"/>
          <w:color w:val="auto"/>
        </w:rPr>
        <w:t>. The obligations of the Company and the Selling Shareholders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herein are also subject to the satisfaction or waiver in writing prior to the Effective Time of the following conditions:</w:t>
      </w:r>
    </w:p>
    <w:p>
      <w:pPr>
        <w:spacing w:after="0" w:line="155" w:lineRule="exact"/>
        <w:rPr>
          <w:sz w:val="20"/>
          <w:szCs w:val="20"/>
          <w:color w:val="auto"/>
        </w:rPr>
      </w:pPr>
    </w:p>
    <w:p>
      <w:pPr>
        <w:jc w:val="both"/>
        <w:ind w:left="660" w:firstLine="644"/>
        <w:spacing w:after="0" w:line="257" w:lineRule="auto"/>
        <w:tabs>
          <w:tab w:leader="none" w:pos="15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representations and warranties of Parent contained in this Agreement and in any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Company pursuant hereto shall be true and correct as of immediately prior to the Effective Time with the same force and effect as if made at and as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Parent, and the Company shall have received a certificate to such effect signed by the Chief Executive Officer of Parent.</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 and Covenants</w:t>
      </w:r>
      <w:r>
        <w:rPr>
          <w:rFonts w:ascii="Times New Roman" w:cs="Times New Roman" w:eastAsia="Times New Roman" w:hAnsi="Times New Roman"/>
          <w:sz w:val="18"/>
          <w:szCs w:val="18"/>
          <w:color w:val="auto"/>
        </w:rPr>
        <w:t>. Parent shall have performed in all material respects, or complied with in all material respects,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covenants required by this Agreement to be performed or complied with by them prior to the Effective Time, and the Company shall have received a certificate to such effect signed by the Chief Executive Officer of Parent.</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Secretary</w:t>
      </w:r>
      <w:r>
        <w:rPr>
          <w:rFonts w:ascii="Times New Roman" w:cs="Times New Roman" w:eastAsia="Times New Roman" w:hAnsi="Times New Roman"/>
          <w:sz w:val="18"/>
          <w:szCs w:val="18"/>
          <w:color w:val="auto"/>
        </w:rPr>
        <w:t>. Parent shall have delivered to the Company a certificate executed by the Secretary of Parent certifying: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duly adopted by the Board of Directors and stockholders of Parent authorizing this Agreement and the Exchange; (ii) the Certificate of Incorporation and Bylaws of Parent as in effect immediately prior to the Effective Time, including all amendments thereto; and (iii) the incumbency of the officers of Parent executing this Agreement and all agreements and documents contemplated hereby.</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Obtained</w:t>
      </w:r>
      <w:r>
        <w:rPr>
          <w:rFonts w:ascii="Times New Roman" w:cs="Times New Roman" w:eastAsia="Times New Roman" w:hAnsi="Times New Roman"/>
          <w:sz w:val="18"/>
          <w:szCs w:val="18"/>
          <w:color w:val="auto"/>
        </w:rPr>
        <w:t>. All consents, waivers, approvals, authorizations or Orders required to be obtained, and all filings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Parent for the authorization, execution and delivery of this Agreement and the consummation by it of the transactions contemplated hereby shall have been obtained and made by Parent, except for such consents, waivers, approvals, authorizations and Orders, and such filings, which would not be reasonably likely to have a Material Adverse Effect on Parent.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Absence of Material Adverse Effect</w:t>
      </w:r>
      <w:r>
        <w:rPr>
          <w:rFonts w:ascii="Times New Roman" w:cs="Times New Roman" w:eastAsia="Times New Roman" w:hAnsi="Times New Roman"/>
          <w:sz w:val="18"/>
          <w:szCs w:val="18"/>
          <w:color w:val="auto"/>
        </w:rPr>
        <w:t>. Since the date of this Agreement, there shall not have been any Material Adverse Effect 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0" w:lineRule="exact"/>
        <w:rPr>
          <w:sz w:val="20"/>
          <w:szCs w:val="20"/>
          <w:color w:val="auto"/>
        </w:rPr>
      </w:pPr>
    </w:p>
    <w:p>
      <w:pPr>
        <w:spacing w:after="0" w:line="24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Termination. </w:t>
      </w:r>
      <w:r>
        <w:rPr>
          <w:rFonts w:ascii="Times New Roman" w:cs="Times New Roman" w:eastAsia="Times New Roman" w:hAnsi="Times New Roman"/>
          <w:sz w:val="18"/>
          <w:szCs w:val="18"/>
          <w:color w:val="auto"/>
        </w:rPr>
        <w:t>This Agreement may be terminated at any time prior to the Effective Time, whether before or after approval of the Exchange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shareholders of the Company and Parent, unless specified below:</w:t>
      </w:r>
    </w:p>
    <w:p>
      <w:pPr>
        <w:spacing w:after="0" w:line="159" w:lineRule="exact"/>
        <w:rPr>
          <w:sz w:val="20"/>
          <w:szCs w:val="20"/>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Company and Parent duly authorized by the Boards of Directors of the Company and Parent;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other Party has breached any representation, warranty, covenant or agreement of such other Party set forth in this Agreement and such breach (i) has resulted in or is reasonably expected to result in a Material Adverse Effect on such other Party or would prevent or materially delay the consummation of the Exchange, (ii) has not been cured by such breaching Party within thirty (30) days following written notice of such breach from the non-breaching Party, and (iii) has not been waived by the non-breaching Party; provided, however, that the right to terminate this Agreement under this Section 8.1(b) shall not be available to any Party whose breach of any representation, warranty, covenant or agreement set forth in this Agreement has been the cause of, or resulted in, such other Party’s breach;</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all the conditions to the obligations of such Party for Closing the Exchange shall not have been satisfied or waived on or before the Final Date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breach of any representation, warranty, covenant or agreement set forth in this Agreement has been the cause of, or resulted in, such failure;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shall not be available to any Party whose breach of any representation, warranty, covenant or agreement set forth in this Agreement has been the cause of, or resulted in, the issuance, entry, or enactment of any such Law or Order;</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shall not be available to Parent where the failure to obtain the Parent Stockholder Exchange Vote shall have been caused by the action or failure to act of Parent and such action or failure to act constitutes a material breach by Parent of this Agreement;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left="660" w:firstLine="644"/>
        <w:spacing w:after="0" w:line="266" w:lineRule="auto"/>
        <w:tabs>
          <w:tab w:leader="none" w:pos="15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Required Company Shareholder Vote shall not have been obtained within two (2) Business Days of the Registration Statement becoming effective in accordance with the provisions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once the Required Company Shareholder Vote has been obtained, Parent may not terminate this Agreement pursuant to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b w:val="1"/>
          <w:bCs w:val="1"/>
          <w:color w:val="auto"/>
        </w:rPr>
        <w:t>Final Date</w:t>
      </w:r>
      <w:r>
        <w:rPr>
          <w:rFonts w:ascii="Times New Roman" w:cs="Times New Roman" w:eastAsia="Times New Roman" w:hAnsi="Times New Roman"/>
          <w:sz w:val="18"/>
          <w:szCs w:val="18"/>
          <w:color w:val="auto"/>
        </w:rPr>
        <w:t>” shall be December 31, 2026.</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8.2 Notice of Termination</w:t>
      </w:r>
      <w:r>
        <w:rPr>
          <w:rFonts w:ascii="Times New Roman" w:cs="Times New Roman" w:eastAsia="Times New Roman" w:hAnsi="Times New Roman"/>
          <w:sz w:val="18"/>
          <w:szCs w:val="18"/>
          <w:color w:val="auto"/>
        </w:rPr>
        <w:t>. Any termination of this Agreement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will be effective immediately upon the delivery of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the terminating Party to the other Party hereto specifying with reasonable particularity the reason for such termination.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8.3 Effect of Termination</w:t>
      </w:r>
      <w:r>
        <w:rPr>
          <w:rFonts w:ascii="Times New Roman" w:cs="Times New Roman" w:eastAsia="Times New Roman" w:hAnsi="Times New Roman"/>
          <w:sz w:val="18"/>
          <w:szCs w:val="18"/>
          <w:color w:val="auto"/>
        </w:rPr>
        <w:t>. In the case of any termination of this Agreement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this Agreement shall be of no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force and effect, with no liability on the part of any Party to this Agreement (or any stockholder, director, officer, employee, agent or representative of such Party) to any other Party hereto, except (i) with respect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any related definitions contained in any such Sections or Articles), which shall remain in full force and effect and (ii) with respect to any liabilities or damages incurred or suffered by a Party, to the extent such liabilities or damages were the result of fraud or the material breach by another Party of any of its representations, warranties, covenants or other agreements set forth in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SURVIVAL OF REPRESENTATIONS, WARRANTIES AND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None of the representations and warranties contained in this Agreement or in any instrument delivered under this Agreement will survive the Effective Time.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does not limit any covenant of the parties to this Agreement which, by its terms, contemplates performance after the Effective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10.1 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Parent: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Bio Green Med Solution,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Level 10, Tower 11, Avenue 5, No. 8</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Jalan Kerinchi, Kuala Lumpur, Malaysia 59200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Datuk Dr. Doris Wong Sing Ee,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Rimon, P.C.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423 Washington Street, Suite 600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94111 U.S.A.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Mark Lee; Debbie Klis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 (418) 683-5472 or (202) 935-3390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mark.c.lee@rimonlaw.com</w:t>
      </w:r>
      <w:r>
        <w:rPr>
          <w:rFonts w:ascii="Times New Roman" w:cs="Times New Roman" w:eastAsia="Times New Roman" w:hAnsi="Times New Roman"/>
          <w:sz w:val="18"/>
          <w:szCs w:val="18"/>
          <w:color w:val="auto"/>
        </w:rPr>
        <w:t>; debbie.klis@rimonlaw.com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Company or the Selling Shareholders: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Future NRG Sdn. Bhd.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Lot PT 6127, 3A/1,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Jalan Tech Valley, Bandar Sri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Sendayan, Seremban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Negeri Sembilan, Malaysia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Pun Kah Weng, Director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Messrs Rohamat &amp; Ling</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1009, Level 10, Menara PJ,</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Pusat Perdagangan Amcorp,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 18, Jalan Persiaran Barat,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46050, Petaling Jaya, Selangor, Malaysia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Mark Wong &amp; Bernard Tee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 +603-79325115/ +603- 7932 5050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corporate@r-ling.com</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10.2 Amendment</w:t>
      </w:r>
      <w:r>
        <w:rPr>
          <w:rFonts w:ascii="Times New Roman" w:cs="Times New Roman" w:eastAsia="Times New Roman" w:hAnsi="Times New Roman"/>
          <w:sz w:val="18"/>
          <w:szCs w:val="18"/>
          <w:color w:val="auto"/>
        </w:rPr>
        <w:t>. This Agreement may be amended with the approval of the respective boards of directors of the Company and Parent,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Selling Shareholders at any time (whether before or after the adoption and approval of this Agreement by the Selling Shareholders or before or after obtaining the Parent Stockholder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the Selling Shareholders and Parent.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10.3 Waiver</w:t>
      </w:r>
      <w:r>
        <w:rPr>
          <w:rFonts w:ascii="Times New Roman" w:cs="Times New Roman" w:eastAsia="Times New Roman" w:hAnsi="Times New Roman"/>
          <w:sz w:val="18"/>
          <w:szCs w:val="18"/>
          <w:color w:val="auto"/>
        </w:rPr>
        <w:t>. Any provision hereof may be waived by the waiving Party solely on such Party’s own behalf, without the consent of any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10.4 Failure or Indulgence Not Waiver; Remedies Cumulative</w:t>
      </w:r>
      <w:r>
        <w:rPr>
          <w:rFonts w:ascii="Times New Roman" w:cs="Times New Roman" w:eastAsia="Times New Roman" w:hAnsi="Times New Roman"/>
          <w:sz w:val="18"/>
          <w:szCs w:val="18"/>
          <w:color w:val="auto"/>
        </w:rPr>
        <w:t>. No failure or delay on the part of any Party hereto in the exercise of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impair such right or be construed to be a waiver of, or acquiescence in, any breach of any representation, warranty or agreement herein, nor shall any single or partial exercise of any such right preclude other or further exercise thereof or of any other rights. Except as otherwise provided hereunder, all rights and remedies existing under this Agreement are cumulative to, and not exclusive of, any rights or remedies otherwise available.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10.5 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10.6 Severability. </w:t>
      </w:r>
      <w:r>
        <w:rPr>
          <w:rFonts w:ascii="Times New Roman" w:cs="Times New Roman" w:eastAsia="Times New Roman" w:hAnsi="Times New Roman"/>
          <w:sz w:val="18"/>
          <w:szCs w:val="18"/>
          <w:color w:val="auto"/>
        </w:rPr>
        <w:t>Any term or provision of this Agreement that is invalid or unenforceable in any situation in any jurisdiction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10.7 Entire Agreement</w:t>
      </w:r>
      <w:r>
        <w:rPr>
          <w:rFonts w:ascii="Times New Roman" w:cs="Times New Roman" w:eastAsia="Times New Roman" w:hAnsi="Times New Roman"/>
          <w:sz w:val="18"/>
          <w:szCs w:val="18"/>
          <w:color w:val="auto"/>
        </w:rPr>
        <w:t>. This Agreement (including the Company Disclosure Schedule and the Parent Disclosure Schedule together with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 exhibits and schedules attached hereto and thereto and the certificates referenced herein) constitutes the entire agreement and supersedes all prior agreements and understandings, both oral and written, among the Parties, or any of them,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10.8 Assignment</w:t>
      </w:r>
      <w:r>
        <w:rPr>
          <w:rFonts w:ascii="Times New Roman" w:cs="Times New Roman" w:eastAsia="Times New Roman" w:hAnsi="Times New Roman"/>
          <w:sz w:val="18"/>
          <w:szCs w:val="18"/>
          <w:color w:val="auto"/>
        </w:rPr>
        <w:t>. This Agreement shall be binding upon, and shall be enforceable by and inure solely to the benefit of,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10.9 Parties In Interest. </w:t>
      </w:r>
      <w:r>
        <w:rPr>
          <w:rFonts w:ascii="Times New Roman" w:cs="Times New Roman" w:eastAsia="Times New Roman" w:hAnsi="Times New Roman"/>
          <w:sz w:val="18"/>
          <w:szCs w:val="18"/>
          <w:color w:val="auto"/>
        </w:rPr>
        <w:t>This Agreement shall be binding upon and inure solely to the benefit of each Party hereto and their permitted assigns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nothing in this Agreement, express or implied, is intended to or shall confer upon any other Person any right, benefit or remedy of any nature whatsoever under or by reason of this Agreement, including, without limitation, by way of subrogation.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10.10 Governing Law</w:t>
      </w:r>
      <w:r>
        <w:rPr>
          <w:rFonts w:ascii="Times New Roman" w:cs="Times New Roman" w:eastAsia="Times New Roman" w:hAnsi="Times New Roman"/>
          <w:sz w:val="18"/>
          <w:szCs w:val="18"/>
          <w:color w:val="auto"/>
        </w:rPr>
        <w:t>. This Agreement will be governed by, and construed and enforced in accordance with the Laws of the State of Delaware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applied to Contracts that are executed and performed in Delaware, without regard to the principles of conflicts of Law thereof. EACH PARTY HEREBY IRREVOCABLY SUBMITS TO THE EXCLUSIVE JURISDICTION OF THE COURT OF CHANCERY OF THE STATE OF DELAWARE (OR, IF THE COURT OF CHANCERY OF THE STATE OF DELAWARE DECLINES TO ACCEPT JURISDICTION OVER A PARTICULAR MATTER, ANY STATE OR FEDERAL COURT WITHIN THE STATE OF DELAWARE) IN RESPECT OF ANY CLAIM, DISPUTE, OR CONTROVERSY ARISING OUT OF OR RELATING TO THIS AGREEMENT OR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THE VENUE THEREOF MAY NOT BE APPROPRIATE OR THAT THIS AGREEMENT MAY NOT BE ENFORCED IN OR BY SUCH COURTS, AND THE PARTIES HERETO IRREVOCABLY AGREE THAT ALL CLAIMS WITH RESPECT TO SUCH ACTION OR PROCEEDING SHALL BE HEARD AND DETERMINED IN SUCH COURTS.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OR IN SUCH OTHER MANNER AS MAY BE PERMITTED BY LAW, SHALL BE VALID AND SUFFICIENT SERVICE THEREOF.</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10.11 Waiver of Jury Trial.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HEREBY, AS APPLICABLE, BY, AMONG OTHER THINGS, THE MUTUAL WAIVERS AND CERTIFICATIONS IN THIS SECTION.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10.12 Counterparts</w:t>
      </w:r>
      <w:r>
        <w:rPr>
          <w:rFonts w:ascii="Times New Roman" w:cs="Times New Roman" w:eastAsia="Times New Roman" w:hAnsi="Times New Roman"/>
          <w:sz w:val="18"/>
          <w:szCs w:val="18"/>
          <w:color w:val="auto"/>
        </w:rPr>
        <w:t>. This Agreement may be executed in two or more counterparts, any one of which need not contain the signatures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one Party, but all such counterparts taken together will constitute one and the same Agreement. This Agreement will become effective when each Party to this Agreement will have received counterparts signed by all of the other parties. This Agreement, to the extent a signed version hereof or signature hereto is delivered by means of a facsimile machine or electronic mail (any such 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hereof and deliver them in person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10.13 Attorneys’ Fees</w:t>
      </w:r>
      <w:r>
        <w:rPr>
          <w:rFonts w:ascii="Times New Roman" w:cs="Times New Roman" w:eastAsia="Times New Roman" w:hAnsi="Times New Roman"/>
          <w:sz w:val="18"/>
          <w:szCs w:val="18"/>
          <w:color w:val="auto"/>
        </w:rPr>
        <w:t>. If any action or proceeding relating to this Agreement, or the enforcement of any provision of this Agreement is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Party hereto against any Party hereto, the prevailing Party shall be entitled to recover reasonable attorneys’ fees, costs and disbursements (in addition to any other relief to which the prevailing Party may be entitled).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10.14 Representation</w:t>
      </w:r>
      <w:r>
        <w:rPr>
          <w:rFonts w:ascii="Times New Roman" w:cs="Times New Roman" w:eastAsia="Times New Roman" w:hAnsi="Times New Roman"/>
          <w:sz w:val="18"/>
          <w:szCs w:val="18"/>
          <w:color w:val="auto"/>
        </w:rPr>
        <w:t>. The Parties to this Agreement, and each of them, acknowledge, agree, and represent that it: (a) has been represented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negotiation and preparation of this Agreement by counsel of that Party’s choosing; (b) has read this Agreement and has had it fully explained by its counsel; (c) is fully aware of the contents and legal effect of this Agreement; and (d) enters into and signs the same by its own free will.</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10.15 Drafting</w:t>
      </w:r>
      <w:r>
        <w:rPr>
          <w:rFonts w:ascii="Times New Roman" w:cs="Times New Roman" w:eastAsia="Times New Roman" w:hAnsi="Times New Roman"/>
          <w:sz w:val="18"/>
          <w:szCs w:val="18"/>
          <w:color w:val="auto"/>
        </w:rPr>
        <w:t>. The Parties to this Agreement acknowledge that each of them have participated in the drafting and negotiation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interpreting this Agreement, each provision, paragraph, sentence and word herein shall be deemed to have been jointly drafted by both parties. The parties intend for this Agreement to be construed and interpreted neutrally in accordance with the plain meaning of the language contained herein, and not presumptively construed against any actual or purported drafter of any specific language contained herein.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10.16 Interpretation</w:t>
      </w:r>
      <w:r>
        <w:rPr>
          <w:rFonts w:ascii="Times New Roman" w:cs="Times New Roman" w:eastAsia="Times New Roman" w:hAnsi="Times New Roman"/>
          <w:sz w:val="18"/>
          <w:szCs w:val="18"/>
          <w:color w:val="auto"/>
        </w:rPr>
        <w:t>. For purposes of this Agreement, references to the masculine gender shall include feminine and neuter genders and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a reference in this Agreement is made to a Section, Exhibit or Schedule, such reference shall be to a Section of, Exhibit to or Schedule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References to “this Agreement” shall include the Company Disclosure Schedule and the Parent Disclosure Schedule.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Exchange Agreement to be executed as of the date first written above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BIO GREEN MED SOLUTION, INC.</w:t>
      </w:r>
      <w:r>
        <w:rPr>
          <w:rFonts w:ascii="Times New Roman" w:cs="Times New Roman" w:eastAsia="Times New Roman" w:hAnsi="Times New Roman"/>
          <w:sz w:val="18"/>
          <w:szCs w:val="18"/>
          <w:color w:val="auto"/>
        </w:rPr>
        <w:t>, a Delaware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FUTURE NRG SDN. BHD.</w:t>
      </w:r>
      <w:r>
        <w:rPr>
          <w:rFonts w:ascii="Times New Roman" w:cs="Times New Roman" w:eastAsia="Times New Roman" w:hAnsi="Times New Roman"/>
          <w:sz w:val="18"/>
          <w:szCs w:val="18"/>
          <w:color w:val="auto"/>
        </w:rPr>
        <w:t>, a Malaysia private limited 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Pun Kah Weng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COUNTERPART SIGNATURE PAGE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does hereby agree to be bound by all of the terms and provisions of the Business Combination Agreement, including all exhibits and schedules attached thereto, dated June 4, 2026, by and among Bio Green Med Solution, Inc., a Delaware corporation, Future NRG Sdn. Bhd., a Malaysian private limited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shareholders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held by Selling Shareholder: 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as used in the Agreement, have the following meanings: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Company Interim Financial Statements</w:t>
      </w:r>
      <w:r>
        <w:rPr>
          <w:rFonts w:ascii="Times New Roman" w:cs="Times New Roman" w:eastAsia="Times New Roman" w:hAnsi="Times New Roman"/>
          <w:sz w:val="18"/>
          <w:szCs w:val="18"/>
          <w:color w:val="auto"/>
        </w:rPr>
        <w:t>” means an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(s)” shall have the meaning set forth in Rule 12b-2 of the regulations promulgated under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Consideration Value</w:t>
      </w:r>
      <w:r>
        <w:rPr>
          <w:rFonts w:ascii="Times New Roman" w:cs="Times New Roman" w:eastAsia="Times New Roman" w:hAnsi="Times New Roman"/>
          <w:sz w:val="18"/>
          <w:szCs w:val="18"/>
          <w:color w:val="auto"/>
        </w:rPr>
        <w:t>” means $2,000,000,000.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 set forth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of a Person shall mean all of the assets, properties,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BGMS</w:t>
      </w:r>
      <w:r>
        <w:rPr>
          <w:rFonts w:ascii="Times New Roman" w:cs="Times New Roman" w:eastAsia="Times New Roman" w:hAnsi="Times New Roman"/>
          <w:sz w:val="18"/>
          <w:szCs w:val="18"/>
          <w:color w:val="auto"/>
        </w:rPr>
        <w:t>” means the Nasdaq symbol where Shares of common stock of Parent, par value $0.001, are shown.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in the State of New York are authorized or obligated to close.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 set forth in the Preamble.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Audited Financial Statements</w:t>
      </w:r>
      <w:r>
        <w:rPr>
          <w:rFonts w:ascii="Times New Roman" w:cs="Times New Roman" w:eastAsia="Times New Roman" w:hAnsi="Times New Roman"/>
          <w:sz w:val="18"/>
          <w:szCs w:val="18"/>
          <w:color w:val="auto"/>
        </w:rPr>
        <w:t>” means audited financial statements for each of its fiscal years required to be included in the Registration Statement, together with the auditor’s report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shall have the meaning as set forth in the opening paragraph of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Interim Financial Statements</w:t>
      </w:r>
      <w:r>
        <w:rPr>
          <w:rFonts w:ascii="Times New Roman" w:cs="Times New Roman" w:eastAsia="Times New Roman" w:hAnsi="Times New Roman"/>
          <w:sz w:val="18"/>
          <w:szCs w:val="18"/>
          <w:color w:val="auto"/>
        </w:rPr>
        <w:t>” means the Company Q1 2026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ordinary shares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Company-Owned IP</w:t>
      </w:r>
      <w:r>
        <w:rPr>
          <w:rFonts w:ascii="Times New Roman" w:cs="Times New Roman" w:eastAsia="Times New Roman" w:hAnsi="Times New Roman"/>
          <w:sz w:val="18"/>
          <w:szCs w:val="18"/>
          <w:color w:val="auto"/>
        </w:rPr>
        <w:t>” means all Intellectual Property owned or purported to be owned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Q1 2026 Interim Financial Statements</w:t>
      </w:r>
      <w:r>
        <w:rPr>
          <w:rFonts w:ascii="Times New Roman" w:cs="Times New Roman" w:eastAsia="Times New Roman" w:hAnsi="Times New Roman"/>
          <w:sz w:val="18"/>
          <w:szCs w:val="18"/>
          <w:color w:val="auto"/>
        </w:rPr>
        <w:t>” unaudited interim financial statements for the interim period completed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Required S-4 Information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Written Consents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6.8(a).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oral agreement, arrangement, commitment, contract, indenture, instrument, lease, obligation, plan, restriction, understanding or undertaking of any kind or character, or other document to which any Person is a party or by which such Person is bound or affecting such Person’s capital stock, Assets or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applicable Laws relating to data privacy, data protection, cybersecurity, and the collection, storage, use, disclosure, and transfer of Personal Data.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(i) any breach or violation of or default under any Contract, Order or Permit, (ii) any occurrence of any event that with the passage of time or the giving of notice or both would constitute a breach or violation of or default under any Contract, Order or Permit, or (iii) any occurrence of any event that with or without the passage of time or the giving of notice would give rise to a right to terminate or revoke, change the current terms of, or renegotiate, or to accelerate, increase, or impose any Liability under, any Contract, Order or Permit.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 any and all federal, state, local and foreign statutes, laws, judicial decisions, regulations, ordinances, rules, judgments, orders, decrees, codes, plans, injunctions, Permits, concessions, grants, franchises, licenses, agreements and governmental restrictions, relating to human health, the environment or to emissions, discharges or releases of pollutants, contaminants or other Hazardous Material or wastes into the environment, including without limitation ambient air, surface water, ground water or land, or otherwise relating to the manufacture, processing, distribution, use, treatment, storage, disposal, transport or handling of pollutants, contaminants or other Hazardous Material or wastes or the clean-up or other remediation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shall have the meaning as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 Documents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Shares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Financing</w:t>
      </w:r>
      <w:r>
        <w:rPr>
          <w:rFonts w:ascii="Times New Roman" w:cs="Times New Roman" w:eastAsia="Times New Roman" w:hAnsi="Times New Roman"/>
          <w:sz w:val="18"/>
          <w:szCs w:val="18"/>
          <w:color w:val="auto"/>
        </w:rPr>
        <w:t>” means a potential equity financing between the Closing Date and twenty four months thereafter, undertaken by Parent for up to $50,000,000, at a price range and for use of proceeds to be determined prior to filing the Form S-4.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 in effect as of the date hereof.</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with respect to any Person that is an entity, its certificate of incorporation or formation, bylaws, operating agreement, constitution, memorandum and articles of association or similar organizational documents, in each case,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 or any agency, bureau, board, directorate, commission, court, department, official, political subdivision, tribunal, or other instrumentality of any government, whether federal, state or local, domestic or foreign.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toxic, radioactive, corrosive or otherwise hazardous substance, including petroleum, its derivatives, by-products and other hydrocarbons, or any substance having any constituent elements displaying any of the foregoing characteristics, which in any event is regulated under any Environmental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the actual knowledge of the officers of a party, and knowledge that a reasonable person in such capacity should have after due inquiry.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code, law, ordinance, regulation, reporting or licensing requirement, rule, or statute applicable to a Person or its Assets, liabilities or business, including those promulgated, interpreted or enforced by any Regulatory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to such asset.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Malaysia Form of Transfer</w:t>
      </w:r>
      <w:r>
        <w:rPr>
          <w:rFonts w:ascii="Times New Roman" w:cs="Times New Roman" w:eastAsia="Times New Roman" w:hAnsi="Times New Roman"/>
          <w:sz w:val="18"/>
          <w:szCs w:val="18"/>
          <w:color w:val="auto"/>
        </w:rPr>
        <w:t xml:space="preserve">” means a form for the transfer of securities pursuant to Form Section 105 of the Malaysian Companies Act,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Malaysian Companies Act</w:t>
      </w:r>
      <w:r>
        <w:rPr>
          <w:rFonts w:ascii="Times New Roman" w:cs="Times New Roman" w:eastAsia="Times New Roman" w:hAnsi="Times New Roman"/>
          <w:sz w:val="18"/>
          <w:szCs w:val="18"/>
          <w:color w:val="auto"/>
        </w:rPr>
        <w:t>” means the Laws of Malaysia, Act 125, Companies Act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Materially</w:t>
      </w:r>
      <w:r>
        <w:rPr>
          <w:rFonts w:ascii="Times New Roman" w:cs="Times New Roman" w:eastAsia="Times New Roman" w:hAnsi="Times New Roman"/>
          <w:sz w:val="18"/>
          <w:szCs w:val="18"/>
          <w:color w:val="auto"/>
        </w:rPr>
        <w:t>” for purposes of this Agreement shall be determined in light of the facts and circumstances of the matter in question; provided that any specific monetary amount stated in this Agreement shall determine materiality in that instance.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GAAP, (e) changes in laws, rules, regulations, orders, or other binding directives issued by any Governmental Entity or (f) the taking of any action required by this Agreement and the other agreements contemplated hereby.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 Default</w:t>
      </w:r>
      <w:r>
        <w:rPr>
          <w:rFonts w:ascii="Times New Roman" w:cs="Times New Roman" w:eastAsia="Times New Roman" w:hAnsi="Times New Roman"/>
          <w:sz w:val="18"/>
          <w:szCs w:val="18"/>
          <w:color w:val="auto"/>
        </w:rPr>
        <w:t>” means a default under any Contract which would (A) permit any other party to cancel or terminate the same (with or without notice of passage of time) or (B) provide a basis for any other party to claim money damages in excess of $100,000 (either individually or in the aggregate with all other such claims under that contract) or (C) give rise to a right of acceleration of any material obligation or loss of any material benefit under any such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Medical Waste</w:t>
      </w:r>
      <w:r>
        <w:rPr>
          <w:rFonts w:ascii="Times New Roman" w:cs="Times New Roman" w:eastAsia="Times New Roman" w:hAnsi="Times New Roman"/>
          <w:sz w:val="18"/>
          <w:szCs w:val="18"/>
          <w:color w:val="auto"/>
        </w:rPr>
        <w:t>” shall have the meaning as set forth in Section 2.12(b)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Medical Waste Permits</w:t>
      </w:r>
      <w:r>
        <w:rPr>
          <w:rFonts w:ascii="Times New Roman" w:cs="Times New Roman" w:eastAsia="Times New Roman" w:hAnsi="Times New Roman"/>
          <w:sz w:val="18"/>
          <w:szCs w:val="18"/>
          <w:color w:val="auto"/>
        </w:rPr>
        <w:t>” shall have the meaning as set forth in Section 2.12(b)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Reverse Split</w:t>
      </w:r>
      <w:r>
        <w:rPr>
          <w:rFonts w:ascii="Times New Roman" w:cs="Times New Roman" w:eastAsia="Times New Roman" w:hAnsi="Times New Roman"/>
          <w:sz w:val="18"/>
          <w:szCs w:val="18"/>
          <w:color w:val="auto"/>
        </w:rPr>
        <w:t>” means a reverse stock split of all outstanding shares of Parent Common Stock effected by Parent for the purpose of maintaining compliance with Nasdaq listing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also known as the Office of Foreign Assets Control of the U.S. Treasury Department.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administrative decision or award, decree, injunction, judgment, order, quasi-judicial decision or award, ruling, or writ of any federal, state, local or foreign or other court, arbitrator, mediator, tribunal, administrative agency or Regulatory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as set forth in the Preamble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Accounts Receivable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Alternative Acquisition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Balance Sheet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shall mean the written disclosure schedule delivered prior to the execution of the Agreement by Parent to the Company that is arranged in paragraphs corresponding to the numbered and lettered paragraphs corresponding to the numbered and lettered paragraphs contained in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Exchange Approval Matter</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Exchange Vote</w:t>
      </w:r>
      <w:r>
        <w:rPr>
          <w:rFonts w:ascii="Times New Roman" w:cs="Times New Roman" w:eastAsia="Times New Roman" w:hAnsi="Times New Roman"/>
          <w:sz w:val="18"/>
          <w:szCs w:val="18"/>
          <w:color w:val="auto"/>
        </w:rPr>
        <w:t>” means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issuance of the Exchange Shares to the Selling Shareholders pursuant to the terms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Matters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Vote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the Company, the Selling Shareholders and Parent.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federal, state, local, and foreign governmental approval, authorization, certificate, consent, easement, filing, franchise, letter of good standing, license, notice, permit, qualification, registration or right of or from any Governmental Entity (or any extension, modification, amendment or waiver of any of these) to which any Person is a party or that is or may be binding upon or inure to the benefit of any Person or its securities, Assets or business, or any notice, statement, filing or other communication to be filed with or delivered to any Governmental Entity.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an association, a trust, a limited liability company or any other entity or organization, including a government or political subdivision or any agency or instrumentality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relating to an identified or identifiable natural person that is protected under applicable Data Protection Laws.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a statement relating to the Parent Stockholder Meeting to be held in connection with the Exchange (together with any amendments thereof or supplements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Proxy Statement and the Form S-4, collectively.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Company Shareholder Vote</w:t>
      </w:r>
      <w:r>
        <w:rPr>
          <w:rFonts w:ascii="Times New Roman" w:cs="Times New Roman" w:eastAsia="Times New Roman" w:hAnsi="Times New Roman"/>
          <w:sz w:val="18"/>
          <w:szCs w:val="18"/>
          <w:color w:val="auto"/>
        </w:rPr>
        <w:t>” means the affirmative unanimous vote (or written consent) of the Selling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(i) any corporation, limited liability company, association or other business entity of which more than fifty percent (50%) of the total voting power of the capital shares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United States federal, state, provincial, local or foreign taxes and any other applicable duties, levies, fees, charges and assessments that are in the nature of a tax, including income, gross receipts, property, sales, use, license, excise, franchise, ad valorem, value-added, transfer, severance, stamp, occupation, premium, windfall profits, environmental (including taxes under Section 59A of the Code), customs, capital stock, real property, personal property, alternative or add-on minimum, estimated, social security payments, and health taxes and any deductibles relating to wages, salaries and benefits and payments to subcontractors, together with all interest, penalties and additions imposed with respect to such amounts.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is open for trading.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Consideration Shares</w:t>
      </w:r>
      <w:r>
        <w:rPr>
          <w:rFonts w:ascii="Times New Roman" w:cs="Times New Roman" w:eastAsia="Times New Roman" w:hAnsi="Times New Roman"/>
          <w:sz w:val="18"/>
          <w:szCs w:val="18"/>
          <w:color w:val="auto"/>
        </w:rPr>
        <w:t xml:space="preserve">” means that number of shares of Parent Common Stock equal to the quotient of Aggregate Transaction Consideration Value divided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(y) thirty (30) day VWAP immediately prior to the Closing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Agreement and any other document executed and delivered pursuant hereto, together with any exhibits or schedules to such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mean Equiniti Trust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Trading Day, the daily volume weighted average price of the Parent Common Stock for such Trading Day on Nasdaq (or, if the Parent Common Stock are not then listed on Nasdaq, on the principal national securities exchange on which the Parent Common Stock are then listed) as reported by Bloomberg L.P. (or, if Bloomberg L.P. is not then available, by such other reliable source as reasonably determined by Parent).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tbl>
      <w:tblPr>
        <w:tblLayout w:type="fixed"/>
        <w:tblInd w:w="6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648"/>
        </w:trPr>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80" w:type="dxa"/>
            <w:vAlign w:val="bottom"/>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EXHIBIT F</w:t>
            </w:r>
          </w:p>
        </w:tc>
      </w:tr>
      <w:tr>
        <w:trPr>
          <w:trHeight w:val="391"/>
        </w:trPr>
        <w:tc>
          <w:tcPr>
            <w:tcW w:w="440" w:type="dxa"/>
            <w:vAlign w:val="bottom"/>
          </w:tcPr>
          <w:p>
            <w:pPr>
              <w:spacing w:after="0"/>
              <w:rPr>
                <w:sz w:val="24"/>
                <w:szCs w:val="24"/>
                <w:color w:val="auto"/>
              </w:rPr>
            </w:pPr>
          </w:p>
        </w:tc>
        <w:tc>
          <w:tcPr>
            <w:tcW w:w="10140" w:type="dxa"/>
            <w:vAlign w:val="bottom"/>
            <w:gridSpan w:val="3"/>
          </w:tcPr>
          <w:p>
            <w:pPr>
              <w:ind w:left="3060"/>
              <w:spacing w:after="0"/>
              <w:rPr>
                <w:sz w:val="20"/>
                <w:szCs w:val="20"/>
                <w:color w:val="auto"/>
              </w:rPr>
            </w:pPr>
            <w:r>
              <w:rPr>
                <w:rFonts w:ascii="Times New Roman" w:cs="Times New Roman" w:eastAsia="Times New Roman" w:hAnsi="Times New Roman"/>
                <w:sz w:val="18"/>
                <w:szCs w:val="18"/>
                <w:b w:val="1"/>
                <w:bCs w:val="1"/>
                <w:color w:val="auto"/>
              </w:rPr>
              <w:t>FORM OF LOCK-UP AGREEMENT</w:t>
            </w:r>
          </w:p>
        </w:tc>
      </w:tr>
      <w:tr>
        <w:trPr>
          <w:trHeight w:val="453"/>
        </w:trPr>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 2026</w:t>
            </w:r>
          </w:p>
        </w:tc>
      </w:tr>
      <w:tr>
        <w:trPr>
          <w:trHeight w:val="41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Business Combination Agreement, dated as of June 4,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Bio Green Med Solution, Inc.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Future</w:t>
            </w:r>
          </w:p>
        </w:tc>
      </w:tr>
      <w:tr>
        <w:trPr>
          <w:trHeight w:val="216"/>
        </w:trPr>
        <w:tc>
          <w:tcPr>
            <w:tcW w:w="440" w:type="dxa"/>
            <w:vAlign w:val="bottom"/>
          </w:tcPr>
          <w:p>
            <w:pPr>
              <w:spacing w:after="0"/>
              <w:rPr>
                <w:sz w:val="18"/>
                <w:szCs w:val="18"/>
                <w:color w:val="auto"/>
              </w:rPr>
            </w:pP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NRG Sdn. Bhd.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Selling Shareholders signatory thereto (each, a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and, collectively, the</w:t>
            </w:r>
          </w:p>
        </w:tc>
      </w:tr>
      <w:tr>
        <w:trPr>
          <w:trHeight w:val="238"/>
        </w:trPr>
        <w:tc>
          <w:tcPr>
            <w:tcW w:w="440" w:type="dxa"/>
            <w:vAlign w:val="bottom"/>
          </w:tcPr>
          <w:p>
            <w:pPr>
              <w:spacing w:after="0"/>
              <w:rPr>
                <w:sz w:val="20"/>
                <w:szCs w:val="20"/>
                <w:color w:val="auto"/>
              </w:rPr>
            </w:pP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Defined terms not otherwise defined in this letter agreement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xml:space="preserve">”) shall have the meanings set forth in the Agreement. Pursuant to </w:t>
      </w:r>
      <w:r>
        <w:rPr>
          <w:rFonts w:ascii="Times New Roman" w:cs="Times New Roman" w:eastAsia="Times New Roman" w:hAnsi="Times New Roman"/>
          <w:sz w:val="18"/>
          <w:szCs w:val="18"/>
          <w:u w:val="single" w:color="auto"/>
          <w:color w:val="auto"/>
        </w:rPr>
        <w:t>Section 7.2(i)</w:t>
      </w:r>
      <w:r>
        <w:rPr>
          <w:rFonts w:ascii="Times New Roman" w:cs="Times New Roman" w:eastAsia="Times New Roman" w:hAnsi="Times New Roman"/>
          <w:sz w:val="18"/>
          <w:szCs w:val="18"/>
          <w:color w:val="auto"/>
        </w:rPr>
        <w:t xml:space="preserve"> of the Agreement and in satisfaction of a condition of the Company’s obligations under the Agreement, the undersigned irrevocably agrees with Parent that, from the date hereof until one hundred eighty (180) days after the Effective Time (such period, the “</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any shares of Common Stock of Parent or securities convertible, exchangeable or exercisable into, shares of Common Stock of Parent beneficially owned, held or hereafter acquired by the undersigned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make any demand for or exercise any right or cause to be filed a registration, including any amendments thereto, with respect to the registration of any shares of Common Stock or Common Stock Equivalents or publicly disclose the intention to do any of the foregoing. Beneficial ownership shall be calculated in accordance with Section 13(d) of the Exchange Act. The undersigned acknowledges that Parent shall provide written notice to the transfer agent of Parent to inform them of the Restriction Period, which written notice shall include notification by email. In order to enforce this covenant, Parent shall impose irrevocable stop-transfer instructions preventing the transfer agent of Parent from effecting any actions in violation of this Letter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Securities provided that (1) Parent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transfer:</w:t>
      </w:r>
    </w:p>
    <w:p>
      <w:pPr>
        <w:spacing w:after="0" w:line="18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or other business entity all of the equity holders of which consist of the undersigned and/or the immediate family of the undersigned;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the beneficiary of such trust;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the undersigned.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notwithstanding the foregoing, this Letter Agreement shall not restrict the delivery of shares of Common Stock to the undersigned upon (i) exercise any options granted under any employee benefit plan of Parent; provided that any shares of Common Stock or Securities acquired in connection with any such exercise will be subject to the restrictions set forth in this Letter Agreement, or (ii) the exercise of warrants; provided that such shares of Common Stock delivered to the undersigned in connection with such exercise are subject to the restrictions set forth in this Letter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Letter Agreement is a material inducement to Parent to complete the transactions contemplated by the Agreement and Parent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each of Parent and the undersigned. This Letter Agreement shall be construed and enforced in accordance with the laws of the State of Delaware without regard to the principles of conflict of laws. The undersigned hereby irrevocably submits to the exclusive jurisdiction of the federal and state courts in the State of Delaware,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Selling Shareholders and that no Selling Shareholder is entitled to cast any votes on the matters herein contemplated and that no issuance or sale of the Securities is created or intended by virtue of this Letter Agreement.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Agreement shall be binding on successors and assigns of the undersigned with respect to the Securities and any such successor or assign shall enter into a similar agreement for the benefit of Parent. This Letter Agreement is intended for the benefit of the parties hereto and their respective successors and permitted assigns and is not for the benefit of, nor may any provision hereof be enforced by, any other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two or more counterparts, all of which when taken together may be considered one and the same agreement.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signing below, Parent agrees to enforce the restrictions on transfer set forth in this Letter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156845</wp:posOffset>
            </wp:positionV>
            <wp:extent cx="1628775" cy="462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8775" cy="4629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156845</wp:posOffset>
            </wp:positionV>
            <wp:extent cx="1534160" cy="557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34160" cy="55753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885825</wp:posOffset>
            </wp:positionV>
            <wp:extent cx="5726430"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264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BIO GREEN MED SOLUTION, INC. ANNOUNCES BUSINESS COMBINATION AGREEMENT TO ACQUIRE FUTURE NRG SDN. BHD.</w:t>
      </w:r>
    </w:p>
    <w:p>
      <w:pPr>
        <w:spacing w:after="0" w:line="225" w:lineRule="exact"/>
        <w:rPr>
          <w:sz w:val="20"/>
          <w:szCs w:val="20"/>
          <w:color w:val="auto"/>
        </w:rPr>
      </w:pPr>
    </w:p>
    <w:p>
      <w:pPr>
        <w:jc w:val="both"/>
        <w:ind w:left="660" w:right="20" w:hanging="328"/>
        <w:spacing w:after="0" w:line="26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Creation of a next-generation environmental platform: </w:t>
      </w:r>
      <w:r>
        <w:rPr>
          <w:rFonts w:ascii="Times New Roman" w:cs="Times New Roman" w:eastAsia="Times New Roman" w:hAnsi="Times New Roman"/>
          <w:sz w:val="18"/>
          <w:szCs w:val="18"/>
          <w:color w:val="auto"/>
        </w:rPr>
        <w:t>The proposed transaction brings together essential safety and environmental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strategic focus on regulatory-driven industries where compliance, technical expertise, and reliability are paramount, into a single, globally scalable platform.</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fuels, infrastructure, and environmental markets: </w:t>
      </w:r>
      <w:r>
        <w:rPr>
          <w:rFonts w:ascii="Times New Roman" w:cs="Times New Roman" w:eastAsia="Times New Roman" w:hAnsi="Times New Roman"/>
          <w:sz w:val="18"/>
          <w:szCs w:val="18"/>
          <w:color w:val="auto"/>
        </w:rPr>
        <w:t>The combined company is expected to link niche sectors of the fire safety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green waste treatment businesses that involve mandatory compliance frameworks that drive consistent demand for these products and services, providing a resilient and diversified revenue base.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Supports overlap in end-customer markets. </w:t>
      </w:r>
      <w:r>
        <w:rPr>
          <w:rFonts w:ascii="Times New Roman" w:cs="Times New Roman" w:eastAsia="Times New Roman" w:hAnsi="Times New Roman"/>
          <w:sz w:val="18"/>
          <w:szCs w:val="18"/>
          <w:color w:val="auto"/>
        </w:rPr>
        <w:t>Future NRG Sdn. Bhd. serves thousands of healthcare waste generators and Fitters Sdn. Bhd.,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Bio Green Med Solution, Inc., delivers certified safety solutions, including fire extinguishers, foam systems, fire-resistant doors, PPE and fire safety apparel, that enhance protection across commercial, industrial, healthcare, and residential sectors. Their integration would allow the combined entity to offer a bundled compliance solution with clinical waste disposal and fire safety equipment through a single relationship, potentially increasing customer retention and per-account revenue.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KUALA LUMPUR, MALAYSIA, June 4, 2026 </w:t>
      </w:r>
      <w:r>
        <w:rPr>
          <w:rFonts w:ascii="Times New Roman" w:cs="Times New Roman" w:eastAsia="Times New Roman" w:hAnsi="Times New Roman"/>
          <w:sz w:val="18"/>
          <w:szCs w:val="18"/>
          <w:color w:val="auto"/>
        </w:rPr>
        <w:t>- Bio Green Med Solution, Inc. (NASDAQ: BGMS; the “Company”) today announced that it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Business Combination Agreement (“BCA”) with Future NRG Sdn. Bhd. (“Future NRG”) in an all stock share exchange transaction. Future NRG is a Malaysia-based technology integrator and project developer operating at the forefront of innovative and sustainable medical waste management, for healthcare waste generators including clinics, dental practices, veterinary clinics, dialysis centers, laboratories, and factories, offering advanced waste-to-energy and waste-to-resource projects using advanced, market-proven clean technology. Upon completion of the share exchange, which is subject to approval by BGMS and Future NRG’s shareholders, the combined company is expected to continue operating under the name Bio Green Med Solution, Inc. and continue trading on the Nasdaq Capital Market under the ticker symbol “BGMS”.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BCA, the parties intend to effect a share exchange between BGMS and the Future NRG selling shareholders, in which Future NRG will become a wholly-owned subsidiary of BGMS, in accordance with the terms of the BCA and the rules under Delaware General Corporation Law (the “DGCL”) and the Malaysian Companies Act (the “Transaction”). As part of the Transaction, the BGMS common stock, par value $0.001 (the “BGMS Stock”) transferred to the Future NRG selling shareholders, in exchange for the ordinary shares of Future NRG shall constitute one hundred (100%) percent of the issued and outstanding capital shares of Future NRG. The percentage of the combined company that pre-Transaction BGMS shareholders and pre-Transaction Future NRG shareholders will own as of the close of the proposed Transaction is subject to an exchange ratio, as described in the BCA. The combined company will continue to be led by Datuk Dr. Doris Wong, current CEO and Executive Director of BGMS, together with other members of the current BGMS management team. The combined company’s Board of Directors will be comprised of the current board members of BGMS except that Mr. Conner Kiu plans to step down as a director but will continue to serve at BGMS as its CFO, and Mr. Pun Kah Weng as selected by Future NRG will be appointed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“Future NRG is driven by a core conviction focused on advancing eco-friendly alternatives to traditional, high-emission industrial practices,” said Ngu Wang Keat, Director of FNRG. “Our use of advanced American ozone technology to process clinical waste platform provides a 99.9999% reduction in microbial populations while eliminating the carbon emissions associated with traditional incineration. Access to the public markets through this combination with Bio Green Med Solution, Inc. gives us the capital and the profile to accelerate that strategy at scale.”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Datuk Dr. Doris Wong Sing Ee, Chief Executive Officer and Executive Director of BGMS added, “Future NRG’s management team has built a differentiated model with a demonstrated green solution for scheduled waste treatment with proven economics in a large and underserved market. We are confident this combination will deliver long-term value for shareholders.”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2026 subject to shareholder approval of both companies, the effectiveness of a registration statement to be filed with the U.S. Securities and Exchange Commission to register the securities to be issued in connection with the Transaction, and the satisfaction of customary closing conditions. The BCA has been unanimously approved by the boards of both BGMS and Future NRG.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Future NRG Sdn. Bhd.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NRG is a Malaysia-based private limited company specializing in renewable energy development through its green solution of scheduled waste treatment (specifically, SW 404 which are pathogenic wastes, clinical wastes or quarantined material) to private medical practitioners throughout Peninsular Malaysia. Future NRG currently owns and operates a medical waste plant, the Sendayan Ozone Medical Waste Treatment Plant in Sendayan Tech Valley, Negeri Sembilan, Malaysia (the “Plant”), with a capacity of 10 metric tons per day.</w:t>
      </w:r>
    </w:p>
    <w:p>
      <w:pPr>
        <w:spacing w:after="0" w:line="139"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The Plant is a specialized facility designed to disinfect and treat biomedical waste using ozone gas (O</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xml:space="preserve">)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 For additional information, please visit </w:t>
      </w:r>
      <w:r>
        <w:rPr>
          <w:rFonts w:ascii="Times New Roman" w:cs="Times New Roman" w:eastAsia="Times New Roman" w:hAnsi="Times New Roman"/>
          <w:sz w:val="18"/>
          <w:szCs w:val="18"/>
          <w:u w:val="single" w:color="auto"/>
          <w:color w:val="auto"/>
        </w:rPr>
        <w:t>http://www.futurenrg.net/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About Bio Green Med Solution,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BGMS is a Delaware corporation listed on Nasdaq (formerly known as Cyclacel Pharmaceuticals, Inc.) and is headquartered in Kuala Lumpur, Malaysia. BGMS is a diversified enterprise whose fire safety division, anchored by its Fitters Sdn. Bhd. subsidiary, specializes in supplying, trading, and installing protective and fire safety equipment for domestic and international markets. Its product range includes fire extinguishers, foam systems, fire-resistant doors known as the Pyrodor, personal protective equipment (PPE), and fire safety apparel. For additional information, please visit </w:t>
      </w:r>
      <w:r>
        <w:rPr>
          <w:rFonts w:ascii="Times New Roman" w:cs="Times New Roman" w:eastAsia="Times New Roman" w:hAnsi="Times New Roman"/>
          <w:sz w:val="18"/>
          <w:szCs w:val="18"/>
          <w:u w:val="single" w:color="auto"/>
          <w:color w:val="auto"/>
        </w:rPr>
        <w:t>https://bgmsglobal.com/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Legal Advisors to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 Group International Limited is acting as exclusive financial advisor to BGMS with Rimon, P.C. (Washington, DC) serving as BGMS’ legal 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Rohamat &amp; Ling Advocates &amp; Solicitors (Malaysia) is serving as legal counsel to Future NRG.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proposed Transaction will be provided in a Report on Form 8-K to be filed by BGMS with the U.S. Securities and Exchange Commission (“SEC”) and available at www.sec.gov.</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a registration statement on Form S-4 (the “Form S-4”) is expected to be filed by the Company with the SEC. Upon the closing of the Transaction, it is expected that the Company will be the ultimate parent of Future NRG. The Form S-4 will include a prospectus relating to the offer and sale of securities to be issued in connection with the completion of the Transaction. It will also include a preliminary proxy statement to be distributed to holders of the Company’s common stock in connection with its solicitation of proxies for the vote of its stockholders in connection matters relating to the Transaction.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does not contain all the information that should be considered concerning the Transaction or any other matter and is not intended to form the basis of any investment decision or any other decision in respect of the Transaction or any other matter. The Company and Future NRG urge investors, stockholders, shareholders and other interested persons to read, when available, the Form S-4, including the prospectus and the proxy statement included therein and the amendments thereto as well as any other documents filed with the SEC in connection with the Transaction as these materials will contain important information about the Company, Future NRG and the Transaction.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After the Form S-4 has been filed and declared effective, the definitive proxy statement will be mailed to the Company’s stockholders as of the record date established for voting on the matters set forth therein. The Company and Future NRG stockholders will be able to obtain copies of such documents, without charge, once available,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request to Bio Green Med Solution, Inc. via email to: </w:t>
      </w:r>
      <w:r>
        <w:rPr>
          <w:rFonts w:ascii="Times New Roman" w:cs="Times New Roman" w:eastAsia="Times New Roman" w:hAnsi="Times New Roman"/>
          <w:sz w:val="18"/>
          <w:szCs w:val="18"/>
          <w:u w:val="single" w:color="auto"/>
          <w:color w:val="auto"/>
        </w:rPr>
        <w:t>ir@BGMS.com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ACCURACY OR ADEQUACY OF THE INFORMATION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The Company, Future NRG, and their respective directors, executive officers and other members of their management and employees, may, under SEC rules, be deemed to be participants in the solicitation of proxies of the Company’s stockholders in connection with the Transaction. Investors and securityholders may obtain more detailed information regarding the names, affiliations and interests of the Company’s directors and executive officers in the Company’s Annual Report on Form 10-K filed with the SEC on March 30, 2026, and other reports filed with the SEC. Additional information regarding the participants will also be included in the Form S-4, when it becomes available. When available, these documents can be obtained free of charge from the sources indicated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offer or offering of equity interests or securities of any kind is being made, conducted or extended at this time. This communication is for informational purposes only and does not constitute or include an offer to sell, or a solicitation of an offer to purchase or subscribe for, equity interests or securities of any kind or a solicitation of any vote of approval, nor shall there be any sale, issuance or transfer of any such securities in any state or jurisdiction in which such offer, solicitation or sale would be unlawful prior to registration or qualification under the securities laws of such jurisdiction. Any such offer or solicitation will be made only in connection with the delivery of a prospectus meeting the requirements of the Securities Act of 1933, as amended, or exemptions therefrom.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 Green Med Solution,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info@bgmsglobal.com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the consummation of the Transaction.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(i) changes in domestic and foreign business, market, financial, political and legal conditions; (ii) the inability of the Company and Future NRG to consummate the proposed Transaction successfully or timely, including the risk that any required approvals are not obtained, are delayed or are subject to unanticipated conditions that could adversely affect the combined company or the expected benefits of the proposed Transaction or that the approval of the equityholders of the Company and Future NRG is not obtained;</w:t>
      </w:r>
    </w:p>
    <w:p>
      <w:pPr>
        <w:spacing w:after="0" w:line="3" w:lineRule="exact"/>
        <w:rPr>
          <w:sz w:val="20"/>
          <w:szCs w:val="20"/>
          <w:color w:val="auto"/>
        </w:rPr>
      </w:pPr>
    </w:p>
    <w:p>
      <w:pPr>
        <w:jc w:val="both"/>
        <w:ind w:firstLine="8"/>
        <w:spacing w:after="0" w:line="251" w:lineRule="auto"/>
        <w:tabs>
          <w:tab w:leader="none" w:pos="3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proposed Transaction; (iv) the ability of the combined company to grow and manage its growth effectively; (v) the ability of each of the Company and Future NRG to execute their respective business plan; (vi) estimates of the size of the markets for the combined company’s respective products and services; (vii) the rate and degree of market acceptance of the combined company’s products and services outside of its existing markets; (viii) the Company’s ability to identify and integrate acquisitions; (ix) future investments in technology and operations; (x) potential litigation involving the Company or Future NRG; (xi) risks relating to the uncertainty of the projected financial information with respect to Future NRG; (xii) the effects of competition on Future NRG’s business; (xiii) developments and changes in laws and regulations; (xiv) the impact of significant investigative, regulatory or legal proceedings; (xv) general economic and market conditions impacting demand for the combined company’s products and services; (xvi) the ability to meet Nasdaq’s listing standards prior to and following the consummation of the proposed Transaction; and (xvii) such other risks and uncertainties as are discussed in the Company’s Annual Report on Form 10-K filed with the SEC and the Form S-4 to be filed relating to the proposed Transaction.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factors include the possibility that the proposed Transaction does not close, including due to the failure to receive required securityholder approvals, or the failure of other closing conditions.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Actual results could differ from those projected in any forward-looking statements due to numerous factors. These forward-looking statements are made as of the date of this press release,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press release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 Green Med Solution,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NRG Sdn. Bhd.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2"/>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4"/>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1"/>
    </w:lvl>
    <w:lvl w:ilvl="1">
      <w:lvlJc w:val="left"/>
      <w:lvlText w:val="(%2)"/>
      <w:numFmt w:val="lowerLetter"/>
      <w:start w:val="3"/>
    </w:lvl>
  </w:abstractNum>
  <w:abstractNum w:abstractNumId="14">
    <w:nsid w:val="8138641"/>
    <w:multiLevelType w:val="hybridMultilevel"/>
    <w:lvl w:ilvl="0">
      <w:lvlJc w:val="left"/>
      <w:lvlText w:val="(%1)"/>
      <w:numFmt w:val="lowerLetter"/>
      <w:start w:val="1"/>
    </w:lvl>
    <w:lvl w:ilvl="1">
      <w:lvlJc w:val="left"/>
      <w:lvlText w:val="(%2)"/>
      <w:numFmt w:val="lowerLetter"/>
      <w:start w:val="6"/>
    </w:lvl>
  </w:abstractNum>
  <w:abstractNum w:abstractNumId="15">
    <w:nsid w:val="1E7FF521"/>
    <w:multiLevelType w:val="hybridMultilevel"/>
    <w:lvl w:ilvl="0">
      <w:lvlJc w:val="left"/>
      <w:lvlText w:val="(%1)"/>
      <w:numFmt w:val="lowerLetter"/>
      <w:start w:val="8"/>
    </w:lvl>
  </w:abstractNum>
  <w:abstractNum w:abstractNumId="16">
    <w:nsid w:val="7C3DBD3D"/>
    <w:multiLevelType w:val="hybridMultilevel"/>
    <w:lvl w:ilvl="0">
      <w:lvlJc w:val="left"/>
      <w:lvlText w:val="(%1)"/>
      <w:numFmt w:val="lowerRoman"/>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2"/>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8"/>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7"/>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3"/>
    </w:lvl>
  </w:abstractNum>
  <w:abstractNum w:abstractNumId="31">
    <w:nsid w:val="2463B9EA"/>
    <w:multiLevelType w:val="hybridMultilevel"/>
    <w:lvl w:ilvl="0">
      <w:lvlJc w:val="left"/>
      <w:lvlText w:val="(%1)"/>
      <w:numFmt w:val="lowerLetter"/>
      <w:start w:val="5"/>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6"/>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1)"/>
      <w:numFmt w:val="lowerRoman"/>
      <w:start w:val="3"/>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2026-06-04T15:48:39Z</dcterms:created>
  <dcterms:modified xsi:type="dcterms:W3CDTF">2026-06-04T15:48:39Z</dcterms:modified>
</cp:coreProperties>
</file>