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2" w:lineRule="exact"/>
        <w:rPr>
          <w:sz w:val="24"/>
          <w:szCs w:val="24"/>
          <w:color w:val="auto"/>
        </w:rPr>
      </w:pPr>
    </w:p>
    <w:p>
      <w:pPr>
        <w:ind w:left="3820" w:right="1440" w:hanging="3488"/>
        <w:spacing w:after="0" w:line="521" w:lineRule="auto"/>
        <w:tabs>
          <w:tab w:leader="none" w:pos="66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57" w:lineRule="exact"/>
        <w:rPr>
          <w:sz w:val="24"/>
          <w:szCs w:val="24"/>
          <w:color w:val="auto"/>
        </w:rPr>
      </w:pPr>
    </w:p>
    <w:p>
      <w:pPr>
        <w:ind w:left="660" w:right="1420" w:hanging="328"/>
        <w:spacing w:after="0" w:line="485" w:lineRule="auto"/>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 to __________________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000-50626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 Green Med Solution,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49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91-1707622</w:t>
            </w:r>
          </w:p>
        </w:tc>
      </w:tr>
      <w:tr>
        <w:trPr>
          <w:trHeight w:val="216"/>
        </w:trPr>
        <w:tc>
          <w:tcPr>
            <w:tcW w:w="492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92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6"/>
        </w:trPr>
        <w:tc>
          <w:tcPr>
            <w:tcW w:w="49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Level 10, Tower 11, Avenue 5, No. 8</w:t>
            </w:r>
          </w:p>
        </w:tc>
        <w:tc>
          <w:tcPr>
            <w:tcW w:w="3080" w:type="dxa"/>
            <w:vAlign w:val="bottom"/>
          </w:tcPr>
          <w:p>
            <w:pPr>
              <w:spacing w:after="0"/>
              <w:rPr>
                <w:sz w:val="24"/>
                <w:szCs w:val="24"/>
                <w:color w:val="auto"/>
              </w:rPr>
            </w:pPr>
          </w:p>
        </w:tc>
      </w:tr>
      <w:tr>
        <w:trPr>
          <w:trHeight w:val="220"/>
        </w:trPr>
        <w:tc>
          <w:tcPr>
            <w:tcW w:w="49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Jalan Kerinchi, Kuala Lumpur, Malaysia</w:t>
            </w:r>
          </w:p>
        </w:tc>
        <w:tc>
          <w:tcPr>
            <w:tcW w:w="3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59200</w:t>
            </w:r>
          </w:p>
        </w:tc>
      </w:tr>
      <w:tr>
        <w:trPr>
          <w:trHeight w:val="234"/>
        </w:trPr>
        <w:tc>
          <w:tcPr>
            <w:tcW w:w="492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(908) 955-0526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Cyclacel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if changed since last report)</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BGMS</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6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13" w:right="339" w:bottom="1440" w:gutter="0" w:footer="0" w:header="0"/>
        </w:sectPr>
      </w:pPr>
    </w:p>
    <w:p>
      <w:pPr>
        <w:spacing w:after="0" w:line="122" w:lineRule="exact"/>
        <w:rPr>
          <w:sz w:val="24"/>
          <w:szCs w:val="24"/>
          <w:color w:val="auto"/>
        </w:rPr>
      </w:pPr>
    </w:p>
    <w:p>
      <w:pPr>
        <w:ind w:left="18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6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66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filer </w:t>
      </w:r>
      <w:r>
        <w:rPr>
          <w:rFonts w:ascii="MS PGothic" w:cs="MS PGothic" w:eastAsia="MS PGothic" w:hAnsi="MS PGothic"/>
          <w:sz w:val="18"/>
          <w:szCs w:val="18"/>
          <w:color w:val="auto"/>
        </w:rPr>
        <w:t>☒</w:t>
      </w:r>
    </w:p>
    <w:p>
      <w:pPr>
        <w:spacing w:after="0" w:line="9" w:lineRule="exact"/>
        <w:rPr>
          <w:sz w:val="24"/>
          <w:szCs w:val="24"/>
          <w:color w:val="auto"/>
        </w:rPr>
      </w:pPr>
    </w:p>
    <w:p>
      <w:pPr>
        <w:jc w:val="center"/>
        <w:ind w:right="16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80" w:space="720"/>
            <w:col w:w="3840"/>
          </w:cols>
          <w:pgMar w:left="320" w:top="713" w:right="339" w:bottom="1440" w:gutter="0" w:footer="0" w:header="0"/>
          <w:type w:val="continuous"/>
        </w:sectPr>
      </w:pPr>
    </w:p>
    <w:p>
      <w:pPr>
        <w:spacing w:after="0" w:line="3"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13, 2026, there were 5,519,456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3200" w:type="dxa"/>
            <w:vAlign w:val="bottom"/>
            <w:tcBorders>
              <w:bottom w:val="single" w:sz="8" w:color="0000EE"/>
            </w:tcBorders>
            <w:gridSpan w:val="1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7400" w:type="dxa"/>
            <w:vAlign w:val="bottom"/>
            <w:tcBorders>
              <w:bottom w:val="single" w:sz="8" w:color="CCEEFF"/>
            </w:tcBorders>
            <w:gridSpan w:val="9"/>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53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Balance Sheets as of March 31, 2026 and December 31, 2025 (unaudited)</w:t>
            </w:r>
          </w:p>
        </w:tc>
        <w:tc>
          <w:tcPr>
            <w:tcW w:w="44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840" w:type="dxa"/>
            <w:vAlign w:val="bottom"/>
          </w:tcPr>
          <w:p>
            <w:pPr>
              <w:spacing w:after="0"/>
              <w:rPr>
                <w:sz w:val="15"/>
                <w:szCs w:val="15"/>
                <w:color w:val="auto"/>
              </w:rPr>
            </w:pPr>
          </w:p>
        </w:tc>
        <w:tc>
          <w:tcPr>
            <w:tcW w:w="97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three months ended March 31, 2026 and the three months ended March 31, 2025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97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26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Changes in Stockholders’ Equity (Deficit) for the three months ended March 31, 2026 and the three months ended</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97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March 31, 2025 (unaudited)</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7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three months ended March 31, 2026 and the three months ended March 31, 2025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840" w:type="dxa"/>
            <w:vAlign w:val="bottom"/>
            <w:tcBorders>
              <w:top w:val="single" w:sz="8" w:color="CCEEFF"/>
            </w:tcBorders>
          </w:tcPr>
          <w:p>
            <w:pPr>
              <w:spacing w:after="0"/>
              <w:rPr>
                <w:sz w:val="15"/>
                <w:szCs w:val="15"/>
                <w:color w:val="auto"/>
              </w:rPr>
            </w:pPr>
          </w:p>
        </w:tc>
        <w:tc>
          <w:tcPr>
            <w:tcW w:w="91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 (Unaudited)</w:t>
            </w:r>
          </w:p>
        </w:tc>
        <w:tc>
          <w:tcPr>
            <w:tcW w:w="6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30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40" w:type="dxa"/>
            <w:vAlign w:val="bottom"/>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4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0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9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SIGNATURE PAGE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453"/>
        </w:trPr>
        <w:tc>
          <w:tcPr>
            <w:tcW w:w="8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gridSpan w:val="2"/>
          </w:tcPr>
          <w:p>
            <w:pPr>
              <w:spacing w:after="0"/>
              <w:rPr>
                <w:sz w:val="24"/>
                <w:szCs w:val="24"/>
                <w:color w:val="auto"/>
              </w:rPr>
            </w:pPr>
          </w:p>
        </w:tc>
        <w:tc>
          <w:tcPr>
            <w:tcW w:w="4660" w:type="dxa"/>
            <w:vAlign w:val="bottom"/>
            <w:tcBorders>
              <w:bottom w:val="single" w:sz="8" w:color="auto"/>
            </w:tcBorders>
            <w:gridSpan w:val="13"/>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December 2024, Bio Green Med Solution, Inc., a Delaware corporation (“BGMS” or the “Company”) announced that it was in the process of exploring and reviewing strategic alternatives on an expedited basis in order to preserve the Company’s cash, including a potential transaction with investor, David E. Lazar of Activist Investing, LLC (“Lazar”). The Company’s Board of Directors (the “Board”) reviewed a range of appropriate strategies to realize value from its assets. The Board directed management to reduce operating costs, which included the liquidation of the Company’s wholly-owned United Kingdom subsidiary, Cyclacel Limited (“Subsidiary”), while such alternatives were being explored. On January 2, 2025, the Company entered into a securities purchase agreement with Lazar, pursuant to which he agreed to purchase from the Company, 1,000,000 shares of Series C Convertible Preferred Stock and 2,100,000 shares of Series D Convertible Preferred Stock of Cyclacel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11, 2025, investor Lazar, who was serving as the Company’s interim Chief Executive Officer and Secretary, entered into a securities purchase agreement (the “Purchase Agreement”) with an investor, Datuk Dr. Doris Wong Sing Ee (the “Purchaser”) pursuant to which the Investor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Investor succeeded to all of Lazar’s rights and interests under that certain securities purchase agreement between the Lazar and the Company dated January 2, 2025.</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were convertible into shares of the common stock, par value $0.001 per share (the “Common Stock”) of the Company at the election of the Investor as follows: (i) the 1,000,000 shares of the Series C were convertible into 11,041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Cyclacel Limited has been a wholly owned subsidiary of the Company. The Company’s ongoing clinical research programs were conducted through Cyclacel Limited and all intellectual property and rights to those programs were owned by that entity.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the financial results of Cyclacel Limited have been deconsolidated from Company as of January 31, 2025. On the date of deconsolidation, stockholders’ equity increased by approximately $5.0 million.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creditors’ voluntary liquidation of Cyclacel Limited, the Company decided to focus on the development of the plogosertib (“Plogo”) clinical program only. Accordingly, on March 10, 2025, the Company repurchased certain assets related to Plogo from Cyclacel Limited with the approval of the joint liquidator in exchange for approximately $0.3 million in cash. Fadraciclib, Cyclacel Limited’s other drug development program, is being marketed for sale by the joint liquidator. The Company has no plans at this time to repurchase any rights to or assets of the fadraciclib program.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percent,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to Nasdaq notices received September 11, 2025 and March 12, 2026 in connection with the Company’s failure to satisfy a continued listing rule in relation to its 6% Convertible Exchangeable Preferred Stock (listed on The Nasdaq Capital Market under the symbol “BGMSP”), trading of the Preferred Stock was suspended at the opening of business on March 23, 2026, and a Form 25-NSE was filed with the Securities and Exchange Commission, which removed the Company’s securities from listing and registration on The Nasdaq Stock Market.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delisting does not affect the Company’s Common Stock (listed on The Nasdaq Capital Market under the symbol “BGMS”).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share, per share, and liquidation preference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3,339</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$286,000 and $447,000 respectively)</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68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lease asset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deposits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63"/>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tcBorders>
              <w:bottom w:val="single" w:sz="8" w:color="CCEEFF"/>
            </w:tcBorders>
          </w:tcPr>
          <w:p>
            <w:pPr>
              <w:spacing w:after="0"/>
              <w:rPr>
                <w:sz w:val="22"/>
                <w:szCs w:val="22"/>
                <w:color w:val="auto"/>
              </w:rPr>
            </w:pPr>
          </w:p>
        </w:tc>
      </w:tr>
      <w:tr>
        <w:trPr>
          <w:trHeight w:val="197"/>
        </w:trPr>
        <w:tc>
          <w:tcPr>
            <w:tcW w:w="6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10"/>
        </w:trPr>
        <w:tc>
          <w:tcPr>
            <w:tcW w:w="68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at March 31, 2026 and</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6% Convertible Exchangeable preferred stock; 135,273 shares issued</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at March 31, 2026 and December 31, 2025. Aggregate preference in</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of $1,717,967 as of March 31, 2026 and December 31, 2025</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264 shares issued and outstanding</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March 31, 2026 and December 31, 2025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600,000,000 shares authorized at March 31, 2026 and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5,519,456 shares issued and outstanding at March 31, 2026 and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5,400,320 shares issued and outstanding at December 31, 2025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461,393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461,287</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(454,608)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(454,411)</w:t>
            </w:r>
          </w:p>
        </w:tc>
      </w:tr>
      <w:tr>
        <w:trPr>
          <w:trHeight w:val="210"/>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bottom w:val="single" w:sz="8" w:color="CCEEFF"/>
            </w:tcBorders>
          </w:tcPr>
          <w:p>
            <w:pPr>
              <w:spacing w:after="0"/>
              <w:rPr>
                <w:sz w:val="18"/>
                <w:szCs w:val="18"/>
                <w:color w:val="auto"/>
              </w:rPr>
            </w:pPr>
          </w:p>
        </w:tc>
      </w:tr>
      <w:tr>
        <w:trPr>
          <w:trHeight w:val="22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share and per share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 fire safety</w:t>
            </w: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778</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4,214</w:t>
            </w:r>
          </w:p>
        </w:tc>
      </w:tr>
      <w:tr>
        <w:trPr>
          <w:trHeight w:val="21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Borders>
              <w:bottom w:val="single" w:sz="8" w:color="CCEEFF"/>
            </w:tcBorders>
          </w:tcPr>
          <w:p>
            <w:pPr>
              <w:spacing w:after="0"/>
              <w:rPr>
                <w:sz w:val="18"/>
                <w:szCs w:val="18"/>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6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taxes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shd w:val="clear" w:color="auto" w:fill="CCEEFF"/>
          </w:tcPr>
          <w:p>
            <w:pPr>
              <w:spacing w:after="0"/>
              <w:rPr>
                <w:sz w:val="18"/>
                <w:szCs w:val="18"/>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losses from discontinued operations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subsidiary</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4,947</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on convertible exchangeable preferred shares</w:t>
            </w: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applicable to common shareholders</w:t>
            </w:r>
          </w:p>
        </w:tc>
        <w:tc>
          <w:tcPr>
            <w:tcW w:w="3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earnings per common share:</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continuing operations – basic and diluted (common shareholders)</w:t>
            </w: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(0.04)</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discontinued operations – basic and diluted (common shareholders)</w:t>
            </w:r>
          </w:p>
        </w:tc>
        <w:tc>
          <w:tcPr>
            <w:tcW w:w="8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5,458,564</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365,231</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 on deconsolidation of subsidiary</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 on intercompany loans</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r>
      <w:tr>
        <w:trPr>
          <w:trHeight w:val="223"/>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share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52"/>
        </w:trPr>
        <w:tc>
          <w:tcPr>
            <w:tcW w:w="2380" w:type="dxa"/>
            <w:vAlign w:val="bottom"/>
          </w:tcPr>
          <w:p>
            <w:pPr>
              <w:spacing w:after="0"/>
              <w:rPr>
                <w:sz w:val="21"/>
                <w:szCs w:val="21"/>
                <w:color w:val="auto"/>
              </w:rPr>
            </w:pPr>
          </w:p>
        </w:tc>
        <w:tc>
          <w:tcPr>
            <w:tcW w:w="15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23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9"/>
                <w:szCs w:val="1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174"/>
        </w:trPr>
        <w:tc>
          <w:tcPr>
            <w:tcW w:w="23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Balances at December 31,</w:t>
            </w: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135,537</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36,913</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438,211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(891)</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(439,494)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(2,174)</w:t>
            </w: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 costs on issuance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preferred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and associated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on underwritten</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net of expenses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Pre-Funded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15,277</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 of common stock 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Purchase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w:t>
            </w: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 of Series C preferred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in Securities Purchase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4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Preferred stock</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11,042</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 of Series D preferred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in Securities Purchase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2,100,000</w:t>
            </w:r>
          </w:p>
        </w:tc>
        <w:tc>
          <w:tcPr>
            <w:tcW w:w="4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D Preferred stock</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(1,745,262)</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799,912</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 of Series E preferred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in Securities Purchase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4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foreign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on intercompany</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Deconsolidation of wholly-</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owned foreign operation</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for the period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1,490,275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863,902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443,521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(440,461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2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Balances at December 31,</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135,537</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5,400,320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461,287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(39)</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(454,411)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6,842</w:t>
            </w:r>
          </w:p>
        </w:tc>
      </w:tr>
      <w:tr>
        <w:trPr>
          <w:trHeight w:val="198"/>
        </w:trPr>
        <w:tc>
          <w:tcPr>
            <w:tcW w:w="2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 of common stock 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exchange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119,136</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for the period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135,537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5,519,456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461,393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(454,608</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(197)</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lease liability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and other current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net of issuance costs, from issuing common stock and pre-funded warrants, net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3,894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Costs from issuing common stock and pre-funded warrants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preferred stock dividend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financing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during the period for:</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48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ind w:left="340" w:right="9320" w:hanging="332"/>
        <w:spacing w:after="0" w:line="532" w:lineRule="auto"/>
        <w:tabs>
          <w:tab w:leader="none" w:pos="19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Company Overview </w:t>
      </w:r>
      <w:r>
        <w:rPr>
          <w:rFonts w:ascii="Times New Roman" w:cs="Times New Roman" w:eastAsia="Times New Roman" w:hAnsi="Times New Roman"/>
          <w:sz w:val="17"/>
          <w:szCs w:val="17"/>
          <w:b w:val="1"/>
          <w:bCs w:val="1"/>
          <w:i w:val="1"/>
          <w:iCs w:val="1"/>
          <w:color w:val="auto"/>
        </w:rPr>
        <w:t>Nature of Operations</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Bio Green Med Solution, Inc. (the “Company” (formerly Cyclacel Pharmaceuticals, Inc.) 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company specializing in fire protection products and services. Headquartered in Malaysia, the Company is now focused on advancing opportunities across these distinct sectors whilst maintaining its commitment to driving long-term value creation for shareholders. Since that time, substantially all efforts of the Company have been focused on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24, 2025, the Company’s previous wholly owned United Kingdom subsidiary, Cyclacel Limited, entered into a creditors voluntary liquidation. Upon the commencement of the liquidation of Cyclacel Limited, the Company lost operational and strategic control over Cyclacel Limited and the financial results of Cyclacel Limited have been deconsolidated from the Company as of January 24, 2025. The deconsolidation of the subsidiary resulted in a gain on deconsolidation of approximately $5.0 million shown as a component of gain from discontinued operations within the income statement for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consolidated balance sheet as of March 31, 2026, the consolidated statements of operations, comprehensive loss, and stockholders’ equity for the three months ended March 31, 2026, and 2025 and the consolidated statements of cash flows for three months ended March 31, 2026, and 2025, and all related disclosures contained in the accompanying notes, are unaudited. The consolidated balance sheet as of December 31, 2025 is derived from the audited consolidated financial statements included in the Annual Report on Form 10-K for the fiscal year ended December 31, 2025 filed with the Securities and Exchange Commission (the “SEC”) on March 30, 2026. The consolidated financial statements are presented on the basis of accounting principles that are generally accepted in the United States (“GAAP”) for interim financial information and in accordance with the rules and regulations of the SEC. Accordingly, they do not include all the information and footnotes required by accounting principles generally accepted in the United States for a complete set of financial statements.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only normal recurring adjustments necessary to present fairly the consolidated balance sheet as of March 31, 2026, and the results of operations, comprehensive loss, and changes in stockholders’ equity for the three months ended March 31, 2026, and cash flows for the three months ended March 31, 2026, have been made. The interim results for three months ended March 31, 2026 are not necessarily indicative of the results to be expected for the year ending December 31, 2025 or for any other reporting period. The consolidated financial statements should be read in conjunction with the audited consolidated financial statements and the accompanying notes for the year ended December 31, 2025 that are included in the Company’s Annual Report on Form 10-K filed with the SEC on March 30, 2026.</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operations, comprehensive loss, and stockholders’ equity for the three months ended March 31, 2026 include Fitters Sdn. Bhd.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12, 2025, the Company completed a one-for-sixteen reverse stock split, which reduced the number of shares of the Company’s common stock that were issued and outstanding immediately prior to the effectiveness of the reverse stock split. On July 7, 2025, the Company completed a one-for-fifteen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splits and the par value of the Company’s common stock remained unchanged at $0.001 per share. In addition, the number of shares or other equity instruments issuable under the Company’s equity incentive plans were not adjusted in connection with the May or July 2025 reverse stock splits. No fractional shares were issued in connection with the reverse stock splits. Stockholders who otherwise held fractional shares of the Company’s common stock as a result of the reverse stock split received a cash payment in lieu of such fractional shares. All amounts related to number of shares and per share amounts have been retroactively restated in these consolidated financial statements.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requirements of Accounting Standard Codification (ASC) 205-40,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current operating plan, it is anticipated that cash and cash equivalents of $3.3 million as of March 31, 2026, will allow it to meet its liquidity requirements into the fourth quarter of 2026. The Company’s history of losses, negative cash flows from operations, liquidity resources currently on hand, and its dependence on the ability to obtain additional financing to fund its operations after the current resources are exhausted,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equity financing or by entering into a strategic transaction, there is no guarantee that it will be successful in these mitigation efforts. In the event that we are not able to secure funding, we may be forced to curtail operations, delay or stop ongoing development activities, cease operations altogether, and/or file for bankruptcy.</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realization of assets and the satisfaction of liabilities in the normal course of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January 1, 2025, the Company adopted Accounting Standards Update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standard requires all entities to include specified captions when reconciling the statutory income tax rate to the effective tax rate, on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and absolute dollar basis, in the annual financial statements. ASU 2023-09 also requires entities to disclose the amount of income taxes paid (net of refunds received) disaggregated by federal (national), state, and foreign for each annual reporting period, with separate disclosure of individual jurisdictions for which tax payments to, or receipts from, exceed a defined threshold. The Company does not anticipate the adoption of ASU 2023-09 will require significant adjustments to the presentation of that information in the Company’s annual financial statements.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FASB has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standard will require all public entities to disclose additional information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20243-03 on its financial statement presentation and disclosures.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consist of cash equivalents, accounts payable and accrued liabilities. The carrying amounts of cash equivalents, accounts payable and accrued liabilities approximate their respective fair values due to the nature of the accounts and their short maturities.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managed and operated as 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was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or by location through March 31, 2026. Accordingly, the Company views its current business as one reportable operating segment with operations in one geographic area, namely Malaysia.</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net of any related tax effect, to arrive at comprehensive income (loss). No taxes were recorded on items of other comprehensive income (loss). There were no reclassifications out of other comprehensive income (loss) during the three months ended March 31, 2026, and 2025 except that upon deconsolidation of the Company’s formerly wholly-owned United Kingdom based subsidiary on January 24, 2025, $0.9 million of accumulated comprehensive income (loss) was reclassified into earnings as part of the gain on deconsolidation, which is presented as a component of discontinued operations in the consolidated statements of operations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Currency Translation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Through January 24, 2025, the assets and liabilities of the Company’s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acquisition of Fitters Sdn. Bhd, the assets and liabilities this subsidiary have been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were recorded in other comprehensive loss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lease contracts in accordance with ASC 842. As of March 31, 2026, the Company’s outstanding leases are classified as operating leases.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the loan is repaid (e.g., amortizing versus bullet), and the Company’s credit risk.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lessee-controlled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payments due in any optional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for failure to exercise (or not exercise) the option;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factors, such as the availability of similar assets and current rental rates for such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underlying leased asset and its importance to the Company’s operations;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useful lives of any related leasehold improvements.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elected an accounting policy to account for the lease and non-lease components as a single lease component.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losses for the three months ended March 31, 2025 from discontinued operations related wholly to research and development expenditures during the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operating cash flows for the three months ended March 31, 2025 from discontinued operations amounted to $4.1 million.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derives revenue primarily from the sale of various protective and fire safety equipment.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Goods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 is generated from the sale of tangible products,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safety equipment and extinguishers;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Foam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resistant doors;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Protective Equipment (PPE) and Fire Safety Apparel.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products are sold directly to customers (e.g., municipalities, fire contractors, distributors and individuals).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by product category, which the Company believes best depicts how the nature, amount, timing, and uncertainty of revenue and cash flows are affected by economic factors.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total revenue by product for the three months ended March 31, 2026 and 2025 (in thousands):</w:t>
      </w:r>
    </w:p>
    <w:p>
      <w:pPr>
        <w:spacing w:after="0" w:line="27"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Product revenue in $000’s for the three</w:t>
      </w:r>
    </w:p>
    <w:p>
      <w:pPr>
        <w:spacing w:after="0" w:line="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Fire safety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Safety apparel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&amp; Servicing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Project - supply &amp; installation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contracts with customers generally include a single performance obligation, which is the promise to transfer the purchased products to the customer.</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satisfies its performance obligations at a point in time when control of the products transfers to the customer. Control typically transfers upon delivery, depending on the contractual delivery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and Variable Consideration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generally the stated contract price for the products sold. The Company’s contracts may include variable consideration in the form of discounts, price concessions, or other incentives.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assets and contract liabilities are not material to the business. Accounts receivable, before allowance for doubtful debt was $1,474,000 and $1,257,000, as of March 31, 2026 and December 31,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Significant Payment Terms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Returns and Refunds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allow customers to return products if they are deemed faulty or otherwise not fit for purpose. Expected returns are estimated and recorded as a reduction of revenue, with a corresponding refund liability and right-of-return asset.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level of returns is of an immaterial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Policy Elections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applies practical expedient to expense incremental costs of obtaining a contract, such as commissions, when the amortization period would have been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performance obligations are generally satisfied within one year. As a result, the Company has elected the practical expedient not to disclose the value of remaining performance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$743,000 of revenue for the three months ended March 31, 2026 and $0 of revenue for the three months ended March 31, 2025, respectively. Revenue relates to product revenues from sales of fire safety equipment and services within the newly acquired Malaysian based subsidiary, Fitters Sdn. Bhd.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Common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calculates net loss per common share in accordance with ASC 260 “Earnings Per Share” (“ASC 260”). Basic and diluted net loss per common share was determined by dividing net loss applicable to common stockholders by the weighted average number of shares of common stock outstanding during the period.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not been included in the computation of diluted net loss per share for the three months ended March 31, 2026 and March 31, 2025, as the result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4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380" w:type="dxa"/>
            <w:vAlign w:val="bottom"/>
            <w:gridSpan w:val="2"/>
          </w:tcPr>
          <w:p>
            <w:pPr>
              <w:ind w:left="77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162,588</w:t>
            </w: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 preferred stock</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458,333</w:t>
            </w:r>
          </w:p>
        </w:tc>
      </w:tr>
      <w:tr>
        <w:trPr>
          <w:trHeight w:val="23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3,178</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101,906</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excluded from calculation</w:t>
            </w: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684" w:right="339" w:bottom="906"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Inventory consisted of the following (in $000s):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in progress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191"/>
        </w:trPr>
        <w:tc>
          <w:tcPr>
            <w:tcW w:w="28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238</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6"/>
                <w:szCs w:val="16"/>
                <w:color w:val="auto"/>
              </w:rPr>
            </w:pPr>
          </w:p>
        </w:tc>
      </w:tr>
      <w:tr>
        <w:trPr>
          <w:trHeight w:val="230"/>
        </w:trPr>
        <w:tc>
          <w:tcPr>
            <w:tcW w:w="28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28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-607695</wp:posOffset>
            </wp:positionV>
            <wp:extent cx="641223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-325120</wp:posOffset>
            </wp:positionV>
            <wp:extent cx="64122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560" w:space="720"/>
            <w:col w:w="4960"/>
          </w:cols>
          <w:pgMar w:left="320" w:top="684" w:right="339" w:bottom="906"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Inventory is recorded at the lower of cost or net realizable value, where cost is measured on a first-in, first-out basis.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Accounts receivables</w:t>
            </w: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receivables consisted of the following (in $000s):</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6280" w:type="dxa"/>
            <w:vAlign w:val="bottom"/>
          </w:tcPr>
          <w:p>
            <w:pPr>
              <w:spacing w:after="0"/>
              <w:rPr>
                <w:sz w:val="24"/>
                <w:szCs w:val="24"/>
                <w:color w:val="auto"/>
              </w:rPr>
            </w:pPr>
          </w:p>
        </w:tc>
        <w:tc>
          <w:tcPr>
            <w:tcW w:w="1280" w:type="dxa"/>
            <w:vAlign w:val="bottom"/>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receivables, gross</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shd w:val="clear" w:color="auto" w:fill="CCEEFF"/>
          </w:tcPr>
          <w:p>
            <w:pPr>
              <w:spacing w:after="0"/>
              <w:rPr>
                <w:sz w:val="18"/>
                <w:szCs w:val="18"/>
                <w:color w:val="auto"/>
              </w:rPr>
            </w:pPr>
          </w:p>
        </w:tc>
      </w:tr>
      <w:tr>
        <w:trPr>
          <w:trHeight w:val="28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debt</w:t>
            </w:r>
          </w:p>
        </w:tc>
        <w:tc>
          <w:tcPr>
            <w:tcW w:w="12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r>
      <w:tr>
        <w:trPr>
          <w:trHeight w:val="197"/>
        </w:trPr>
        <w:tc>
          <w:tcPr>
            <w:tcW w:w="62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accounts receivable, net</w:t>
            </w:r>
          </w:p>
        </w:tc>
        <w:tc>
          <w:tcPr>
            <w:tcW w:w="1280" w:type="dxa"/>
            <w:vAlign w:val="bottom"/>
            <w:tcBorders>
              <w:top w:val="single" w:sz="8" w:color="auto"/>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Allowance for doubtful debt, which stood at $286,000 as at March 31, 2026 and $447,000 as at December 31, 2025 is determined based on expected credit losses. Losses are provided at the rate of 10% against balances greater than 120-149 days, 25% against balances greater than 150-179 days, 35% against balances greater than 180-364 days, and 50% against balances greater than 365 days.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Movement in provision for doubtful debt</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debt as December 31, 2025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 in provision during the three months ended March 31, 2026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r>
      <w:tr>
        <w:trPr>
          <w:trHeight w:val="23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doubtful debt as March 31, 2026</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$000s):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1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340" w:type="dxa"/>
            <w:vAlign w:val="bottom"/>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0" w:type="dxa"/>
            <w:vAlign w:val="bottom"/>
          </w:tcPr>
          <w:p>
            <w:pPr>
              <w:spacing w:after="0"/>
              <w:rPr>
                <w:sz w:val="20"/>
                <w:szCs w:val="20"/>
                <w:color w:val="auto"/>
              </w:rPr>
            </w:pPr>
          </w:p>
        </w:tc>
        <w:tc>
          <w:tcPr>
            <w:tcW w:w="746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6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1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$0.2 million non-current assets as of March 31, 2026 and December 31, 2025. The balance relates to a 1.7 million Malaysian Ringgit (approximately $0.4M) loan to an unrelated customer. The loan is interest bearing at a rate of 8% per annum, and is recorded as a component of interest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and Other Liabilities</w:t>
            </w: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$000s):</w:t>
            </w:r>
          </w:p>
        </w:tc>
        <w:tc>
          <w:tcPr>
            <w:tcW w:w="134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134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the acquisition of Fitters Sub on September 12, 2025, the Company utilizes three facilities in Malaysia, all on short term lease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terminated its lease agreement for its previous headquarters in Berkely Heights, New Jersey, effective January 31, 2025.</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operating lease expenses of $13,911 and $1,176 respectively. Cash payments made during the three months ended March 31, 2026, and 2025 totaled $13,911 and $0, respectively, and were presented within cash outflows from operating activities. The remaining lease term of the Company’s longest lease as of March 31, 2026, is approximately 0.9 years. The discount rate used by the Company in determining the lease liability was 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Remaining lease payments for the facilities are as follows (in $000s):</w:t>
            </w: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obligation</w:t>
            </w:r>
          </w:p>
        </w:tc>
        <w:tc>
          <w:tcPr>
            <w:tcW w:w="7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Based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ASC 718 requires compensation expense associated with share-based awards to be recognized over the requisite service period which, for the Company, is the period between the grant date and the date the award vests or becomes exercisable. The Company recognizes all share-based awards under the straight-line attribution method, assuming that all granted awards will vest. Forfeitures are recognized in the periods when they occur.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Stock based compensation has been reported within expense line items on the consolidated statement of operations for the three months ended March 31, 2026 and 2025 as shown in the following table (in $000s):</w:t>
      </w: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or restricted stock units granted during the three months ended March 31, 2026. During the three months ended March 31, 2025, a total of 24,818 stock options and 0 restricted stock units were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Preferred Stock Equity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E Preferred Stock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total of 1,000,000 shares of the Company’s Series E Preferred Stock were issued pursuant to a March 2025 Securities Purchase Agreement with certain accredited investors (the “Investors”). The Company received proceeds of $1.0 million, net of issuance costs. All of the Series E preferred shares were converted into 458,333 shares of Common Stock and as of March 31, 2026, there were no remaining shares of the Series E Preferred Stock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and Series D Preferred Stock</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total of 1,000,000 shares of the Company’s Series C Preferred Stock and 2,100,000 shares of the Company’s Series D Preferred Stock were issued pursuant to a January 2025 Securities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January 2025 Securities Purchase Agreement. The proceeds of the transaction were used to repay and settle outstanding liabilities of the Company and for other general corporate and operating purposes.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share of Series C Preferred Stock was convertible into 0.011042 shares of the Company’s common stock, par value $0.001 per share (“Common Stock”), and each share of Series D Preferred Stock was convertible into 0.4583 shares of Common Stock. On February 24, 2025, all of the Series C preferred shares were converted in conjunction with the March 2025 Securities Purchase Agreement. As of March 31, 2026, there were no remaining shares of the Series C Preferred Stock outstanding.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Series D preferred shares were converted in conjunction with the Purchase Agreement and as of March 31, 2026, there were no remaining shares of the Series D Preferred Stock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warrants to purchase a total of 1,242 shares of common stock issued pursuant to a securities purchase agreement in an April 2024 financing transaction (the “April 2024 Securities Purchase Agreement”) remained outstanding. A total of 62,750 warrants were issued pursuant to the April 2024 Securities Purchase Agreement. This consisted of i) pre-funded warrants to purchase 20,100 of common stock, exercisable immediately from the date of issuance, and with no expiry date, at an exercise price of $0.24 per warrant share, ii) series A warrants to purchase up to 20,704 shares of common stock, exercisable immediately from the date of issuance for a period of five and a half (5.5) years after the date of issuance, at an exercise price of $326.40 per warrant share, iii) series B warrants to purchase up to 20,704 shares of common stock, exercisable immediately from the date of issuance for a period of eighteen months after the date of issuance, at an exercise price of $326.40 per warrant share. The 1,242 Placement Agent Warrants issued pursuant to the Engagement Letter with the placement agent, are exercisable immediately from the date of issuance for a period of five and a half (5.5) years after the date of issuance, at an exercise price of $124.512 per warrant share.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of these warrants during the three months ended March 31, 2026 or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Warrants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warrants to purchase a total of 1,750 shares of common stock issued pursuant to a securities purchase agreement in a December 2023 financing transaction remained outstanding. A total of 1,651 warrants, including 33 warrants issued in a concurrent private placement, are exercisable for a period of seven years after the date of issuance, at an exercise price of $765.60 per warrant share. A further 99 warrants issued in a concurrent placement agency agreement, are exercisable for a period of five years after the date of issuance, at an exercise price of $994.50 per warrant share.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of these warrants during the three months ended March 31, 2026 or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Outstanding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total of 8,872 shares of the Company’s Series A Preferred Stock were issued in a July 2017 Underwritten Public Offering. Each share of Series A Preferred Stock is convertible at any time at the option of the holder thereof, into a number of shares of common stock determined by dividing $1,000 by the initial conversion price of $144,000.00 per share, subject to a 4.99% blocker provision, or, upon election by a holder prior to the issuance of shares of Series A Preferred Stock, 9.99%, and is subject to adjustment for stock splits, stock dividends, distributions, subdivisions and combinations.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264 shares of the Series A Preferred Stock remain issued and outstanding. The 264 shares of Series A Preferred Stock issued and outstanding at March 31, 2026, are convertible into 2 shares of common stock.</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 arrearage in the payment of dividends on such shares, and there are no sinking fund provisions applicable to Series A Preferred Stock.</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Convertible Exchangeable Preferred Stock</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there were 135,273 shares of the Company’s 6% Convertible Exchangeable Preferred Stock (the “6% Preferred Stock”) issued and outstanding at an issue price of $10.00 per share. Dividends on the 6% Preferred Stock are cumulative from the date of original issuance at the annual rate of 6% of the liquidation preference of the 6% Preferred Stock, payable quarterly on the first day of February, May, August and November, commencing February 1, 2005. Any dividends must be declared by the Company’s board of directors and must come from funds that are legally available for dividend payments. The 6% Preferred Stock has a liquidation preference of $10.00 per share, plus accrued and unpaid dividends. As of March 31, 2026, there were no accrued and unpaid dividends.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automatically convert the 6% Preferred Stock into common stock if the per share closing price of the Company’s common stock has exceeded a per share price of $213,192,000, which is 150% of the conversion price of the 6% Preferred Stock, for at least 20 trading days during any 30 day trading period, ending within five trading days prior to notice of automatic conversion.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6% Preferred Stock has no maturity date and no voting rights prior to conversion into common stock, except under limited circumstances.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at its option, redeem the 6% Preferred Stock in whole or in part, out of funds legally available at the redemption price of $10.00 per share.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6% Preferred Stock is exchangeable, in whole but not in part, at the option of the Company on any dividend payment date beginning on November 1, 2005 (the “Exchange Date”) for the Company’s 6% Convertible Subordinated Debentures (the “Debentures”) at the rate of $10.00 principal amount of Debentures for each share of 6% Preferred Stock. The Debentures, if issued, will mature 25 years after the Exchange Date and have substantially similar terms to those of the 6% Preferred Stock. No such exchanges have taken place to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on 6% Preferred Stock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13, 2026, the board of directors of the Company declared a quarterly cash dividend of $0.15 per share on the Company’s 6% Convertible Exchangeable Preferred Stock scheduled for May 1, 2026. The cash dividend was paid on May 1, 2026, to Preferred Stock stockholders of record as of the close of business on April 23, 2026. The Board of Directors will continue to evaluate the payment of a quarterly cash dividend on a quarterly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without limitation, Management’s Discussion and Analysis of Financial Condition and Results of Operations, contains “forward-looking statements” within the meaning of Section 27A of the Securities Exchange Act of 1933 as amended and Section 21E of the Securities Exchange Act of 1934, as amended (the “Exchange Act”). We intend that the forward-looking statements be covered by the safe harbor for forward-looking statements in the Exchange Act. The forward-looking information is based on various factors and was derived using numerous assumptions. All statements, other than statements of historical fact, that address activities, events or developments that we intend, expect, project, believe or anticipate will or may occur in the future are forward-looking statements. Such statements are based upon certain assumptions and assessments made by our management in light of their experience and their perception of historical trends, current conditions, expected future developments and other factors they believe to be appropriate. These forward-looking statements are usually accompanied by words such as “believe,” “anticipate,” “plan,” “seek,” “expect,” “intend” and similar expressions.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necessarily involve risks and uncertainties, and our actual results could differ materially from those anticipated in the forward looking statements due to a number of factors, including those set forth in Part I, Item 1A, entitled “Risk Factors,” of our Annual Report on Form 10-K for the year ended December 31, 2025, as updated and supplemented by Part II, Item 1A, entitled “Risk Factors,” of our Quarterly Reports on Form 10-Q, and elsewhere in this report. These factors as well as other cautionary statements made in this Quarterly Report on Form 10-Q, should be read and understood as being applicable to all related forward-looking statements wherever they appear herein. The forward-looking statements contained in this Quarterly Report on Form 10-Q represent our judgment as of the date hereof. We encourage you to read those descriptions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 and actual results will likely differ, perhaps materially, from those suggested by such forward-looking statements. In this report, “BGMS,” the “Company,” “we,” “us,” and “our” refer to Bio Green Med Solution, Inc.</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diversified company that was formerly engaged in the biopharmaceutical industry but as of September 2025 has shifted our operations to focus on provision of fire safety protection and distribution activities. Specifically, on September 12, 2025, we completed our acquisition of Fitters Sdn. Bhd., a Malaysia-based group specializing in fire protection products and services. Headquartered in Malaysia, we are now focused on advancing opportunities across these distinct sectors whilst maintaining our commitment to driving long-term value creation for our shareholders. From the time of acquisition, substantially all of our efforts of the Company have been focused on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24, 2025, our former wholly owned United Kingdom subsidiary, Cyclacel Limited, entered into a creditors voluntary liquidation. Upon the commencement of the liquidation of Cyclacel Limited, we lost operational and strategic control over Cyclacel Limited and the financial results of Cyclacel Limited have been deconsolidated from the Company as of January 24, 2025. The deconsolidation of the subsidiary resulted in a gain on deconsolidation of approximately $5.0 million shown as a component of discontinued operations within the income statement for the period.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Through March 31, 2026,</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we used net cash of $0.3 million to fund our operating activities. We have cash and cash equivalents of $3.3 million as of March 31, 2026, which will allow us to meet our liquidity requirements into the fourth quarter of 2026. However, there remains substantial doubt about our ability to continue as a going concern.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substantial doubt that we can continue as an on-going business for the next twelve months. Although we expect our recently acquired subsidiary, Fitters Sdn. Bhd., to be profitable, it is yet to be determined if any future profits from this division can sustain the entire group. Accordingly, we must raise cash from sources other than operations. Our only other source for cash at this time is investments by others in our company. We must raise cash to implement our business plan.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current economic environment, characterized by a global growth slowdown with risks tilted to the downside, and our lack of funding to implement our business plan, our Board of Directors has begun to analyze strategic alternatives available to the Company to continue as a going concern. Such alternatives include raising additional debt or equity financing or consummating a merger or acquisition with a partner that may involve a change in our business plan.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our Board of Directors’ preference would be to obtain additional funding to implement our business plan, the Board believes that it must consider all viable strategic alternatives that are in the best interests of our shareholders. Such strategic alternatives include a merger, acquisition, share exchange, asset purchase, or similar transaction. We believe we would be an attractive candidate for such a business combination due to the perceived benefits of being a publicly listed company, thereby providing a transaction partner access to the public marketplace to raise capital.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as of the three months ended March 31, 2026 and March 31, 2025 (in $000s):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8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5,622</w:t>
            </w:r>
          </w:p>
        </w:tc>
        <w:tc>
          <w:tcPr>
            <w:tcW w:w="5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3,714</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working capital</w:t>
            </w:r>
          </w:p>
        </w:tc>
        <w:tc>
          <w:tcPr>
            <w:tcW w:w="1180" w:type="dxa"/>
            <w:vAlign w:val="bottom"/>
            <w:tcBorders>
              <w:top w:val="single" w:sz="8" w:color="auto"/>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and licensing revenue. We have incurred significant losses since our inception. As of March 31, 2026, we had an accumulated deficit of $454.6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from operating, investing and financing activities for the three months ended March 31, 2026 and March 31, 2025 is summarized as follows (in $000s):</w:t>
      </w:r>
    </w:p>
    <w:p>
      <w:pPr>
        <w:spacing w:after="0" w:line="17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19685</wp:posOffset>
            </wp:positionV>
            <wp:extent cx="2631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760"/>
        <w:spacing w:after="0"/>
        <w:tabs>
          <w:tab w:leader="none" w:pos="998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2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52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7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(278)</w:t>
            </w:r>
          </w:p>
        </w:tc>
        <w:tc>
          <w:tcPr>
            <w:tcW w:w="900" w:type="dxa"/>
            <w:vAlign w:val="bottom"/>
            <w:gridSpan w:val="2"/>
            <w:shd w:val="clear" w:color="auto" w:fill="CCEEFF"/>
          </w:tcPr>
          <w:p>
            <w:pPr>
              <w:jc w:val="right"/>
              <w:ind w:right="6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(3,247)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provided by financing activities</w:t>
            </w:r>
          </w:p>
        </w:tc>
        <w:tc>
          <w:tcPr>
            <w:tcW w:w="1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w:t>
            </w: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by $2.9 million, from $3.2 million for the three months ended March 31, 2025 to $0.3 million for the three months ended March 31, 2026. The decrease in cash used by operating activities was primarily due to changes in working capital of $4.7 million following the acquisition of Fitters Sdn. Bhd. in September 2025 and offset by lower year-over-year stock compensation expense of $1.6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was $1,000 and 0 for each of the three months ended March 31, 2026 and March 31, 2025. Capital expenditure for the three months ended March 31, 2026 was related to computer equipment.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by financing activities was $0.1 million for the three months ended March 31, 2026 as a direct result of the adjustment to issuance costs of $125,000 under a warrant exchange agreement, as amended and offset by a dividend payment of approximately $20,000 to the holders of our 6% Preferred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$3.6 million for the three months ended March 31, 2025 as a direct result of receiving approximately $3.6 million, net of expenses, from the issuance of preferred stock under a Securities Purchase Agreement following a change of control of the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currently have sufficient funds to sustain our operations to one year after the date that the financial statements are issued. Current business and capital market risks could have a detrimental effect on the availability of sources of funding and our ability to access them in the future.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2 of the Notes to the Consolidated Financial Statements accompanying this Quarterly Report on Form 10-Q, under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Quarterly Report on Form 10-Q.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 In such event, our stockholders may lose their entire investment in our company.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recognized $0.7 million of revenue for the three months ended March 31, 2026 and $0 of revenue for the three months ended March 31, 2025, respectively. Revenue recognized in the current periods relate to product revenues from sales of fire safety equipment and services within our wholly-owned Malaysian-based subsidiary, Fitters Sdn. Bhd. which was acquired in September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80" w:type="dxa"/>
            <w:vAlign w:val="bottom"/>
          </w:tcPr>
          <w:p>
            <w:pPr>
              <w:spacing w:after="0"/>
              <w:rPr>
                <w:sz w:val="19"/>
                <w:szCs w:val="19"/>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 fire safety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778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778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778</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778</w:t>
            </w:r>
          </w:p>
        </w:tc>
        <w:tc>
          <w:tcPr>
            <w:tcW w:w="400" w:type="dxa"/>
            <w:vAlign w:val="bottom"/>
          </w:tcPr>
          <w:p>
            <w:pPr>
              <w:spacing w:after="0"/>
              <w:rPr>
                <w:sz w:val="21"/>
                <w:szCs w:val="21"/>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3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21" w:name="page22"/>
    <w:bookmarkEnd w:id="21"/>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We expect our revenues in fire safety in general to grow modestly in the near term, but expect more elevated growth in revenues for fire safety equipment in future years, to service the rapid expansion of data centers in Southern Malaysia.</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$0.6 million cost of sales for the three months ended March 31, 2026 and $0 for the three months ended March 31, 2025. This cost of sales is related to product revenue generated by Fitters Sdn. Bhd.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635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635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cost of sales represented 61% and 0% of our operating expenses for the three months ended March 31, 2026 and 2025, respectively. Our gross margins for the three months ended March 31, 2026 approximate to 18% of gross revenues. We do not expect the product mix or margins to change significantly in the near term. We are, however, susceptible to potential increased costs brought about by geo-political events such as adverse movements in world oil prices.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months ended March 31, 2026 and 2025 (in $000s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389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represented 39% and 100% of our operating expenses for the three months ended March 31, 2026 and 2025, respectively.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approximately $3.8 million from $4.2 million for the three months ended March 31, 2025 to $0.4 million for the three months ended March 31, 2026, due to several one-time costs associated with the two changes of control of the Company; primarily stock compensation expense of $1.6 million, D&amp;O insurance costs of $0.9 million, compensation expense of $0.9 million, legal and professional costs of $0.4 million.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future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general and administrative expenditures for the year ended December 31, 2026 to be significantly lower than our expenditures for the year ended December 31, 2025, due to the various non-recurring one-time costs associated with the two changes of control of the Company during the prior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other (expense) income, net for the three months ended March 31, 2026 and 2025 (in $000 except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gridSpan w:val="2"/>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r>
      <w:tr>
        <w:trPr>
          <w:trHeight w:val="22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other income increased by $71,000 from $8,000 for the three months ended March 31, 2025 to $79,000 for the three months ended March 31, 2026.</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gains (losses)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Foreign exchange gains increased by $46,000, from a loss of $8,000 for the three months ended March 31, 2025, to a gain of $38,000 for the three months ended March 31, 2026.</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future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net for the year ended December 31, 2026, will continue to be impacted by changes in the receipt of income under a December 2005 Asset Purchase Agreement, or APA, whereby Xcyte Therapies, Inc., or Xcyte (a business acquired by us in March 2006) sold certain assets and intellectual property to ThermoFisher Scientific Company, or TSC (formerly Invitrogen Corporation) through the APA and other related agreements. As we are not in control of sales made by TSC, we are unable to estimate the level and timing of income under the APA, if 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Charge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 for income taxes is estimated and recorded as part of the consolidated statements of operations. Due to our history of losses, we set 100% allowances for all deferred income tax. Accordingly, we reported approximately $30,000 income tax provision for the three months ended March 31, 2026, and no reported income tax benefits or provisions during the three months ended March 31, 2026 or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total income tax provision for the three months ended March 31, 2026 and 2025 (in $000s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40" w:type="dxa"/>
            <w:vAlign w:val="bottom"/>
            <w:gridSpan w:val="3"/>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1"/>
              </w:rPr>
              <w:t>(30</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1"/>
              </w:rPr>
              <w:t>(30</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1"/>
              </w:rPr>
              <w:t>(30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1"/>
              </w:rPr>
              <w:t>(30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liquidation of our former subsidiary Cyclacel Limited in January 2025 and the subsequent sale of our remaining research and development asset Plogosertib in October 2025, we no longer undertake any research and development related operations.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our research and development expenditures, now discontinued operations, for the three months ended March 31, 2026 and March 31, 2025 (in $000s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Transcriptional Regulation (fadraciclib)</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Anti-mitotic (plogosertib)</w:t>
            </w:r>
          </w:p>
        </w:tc>
        <w:tc>
          <w:tcPr>
            <w:tcW w:w="260" w:type="dxa"/>
            <w:vAlign w:val="bottom"/>
          </w:tcPr>
          <w:p>
            <w:pPr>
              <w:spacing w:after="0"/>
              <w:rPr>
                <w:sz w:val="18"/>
                <w:szCs w:val="18"/>
                <w:color w:val="auto"/>
              </w:rPr>
            </w:pP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(360)</w:t>
            </w:r>
          </w:p>
        </w:tc>
        <w:tc>
          <w:tcPr>
            <w:tcW w:w="400" w:type="dxa"/>
            <w:vAlign w:val="bottom"/>
          </w:tcPr>
          <w:p>
            <w:pPr>
              <w:spacing w:after="0"/>
              <w:rPr>
                <w:sz w:val="18"/>
                <w:szCs w:val="18"/>
                <w:color w:val="auto"/>
              </w:rPr>
            </w:pPr>
          </w:p>
        </w:tc>
        <w:tc>
          <w:tcPr>
            <w:tcW w:w="9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discontinued operations</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net other income from discontinued operations, for the three months ended March 31, 2026 and March 31, 2025 (in $000s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subsidiary</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34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other income, net from discontinued</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4,947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(4,947)</w:t>
            </w:r>
          </w:p>
        </w:tc>
        <w:tc>
          <w:tcPr>
            <w:tcW w:w="30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liquidation of our formerly wholly owned subsidiary and the subsequent deconsolidation thereof in January 2025 resulted in a $4.9 million gain on deconsolidation during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ectPr>
          <w:pgSz w:w="11900" w:h="16838" w:orient="portrait"/>
          <w:cols w:equalWidth="0" w:num="1">
            <w:col w:w="11240"/>
          </w:cols>
          <w:pgMar w:left="320" w:top="684" w:right="339" w:bottom="0" w:gutter="0" w:footer="0" w:header="0"/>
        </w:sectPr>
      </w:pPr>
    </w:p>
    <w:bookmarkStart w:id="23" w:name="page24"/>
    <w:bookmarkEnd w:id="2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those policies which require the most significant judgments and estimates in the preparation of our consolidated financial statements. We evaluate our estimates, judgments, and assumptions on an ongoing basis. Actual results may differ from these estimates under different assumptions or conditions. A summary of our critical accounting policies is presented in Part II, Item 7, of our Annual Report on Form 10-K for the year ended December 31, 2025 and Note 2 to our unaudited consolidated financial statements included elsewhere in this Quarterly Report on Form 10-Q. There have been no material changes to our critical accounting policies during the three months ended March 31,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in response to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principal financial and accounting officer, we conducted an evaluation of the effectiveness, as of March 31, 2026, of our disclosure controls and procedures, as defined in Rules 13a-15(e) and 15d-15(e) under the Securities Exchange Act of 1934, as amended, or the Exchange Act. Based upon such evaluation, our chief executive officer and principal financial and accounting officer have concluded that, as of March 31, 2026, our disclosure controls and procedures were effective to provide reasonable assurance that the information we are required to disclose in our filings with the Securities and Exchange Commission, or SEC, under the Exchange Act (i) is recorded, processed, summarized and reported within the time periods specified in the SEC’s rules and forms, and (ii) accumulated and communicated to our management, including our chief executive officer and principal financial and accounting officer, as appropriate to allow timely decisions regarding required disclosure.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acquisition of Fitters Sdn. Bhd. on September 12, 2025, there have been some changes in internal control over financial reporting. However, these changes have not materially affected our internal controls over financial reporting for the quarter ended March 31, 2026. As we progress with our integration of Fitters, we will continue to evaluate our internal controls processes to ascertain if any changes have materially affected, or are reasonably likely to materially affect, our internal controls over financial reporting.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ensure that such improvements will be sufficient to provide us with effective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contained in our Annual Report on Form 10-K for the year ended December 31, 2025. For a further discussion of our Risk Factors, refer to Part I, Item 1A, “Risk Factors,” of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 13a-14(a) As Adopted Pursuant to Section 302 of the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 13a-14(a) As Adopted Pursuant to Section 302 of the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4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906 of the Sarbanes-Oxley Act of 2002.</w:t>
            </w:r>
          </w:p>
        </w:tc>
        <w:tc>
          <w:tcPr>
            <w:tcW w:w="26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906 of the Sarbanes-Oxley Act of 2002.</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100" w:hanging="1092"/>
        <w:spacing w:after="0" w:line="257"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Bio Green Med Solution, Inc.’s Quarterly Report on Form 10-Q for the period ended March 31, 2026, formatted in iXBRL (Inline eXtensible Business Reporting Language): (i) the Consolidated Statements of Income, (ii) the Consolidated Balance Sheets, (iii) the Consolidated Statements of Cash Flows, and (iv) Notes to Consolidated Financial Statements.</w:t>
      </w:r>
    </w:p>
    <w:p>
      <w:pPr>
        <w:spacing w:after="0" w:line="1" w:lineRule="exact"/>
        <w:rPr>
          <w:sz w:val="20"/>
          <w:szCs w:val="20"/>
          <w:color w:val="auto"/>
        </w:rPr>
      </w:pPr>
    </w:p>
    <w:p>
      <w:pPr>
        <w:ind w:left="1100" w:hanging="1092"/>
        <w:spacing w:after="0" w:line="260"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2026, formatted in Inline eXtensible Business Reporting Language (included with Exhibit 101).</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Management contract or compensatory plans or agreements.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Datuk Dr. Doris Wong</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Datuk Dr. Doris Wong</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Executive Director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Datuk Dr. Doris Wong,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2026 of Bio Green Med Solution,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6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Datuk Dr. Doris Wong</w:t>
            </w:r>
          </w:p>
        </w:tc>
      </w:tr>
      <w:tr>
        <w:trPr>
          <w:trHeight w:val="191"/>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Datuk Dr. Doris Wong</w:t>
            </w:r>
          </w:p>
        </w:tc>
      </w:tr>
      <w:tr>
        <w:trPr>
          <w:trHeight w:val="216"/>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Kiu Cu Seng,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2026 of Bio Green Med Solution,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6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Kiu Cu Seng</w:t>
            </w:r>
          </w:p>
        </w:tc>
      </w:tr>
      <w:tr>
        <w:trPr>
          <w:trHeight w:val="191"/>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Kiu Cu Seng</w:t>
            </w:r>
          </w:p>
        </w:tc>
      </w:tr>
      <w:tr>
        <w:trPr>
          <w:trHeight w:val="216"/>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9" w:name="page30"/>
    <w:bookmarkEnd w:id="2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Bio Green Med Solution, Inc. (the “Company”) for the quarter ended March 31, 2026, as filed with the Securities and Exchange Commission (the “Report”), I, Datuk Dr. Doris Wong, Chief Executive Officer of the Company,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6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Datuk Dr. Doris Wong</w:t>
            </w:r>
          </w:p>
        </w:tc>
      </w:tr>
      <w:tr>
        <w:trPr>
          <w:trHeight w:val="191"/>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Datuk Dr. Doris Wong</w:t>
            </w:r>
          </w:p>
        </w:tc>
      </w:tr>
      <w:tr>
        <w:trPr>
          <w:trHeight w:val="214"/>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Bio Green Med Solution, Inc. (the “Company”) for the quarter ended March 31, 2026, as filed with the Securities and Exchange Commission (the “Report”), I, Kiu Cu Seng, Chief Financial Officer of the Company,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6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Kiu Cu Seng</w:t>
            </w:r>
          </w:p>
        </w:tc>
      </w:tr>
      <w:tr>
        <w:trPr>
          <w:trHeight w:val="191"/>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Kiu Cu Seng</w:t>
            </w:r>
          </w:p>
        </w:tc>
      </w:tr>
      <w:tr>
        <w:trPr>
          <w:trHeight w:val="214"/>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432"/>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01"/>
    </w:lvl>
  </w:abstractNum>
  <w:abstractNum w:abstractNumId="6">
    <w:nsid w:val="4DB127F8"/>
    <w:multiLevelType w:val="hybridMultilevel"/>
    <w:lvl w:ilvl="0">
      <w:lvlJc w:val="left"/>
      <w:lvlText w:val="%1"/>
      <w:numFmt w:val="decimal"/>
      <w:start w:val="104"/>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2026-05-15T15:32:57Z</dcterms:created>
  <dcterms:modified xsi:type="dcterms:W3CDTF">2026-05-15T15:32:57Z</dcterms:modified>
</cp:coreProperties>
</file>