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424b3.htm"/>
      <w:bookmarkStart w:id="1" w:name="ksform424b3"/>
      <w:bookmarkEnd w:id="0"/>
      <w:bookmarkEnd w:id="1"/>
      <w:r>
        <w:rPr>
          <w:caps w:val="false"/>
          <w:smallCaps w:val="false"/>
        </w:rPr>
        <w:t> </w:t>
      </w:r>
    </w:p>
    <w:tbl>
      <w:tblPr>
        <w:tblW w:w="2810" w:type="dxa"/>
        <w:jc w:val="left"/>
        <w:tblInd w:w="0" w:type="dxa"/>
        <w:tblLayout w:type="fixed"/>
        <w:tblCellMar>
          <w:top w:w="0" w:type="dxa"/>
          <w:left w:w="0" w:type="dxa"/>
          <w:bottom w:w="0" w:type="dxa"/>
          <w:right w:w="0" w:type="dxa"/>
        </w:tblCellMar>
      </w:tblPr>
      <w:tblGrid>
        <w:gridCol w:w="75"/>
        <w:gridCol w:w="27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35" w:type="dxa"/>
            <w:tcBorders/>
            <w:vAlign w:val="center"/>
          </w:tcPr>
          <w:p>
            <w:pPr>
              <w:pStyle w:val="TableContents"/>
              <w:bidi w:val="0"/>
              <w:spacing w:before="0" w:after="283"/>
              <w:jc w:val="righ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Filed Pursuant to Rule 424(b)(3)</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righ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Registration No. 333-296815</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TRANSACTION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VERY IMPORTANT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of Bio Green Med Solution,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a Delaware corporation (“BGMS” or “Parent”), Future NRG Sdn. Bhd., a Malaysian private limited company (the “Company” or “Future NRG”) and all of the shareholders of the Company (collectively, the “Selling Shareholders” and together with Parent, and the Company, the “Parties” and each, a “Party”) entered into a Business Combination Agreement dated as of June 4, 2026 (collectively, the “Business Combination Agreement”). The Parties thereto propose to effect a voluntary share exchange between Parent and the Selling Shareholders (the “Exchange”), in which the Company will become a wholly-owned subsidiary of Parent, in accordance with the terms of the Business Combination Agreement and the rules under Delaware General Corporation Law (the “DGCL”) and the Malaysian Companies Act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and in accordance with the DGCL, at the closing of the Exchange (the “Closing”), the Selling Shareholders shall convey, assign and transfer all of their right, title and interest to 100% of the ordinary shares of the Company (individually, a “Share” and collectively, the “Shares”) to Parent by delivering to Parent executed and transferrable Share certificates (if certificated) endorsed in blank (or accompanied by duly executed stock powers endorsed in blank) in proper form for transfer, or if uncertificated, other applicable transfer instrument in accordance with the Malaysian Companies Act. The Shares transferred to Parent at the Closing shall constitute one hundred (100%) percent of the issued and outstanding capital shares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its acquisition of the Shares and without any action on the part of any Party or the holders of securities of Parent or the Company, each Share issued and outstanding immediately prior to the date and time of the filing of the Malaysia Form of Transfer or at such later date or time as may be agreed by the Company and Parent in writing and specified in the Malaysia Form of Transfer in accordance with relevant provisions of the Malaysian Companies Act (the “Effective Time”) shall be converted into, and the holder thereof shall be entitled to receive a number of shares of Parent common stock, par value $0.001 (the “Parent Common Stock”) equal to the quotient of (i) the Transaction Consideration Shares (as defined below) divided by (ii) the total number of Shares issued and outstanding immediately prior to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amount of Parent Common Stock (the “Exchange Shares”) shall be issued to the Selling Shareholders by issuance of book-entry shares in accordance with the applicable provisions of the DGCL, and the Transfer Agent shall be instructed to update the register of stockholders of Parent. Transaction Consideration Shares means that number of Parent Common Stock equal to (x) the quotient of Aggregate Transaction Consideration Value divided </w:t>
      </w:r>
      <w:r>
        <w:rPr>
          <w:rFonts w:ascii="Times New Roman;Times;Serif" w:hAnsi="Times New Roman;Times;Serif"/>
          <w:b w:val="false"/>
          <w:i/>
          <w:caps w:val="false"/>
          <w:smallCaps w:val="false"/>
          <w:sz w:val="20"/>
        </w:rPr>
        <w:t>by</w:t>
      </w:r>
      <w:r>
        <w:rPr>
          <w:rFonts w:ascii="Times New Roman;Times;Serif" w:hAnsi="Times New Roman;Times;Serif"/>
          <w:b w:val="false"/>
          <w:i w:val="false"/>
          <w:caps w:val="false"/>
          <w:smallCaps w:val="false"/>
          <w:sz w:val="20"/>
        </w:rPr>
        <w:t xml:space="preserve"> (y) thirty (30) day VWAP immediately prior to the date on which the closing occurs and the transactions contemplated in the Business Combination Agreement become effective (the “Closing Date”). “Aggregate Transaction Consideration Value” means $2,000,000,000.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the Closing of the Exchange shall take place no later than three business days after the date on which the conditions to Closing set forth in the Business Combination Agreement shall have been satisfied or, to the extent permitted thereunder, waived by the appropriate Party (other than those conditions that by their nature are to be satisfied at the Closing, but subject to the satisfaction or, to the extent permitted hereunder, waiver of all such conditions) or at such other time, date or location as the parties hereto agree. At the time of the Closing, Parent, the Company and the Selling Shareholders shall deliver the certificates and other documents and instruments required to be delivered under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Business Combination Agreement, at the Closing, the parties hereto shall (a) cause a Form Section 105 (Form of Transfer of Securities) in substantially the form of Exhibit B to the Business Combination Agreement (the “Malaysia Form of Transfer”) to be executed, acknowledged and filed with the Companies Commission of Malaysia, as provided in sections 105 and 106 of the Malaysian Companies Act and (b) take all such other and further actions as may be required by the Malaysian Companies Act or other applicable Law to make the Exchange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federal income tax purposes, the Exchange is intended to constitute a tax-free exchange of property within the meaning of Section 351 of the Internal Revenue Code of 1986, as amended (the “Code”), and the Parties shall report the transactions contemplated by the Business Combination Agreement consistent with such intent and shall take no position in any tax filing or legal proceeding inconsistent therewith. None of Parent, the Company or the Selling Shareholders has taken or failed to take, and after the Effective Time, Parent shall not take or fail to take, any action which reasonably could be expected to cause the Exchange to fail to qualify as a tax-free exchange of property within the meaning of Section 351 of the Code.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after the Transaction, (a) current Parent stockholders are expected to own approximately less than 1.0% of Parent and (b) the Selling Shareholders are expected to own approximately over 99.0% of Parent. Shares of Parent Common Stock are currently listed on The Nasdaq Capital Market under the symbol “BGMS.” On June 15, 2026, the last trading day before the initial filing of this proxy statement/prospectus, the closing sale price of Parent Common Stock was $0.83 per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is holding a special meeting of stockholders (the “special meeting”) in order to obtain the stockholder approvals necessary to complete the Transaction and related matters. At the special meeting, which will be held virtually at 12:30 p.m., Eastern Time, on November 19, 2026, unless postponed or adjourned to a later date, Bio Green Med Solution will ask the holders of Parent’s common stock, par value $0.001 per share (“Common Stock” or “Parent Common Stock”)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4"/>
        <w:gridCol w:w="9996"/>
      </w:tblGrid>
      <w:tr>
        <w:trPr/>
        <w:tc>
          <w:tcPr>
            <w:tcW w:w="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Proposal No. 1 - approve the issuance of shares of Common Stock of Bio Green Med Solution, Inc. (“BGMS” or “Parent”) to Selling Shareholders pursuant to the terms of the Business Combination Agreement between BGMS, Future NRG and the Selling Shareholders, dated as of June 4, 2026, a copy of which is attached as </w:t>
            </w:r>
            <w:r>
              <w:rPr>
                <w:rFonts w:ascii="Times New Roman;Times;Serif" w:hAnsi="Times New Roman;Times;Serif"/>
                <w:b w:val="false"/>
                <w:i/>
                <w:caps w:val="false"/>
                <w:smallCaps w:val="false"/>
                <w:sz w:val="20"/>
              </w:rPr>
              <w:t>Annex A</w:t>
            </w:r>
            <w:r>
              <w:rPr>
                <w:rFonts w:ascii="Times New Roman;Times;Serif" w:hAnsi="Times New Roman;Times;Serif"/>
                <w:b w:val="false"/>
                <w:i w:val="false"/>
                <w:caps w:val="false"/>
                <w:smallCaps w:val="false"/>
                <w:sz w:val="20"/>
              </w:rPr>
              <w:t xml:space="preserve"> and incorporated by reference herein, and is referred to as the Business Combination Agreement (“Proposal No. 1”);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4" w:type="dxa"/>
            <w:tcBorders/>
            <w:vAlign w:val="center"/>
          </w:tcPr>
          <w:p>
            <w:pPr>
              <w:pStyle w:val="TableContents"/>
              <w:bidi w:val="0"/>
              <w:spacing w:before="0" w:after="283"/>
              <w:jc w:val="both"/>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2 - comply with Nasdaq Listing Rule 5635(a), the issuance of more than 20% of the issued and outstanding shares of Parent Common Stock in connection with the Transaction and Nasdaq Listing Rule 5635(b), the change of control of BGMS (“Proposal No. 2”);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4" w:type="dxa"/>
            <w:tcBorders/>
            <w:vAlign w:val="center"/>
          </w:tcPr>
          <w:p>
            <w:pPr>
              <w:pStyle w:val="TableContents"/>
              <w:bidi w:val="0"/>
              <w:spacing w:before="0" w:after="283"/>
              <w:jc w:val="both"/>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3 – approve the amendment to the Amended and Restated Certificate of Incorporation of BGMS to increase the number of shares of Parent Common Stock that BGMS is authorized to issue to 3,000,000,000 shares (“Proposal No. 3”);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4" w:type="dxa"/>
            <w:tcBorders/>
            <w:vAlign w:val="center"/>
          </w:tcPr>
          <w:p>
            <w:pPr>
              <w:pStyle w:val="TableContents"/>
              <w:bidi w:val="0"/>
              <w:spacing w:before="0" w:after="283"/>
              <w:jc w:val="both"/>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4 – approve an amendment to the Amended and Restated Certificate of Incorporation to effect a reverse stock split of the issued and outstanding shares of Parent Common Stock (the “Reverse Stock Split”), at a reverse stock split ratio to be determined by the Board within a range of not less than 1:4 and not more than 1:16 (“Proposal No. 4”);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4" w:type="dxa"/>
            <w:tcBorders/>
            <w:vAlign w:val="center"/>
          </w:tcPr>
          <w:p>
            <w:pPr>
              <w:pStyle w:val="TableContents"/>
              <w:bidi w:val="0"/>
              <w:spacing w:before="0" w:after="283"/>
              <w:jc w:val="both"/>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5 – approve, for purposes of complying with applicable Delaware law, the rules and regulations of the SEC and Nasdaq and BGMS’ governing documents, the issuance and sale by BGMS, from time to time during the 24-month period following the Transaction (the “Future Financing”), of shares of Parent Common Stock, warrants to purchase shares of Parent Common Stock and/or other securities exercisable for, convertible into or otherwise linked to Parent Common Stock in one or more financing transactions (“Proposal No. 5”);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4" w:type="dxa"/>
            <w:tcBorders/>
            <w:vAlign w:val="center"/>
          </w:tcPr>
          <w:p>
            <w:pPr>
              <w:pStyle w:val="TableContents"/>
              <w:bidi w:val="0"/>
              <w:spacing w:before="0" w:after="283"/>
              <w:jc w:val="both"/>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6 - consider and vote upon an adjournment of the special meeting, if necessary, to solicit additional proxies if there are not sufficient votes in favor of the proposals set forth above (“Proposal No. 6”); and 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 such other business as may properly come before the stockholders at the special meeting or any adjournment or postponement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careful consideration, the board of directors of Parent has unanimously approved the Business Combination Agreement and the proposals described in this proxy statement/prospectus, and the board of directors has determined that it is advisable to consummate the Transaction. Our board of directors recommends that stockholders vote “FOR” the proposals described in the accompanying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More information about Parent and the Company, as well as the Transaction is contained in this proxy statement/prospectus. You are urged to read the accompanying proxy statement/prospectus carefully and in its entirety. IN PARTICULAR, YOU SHOULD CAREFULLY CONSIDER THE MATTERS DISCUSSED UNDER “RISK FACTORS” BEGINNING ON PAGE 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excited about the opportunities the Transaction brings to Bio Green Med Solution’s stockholders, and thank you for your consideration and continued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Executive Director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proxy statement/prospectus. Any representation to the contrary is a criminal offense. This proxy statement/prospectus does not constitute an offer to sell or solicitation of an offer to buy any securities in any jurisdiction where such activity would be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proxy statement/prospectus is dated October 9, 2026, and is first being mailed to stockholders on or about October 9,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10, Tower 11, Avenue 5, The Horizon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Bangsar South City, No. 8, Jalan Kerinchi, 59200, Kuala Lumpur, Malaysia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SPECIAL MEETING OF STOCKHOLDERS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November 19, 2026</w:t>
      </w:r>
    </w:p>
    <w:p>
      <w:pPr>
        <w:pStyle w:val="TextBody"/>
        <w:bidi w:val="0"/>
        <w:spacing w:before="0" w:after="0"/>
        <w:ind w:left="0" w:right="0" w:hanging="0"/>
        <w:jc w:val="center"/>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530"/>
        <w:gridCol w:w="2060"/>
      </w:tblGrid>
      <w:tr>
        <w:trPr/>
        <w:tc>
          <w:tcPr>
            <w:tcW w:w="5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Time:</w:t>
            </w:r>
          </w:p>
        </w:tc>
        <w:tc>
          <w:tcPr>
            <w:tcW w:w="2060" w:type="dxa"/>
            <w:tcBorders/>
            <w:vAlign w:val="center"/>
          </w:tcPr>
          <w:p>
            <w:pPr>
              <w:pStyle w:val="TableContents"/>
              <w:bidi w:val="0"/>
              <w:spacing w:before="0" w:after="283"/>
              <w:jc w:val="both"/>
              <w:rPr/>
            </w:pPr>
            <w:r>
              <w:rPr>
                <w:rFonts w:ascii="Times New Roman;Times;Serif" w:hAnsi="Times New Roman;Times;Serif"/>
                <w:sz w:val="20"/>
              </w:rPr>
              <w:t>12:30 p.m.,</w:t>
            </w:r>
            <w:r>
              <w:rPr/>
              <w:t xml:space="preserve"> </w:t>
            </w:r>
            <w:r>
              <w:rPr>
                <w:rFonts w:ascii="Times New Roman;Times;Serif" w:hAnsi="Times New Roman;Times;Serif"/>
                <w:sz w:val="20"/>
              </w:rPr>
              <w:t>Eastern Time</w:t>
            </w:r>
          </w:p>
        </w:tc>
      </w:tr>
      <w:tr>
        <w:trPr/>
        <w:tc>
          <w:tcPr>
            <w:tcW w:w="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Date</w:t>
            </w:r>
            <w:r>
              <w:rPr>
                <w:rFonts w:ascii="Times New Roman;Times;Serif" w:hAnsi="Times New Roman;Times;Serif"/>
                <w:sz w:val="20"/>
              </w:rPr>
              <w:t>:</w:t>
            </w:r>
          </w:p>
        </w:tc>
        <w:tc>
          <w:tcPr>
            <w:tcW w:w="2060" w:type="dxa"/>
            <w:tcBorders/>
            <w:vAlign w:val="center"/>
          </w:tcPr>
          <w:p>
            <w:pPr>
              <w:pStyle w:val="TableContents"/>
              <w:bidi w:val="0"/>
              <w:spacing w:before="0" w:after="283"/>
              <w:jc w:val="both"/>
              <w:rPr/>
            </w:pPr>
            <w:r>
              <w:rPr>
                <w:rFonts w:ascii="Times New Roman;Times;Serif" w:hAnsi="Times New Roman;Times;Serif"/>
                <w:sz w:val="20"/>
              </w:rPr>
              <w:t>November 19,</w:t>
            </w:r>
            <w:r>
              <w:rPr/>
              <w:t xml:space="preserve"> </w:t>
            </w:r>
            <w:r>
              <w:rPr>
                <w:rFonts w:ascii="Times New Roman;Times;Serif" w:hAnsi="Times New Roman;Times;Serif"/>
                <w:sz w:val="20"/>
              </w:rPr>
              <w:t>2026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Place:</w:t>
      </w:r>
      <w:r>
        <w:rPr>
          <w:rFonts w:ascii="Times New Roman;Times;Serif" w:hAnsi="Times New Roman;Times;Serif"/>
          <w:b w:val="false"/>
          <w:i w:val="false"/>
          <w:caps w:val="false"/>
          <w:smallCaps w:val="false"/>
          <w:sz w:val="20"/>
        </w:rPr>
        <w:t xml:space="preserve"> The special meeting will be a virtual meeting via live audio webcast on the Internet. You will be able to attend the special meeting, vote and submit your questions during the meeting by visiting www.proxyvote.com and entering the 16-digit control number included in the Notice of Internet Availability or proxy card that you receive.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Purposes: </w:t>
      </w:r>
      <w:r>
        <w:rPr>
          <w:rFonts w:ascii="Times New Roman;Times;Serif" w:hAnsi="Times New Roman;Times;Serif"/>
          <w:b w:val="false"/>
          <w:i w:val="false"/>
          <w:caps w:val="false"/>
          <w:smallCaps w:val="false"/>
          <w:sz w:val="20"/>
        </w:rPr>
        <w:t>The purpose of the special meeting is for the holders of Parent’s common stock, par value $0.001 per share (“Common Stock” or “Parent Common Stock”)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Proposal No. 1 - approve the issuance of shares of Common Stock of Bio Green Med Solution, Inc. (“BGMS” or “Parent”) to the Selling Shareholders pursuant to the terms of the Business Combination Agreement between BGMS, Future NRG Sdn. Bhd. (“Future NRG” or the “Company”) and the shareholders of Future NRG (the “Selling Shareholders”), dated as of June 4, 2026, a copy of which is attached as </w:t>
            </w:r>
            <w:r>
              <w:rPr>
                <w:rFonts w:ascii="Times New Roman;Times;Serif" w:hAnsi="Times New Roman;Times;Serif"/>
                <w:b w:val="false"/>
                <w:i/>
                <w:caps w:val="false"/>
                <w:smallCaps w:val="false"/>
                <w:sz w:val="20"/>
              </w:rPr>
              <w:t>Annex A</w:t>
            </w:r>
            <w:r>
              <w:rPr>
                <w:rFonts w:ascii="Times New Roman;Times;Serif" w:hAnsi="Times New Roman;Times;Serif"/>
                <w:b w:val="false"/>
                <w:i w:val="false"/>
                <w:caps w:val="false"/>
                <w:smallCaps w:val="false"/>
                <w:sz w:val="20"/>
              </w:rPr>
              <w:t xml:space="preserve"> and incorporated by reference herein, and is referred to as the Business Combination Agreement (“Proposal No. 1”); and</w:t>
            </w:r>
          </w:p>
        </w:tc>
      </w:tr>
      <w:tr>
        <w:trPr/>
        <w:tc>
          <w:tcPr>
            <w:tcW w:w="149" w:type="dxa"/>
            <w:tcBorders/>
            <w:vAlign w:val="center"/>
          </w:tcPr>
          <w:p>
            <w:pPr>
              <w:pStyle w:val="TableContents"/>
              <w:bidi w:val="0"/>
              <w:spacing w:before="0" w:after="283"/>
              <w:jc w:val="left"/>
              <w:rPr>
                <w:caps w:val="false"/>
                <w:smallCaps w:val="false"/>
              </w:rPr>
            </w:pPr>
            <w:r>
              <w:rPr>
                <w:caps w:val="false"/>
                <w:smallCaps w:val="false"/>
              </w:rPr>
              <w:t> </w:t>
            </w:r>
          </w:p>
        </w:tc>
        <w:tc>
          <w:tcPr>
            <w:tcW w:w="1005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2 - comply with Nasdaq Listing Rule 5635(a), the issuance of more than 20% of the issued and outstanding shares of Parent Common Stock and Nasdaq Listing Rule 5635(b), the change of control of BGMS, in connection with the Transaction (“Proposal No. 2”); and</w:t>
            </w:r>
          </w:p>
        </w:tc>
      </w:tr>
      <w:tr>
        <w:trPr/>
        <w:tc>
          <w:tcPr>
            <w:tcW w:w="149" w:type="dxa"/>
            <w:tcBorders/>
            <w:vAlign w:val="center"/>
          </w:tcPr>
          <w:p>
            <w:pPr>
              <w:pStyle w:val="TableContents"/>
              <w:bidi w:val="0"/>
              <w:spacing w:before="0" w:after="283"/>
              <w:jc w:val="left"/>
              <w:rPr>
                <w:caps w:val="false"/>
                <w:smallCaps w:val="false"/>
              </w:rPr>
            </w:pPr>
            <w:r>
              <w:rPr>
                <w:caps w:val="false"/>
                <w:smallCaps w:val="false"/>
              </w:rPr>
              <w:t> </w:t>
            </w:r>
          </w:p>
        </w:tc>
        <w:tc>
          <w:tcPr>
            <w:tcW w:w="1005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3 – approve the amendment to the Amended and Restated Certificate of Incorporation of BGMS to increase the number of shares of Parent Common Stock that BGMS is authorized to issue to 3,000,000,000 shares (“Proposal No. 3”); and</w:t>
            </w:r>
          </w:p>
        </w:tc>
      </w:tr>
      <w:tr>
        <w:trPr/>
        <w:tc>
          <w:tcPr>
            <w:tcW w:w="149" w:type="dxa"/>
            <w:tcBorders/>
            <w:vAlign w:val="center"/>
          </w:tcPr>
          <w:p>
            <w:pPr>
              <w:pStyle w:val="TableContents"/>
              <w:bidi w:val="0"/>
              <w:spacing w:before="0" w:after="283"/>
              <w:jc w:val="left"/>
              <w:rPr>
                <w:caps w:val="false"/>
                <w:smallCaps w:val="false"/>
              </w:rPr>
            </w:pPr>
            <w:r>
              <w:rPr>
                <w:caps w:val="false"/>
                <w:smallCaps w:val="false"/>
              </w:rPr>
              <w:t> </w:t>
            </w:r>
          </w:p>
        </w:tc>
        <w:tc>
          <w:tcPr>
            <w:tcW w:w="1005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4 – approve an amendment to the Amended and Restated Certificate of Incorporation to effect a reverse stock split of the issued and outstanding shares of Parent Common Stock (the “Reverse Stock Split”), at a reverse stock split ratio to be determined by the Board within a range of not less than 1:4 and not more than 1:16 (“Proposal No. 4”); and</w:t>
            </w:r>
          </w:p>
        </w:tc>
      </w:tr>
      <w:tr>
        <w:trPr/>
        <w:tc>
          <w:tcPr>
            <w:tcW w:w="149" w:type="dxa"/>
            <w:tcBorders/>
            <w:vAlign w:val="center"/>
          </w:tcPr>
          <w:p>
            <w:pPr>
              <w:pStyle w:val="TableContents"/>
              <w:bidi w:val="0"/>
              <w:spacing w:before="0" w:after="283"/>
              <w:jc w:val="left"/>
              <w:rPr>
                <w:caps w:val="false"/>
                <w:smallCaps w:val="false"/>
              </w:rPr>
            </w:pPr>
            <w:r>
              <w:rPr>
                <w:caps w:val="false"/>
                <w:smallCaps w:val="false"/>
              </w:rPr>
              <w:t> </w:t>
            </w:r>
          </w:p>
        </w:tc>
        <w:tc>
          <w:tcPr>
            <w:tcW w:w="1005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5 – approve, for purposes of complying with applicable Delaware law, the rules and regulations of the SEC and Nasdaq and BGMS’ governing documents, the issuance and sale by BGMS, from time to time during the 24-month period following the Transaction (the “Future Financing”), of shares of Parent Common Stock, warrants to purchase shares of Parent Common Stock and/or other securities exercisable for, convertible into or otherwise linked to Parent Common Stock in one or more financing transactions (“Proposal No. 5”); and</w:t>
            </w:r>
          </w:p>
        </w:tc>
      </w:tr>
      <w:tr>
        <w:trPr/>
        <w:tc>
          <w:tcPr>
            <w:tcW w:w="149" w:type="dxa"/>
            <w:tcBorders/>
            <w:vAlign w:val="center"/>
          </w:tcPr>
          <w:p>
            <w:pPr>
              <w:pStyle w:val="TableContents"/>
              <w:bidi w:val="0"/>
              <w:spacing w:before="0" w:after="283"/>
              <w:jc w:val="left"/>
              <w:rPr>
                <w:caps w:val="false"/>
                <w:smallCaps w:val="false"/>
              </w:rPr>
            </w:pPr>
            <w:r>
              <w:rPr>
                <w:caps w:val="false"/>
                <w:smallCaps w:val="false"/>
              </w:rPr>
              <w:t> </w:t>
            </w:r>
          </w:p>
        </w:tc>
        <w:tc>
          <w:tcPr>
            <w:tcW w:w="1005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6 - consider and vote upon an adjournment of the special meeting, if necessary, to solicit additional proxies if there are not sufficient votes in favor of the proposals set forth above (“Proposal No. 6”); and 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 such other business as may properly come before the stockholders at the special meeting or any adjournment or postponement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Record Date: </w:t>
      </w:r>
      <w:r>
        <w:rPr>
          <w:rFonts w:ascii="Times New Roman;Times;Serif" w:hAnsi="Times New Roman;Times;Serif"/>
          <w:b w:val="false"/>
          <w:i w:val="false"/>
          <w:caps w:val="false"/>
          <w:smallCaps w:val="false"/>
          <w:sz w:val="20"/>
        </w:rPr>
        <w:t xml:space="preserve">The board of directors of BGMS has fixed October 5, 2026 as the record date for the determination of stockholders entitled to notice of, and to vote at, the special meeting and any adjournment or postponement thereof. Only stockholders of record of shares of Parent Common Stock at the close of business on the record date are entitled to notice of, and to vote at, the special meeting. At the close of business on the record date, 6,622,794 shares of common stock of BGMS were outstanding and entitled to vote at the special meeting. </w:t>
      </w:r>
      <w:r>
        <w:rPr>
          <w:rFonts w:ascii="Times New Roman;Times;Serif" w:hAnsi="Times New Roman;Times;Serif"/>
          <w:b/>
          <w:i w:val="false"/>
          <w:caps w:val="false"/>
          <w:smallCaps w:val="false"/>
          <w:sz w:val="20"/>
        </w:rPr>
        <w:t xml:space="preserve">Your vote is important. The affirmative vote of a majority in voting power of the issued and outstanding shares of Common Stock of BGMS, entitled to vote thereon is required for approval of Proposal No. 1, Proposal No. 2 and Proposal No. 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 of Proposal No. 1, Proposal No. 2, Proposal No. 3, Proposal No. 4 and Proposal No. 5 are conditioned upon each other and the approval of each such proposal is a condition to the completion of the Transaction. Therefore, the Transaction cannot be consummated without the approval of Proposal No. 1, Proposal No. 2, Proposal No. 3, Proposal No. 4 and Proposal No. 5. You may change or revoke your proxy at any time before it is voted at the special meeting. Abstentions and broker non-votes would have the same effect as votes “AGAINST” each of Proposal No. 1, Proposal No. 2, Proposal No. 3, Proposal No. 4 and Proposal No.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HAS DETERMINED THAT EACH OF THE PROPOSALS OUTLINED ABOVE IS FAIR TO, AND IN THE BEST INTERESTS OF, BGMS AND ITS STOCKHOLDERS AND HAS UNANIMOUSLY APPROVED EACH SUCH PROPOSAL. THE BOARD OF DIRECTORS RECOMMENDS THAT STOCKHOLDERS OF BGMS VOTE “FOR” EACH OF THE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Executive Director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9,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REFERENCES TO 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statement/prospectus incorporates important business and financial information about Bio Green Med Solution that has been filed with the Securities and Exchange Commission, or SEC, and that is not included in or delivered with this document. You may obtain this information without charge through the SEC’s website (http://</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or upon your written or oral request by contacting the secretary of Bio Green Med Solution, Inc., Level 10, Tower 11, Avenue 5, The Horizon Bangsar South City, No. 8, Jalan Kerinchi, 59200, Kuala Lumpur, Malaysia or by calling (908) 955 0526.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ensure timely delivery of these documents, any request should be made no later than November 17, 2026 to receive them before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details about where you can find information about Bio Green Med Solution, please see the section entitled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in this proxy statement/prospectus.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9500"/>
        <w:gridCol w:w="425"/>
      </w:tblGrid>
      <w:tr>
        <w:trPr/>
        <w:tc>
          <w:tcPr>
            <w:tcW w:w="9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9500" w:type="dxa"/>
            <w:tcBorders/>
            <w:shd w:fill="CCEEFF" w:val="clear"/>
            <w:vAlign w:val="center"/>
          </w:tcPr>
          <w:p>
            <w:pPr>
              <w:pStyle w:val="TableContents"/>
              <w:bidi w:val="0"/>
              <w:spacing w:before="0" w:after="283"/>
              <w:jc w:val="left"/>
              <w:rPr/>
            </w:pPr>
            <w:hyperlink w:anchor="ta_001">
              <w:r>
                <w:rPr>
                  <w:rStyle w:val="InternetLink"/>
                  <w:rFonts w:ascii="Times New Roman;Times;Serif" w:hAnsi="Times New Roman;Times;Serif"/>
                  <w:b w:val="false"/>
                  <w:i w:val="false"/>
                  <w:caps w:val="false"/>
                  <w:smallCaps w:val="false"/>
                  <w:sz w:val="20"/>
                </w:rPr>
                <w:t>QUESTIONS AND ANSWERS ABOUT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500" w:type="dxa"/>
            <w:tcBorders/>
            <w:shd w:fill="FFFFFF" w:val="clear"/>
            <w:vAlign w:val="center"/>
          </w:tcPr>
          <w:p>
            <w:pPr>
              <w:pStyle w:val="TableContents"/>
              <w:bidi w:val="0"/>
              <w:spacing w:before="0" w:after="283"/>
              <w:jc w:val="left"/>
              <w:rPr/>
            </w:pPr>
            <w:hyperlink w:anchor="ta_002">
              <w:r>
                <w:rPr>
                  <w:rStyle w:val="InternetLink"/>
                  <w:rFonts w:ascii="Times New Roman;Times;Serif" w:hAnsi="Times New Roman;Times;Serif"/>
                  <w:b w:val="false"/>
                  <w:i w:val="false"/>
                  <w:caps w:val="false"/>
                  <w:smallCaps w:val="false"/>
                  <w:sz w:val="20"/>
                </w:rPr>
                <w:t>PROSPECTUS SUMMARY</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500" w:type="dxa"/>
            <w:tcBorders/>
            <w:shd w:fill="CCEEFF" w:val="clear"/>
            <w:vAlign w:val="center"/>
          </w:tcPr>
          <w:p>
            <w:pPr>
              <w:pStyle w:val="TableContents"/>
              <w:bidi w:val="0"/>
              <w:spacing w:before="0" w:after="283"/>
              <w:jc w:val="left"/>
              <w:rPr/>
            </w:pPr>
            <w:hyperlink w:anchor="ta_003">
              <w:r>
                <w:rPr>
                  <w:rStyle w:val="InternetLink"/>
                  <w:rFonts w:ascii="Times New Roman;Times;Serif" w:hAnsi="Times New Roman;Times;Serif"/>
                  <w:b w:val="false"/>
                  <w:i w:val="false"/>
                  <w:caps w:val="false"/>
                  <w:smallCaps w:val="false"/>
                  <w:sz w:val="20"/>
                </w:rPr>
                <w:t>The Companies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500" w:type="dxa"/>
            <w:tcBorders/>
            <w:shd w:fill="FFFFFF" w:val="clear"/>
            <w:vAlign w:val="center"/>
          </w:tcPr>
          <w:p>
            <w:pPr>
              <w:pStyle w:val="TableContents"/>
              <w:bidi w:val="0"/>
              <w:spacing w:before="0" w:after="283"/>
              <w:jc w:val="left"/>
              <w:rPr/>
            </w:pPr>
            <w:hyperlink w:anchor="ta_004">
              <w:r>
                <w:rPr>
                  <w:rStyle w:val="InternetLink"/>
                  <w:rFonts w:ascii="Times New Roman;Times;Serif" w:hAnsi="Times New Roman;Times;Serif"/>
                  <w:b w:val="false"/>
                  <w:i w:val="false"/>
                  <w:caps w:val="false"/>
                  <w:smallCaps w:val="false"/>
                  <w:sz w:val="20"/>
                </w:rPr>
                <w:t>The Transaction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9500" w:type="dxa"/>
            <w:tcBorders/>
            <w:shd w:fill="CCEEFF" w:val="clear"/>
            <w:vAlign w:val="center"/>
          </w:tcPr>
          <w:p>
            <w:pPr>
              <w:pStyle w:val="TableContents"/>
              <w:bidi w:val="0"/>
              <w:spacing w:before="0" w:after="283"/>
              <w:jc w:val="left"/>
              <w:rPr/>
            </w:pPr>
            <w:hyperlink w:anchor="ta_005">
              <w:r>
                <w:rPr>
                  <w:rStyle w:val="InternetLink"/>
                  <w:rFonts w:ascii="Times New Roman;Times;Serif" w:hAnsi="Times New Roman;Times;Serif"/>
                  <w:b w:val="false"/>
                  <w:i w:val="false"/>
                  <w:caps w:val="false"/>
                  <w:smallCaps w:val="false"/>
                  <w:sz w:val="20"/>
                </w:rPr>
                <w:t>Reasons for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500" w:type="dxa"/>
            <w:tcBorders/>
            <w:shd w:fill="FFFFFF" w:val="clear"/>
            <w:vAlign w:val="center"/>
          </w:tcPr>
          <w:p>
            <w:pPr>
              <w:pStyle w:val="TableContents"/>
              <w:bidi w:val="0"/>
              <w:spacing w:before="0" w:after="283"/>
              <w:jc w:val="left"/>
              <w:rPr/>
            </w:pPr>
            <w:hyperlink w:anchor="ta_006">
              <w:r>
                <w:rPr>
                  <w:rStyle w:val="InternetLink"/>
                  <w:rFonts w:ascii="Times New Roman;Times;Serif" w:hAnsi="Times New Roman;Times;Serif"/>
                  <w:b w:val="false"/>
                  <w:i w:val="false"/>
                  <w:caps w:val="false"/>
                  <w:smallCaps w:val="false"/>
                  <w:sz w:val="20"/>
                </w:rPr>
                <w:t>Interests of the Directors and Executive Officers of Bio Green Med Solution in the Transaction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500" w:type="dxa"/>
            <w:tcBorders/>
            <w:shd w:fill="CCEEFF" w:val="clear"/>
            <w:vAlign w:val="center"/>
          </w:tcPr>
          <w:p>
            <w:pPr>
              <w:pStyle w:val="TableContents"/>
              <w:bidi w:val="0"/>
              <w:spacing w:before="0" w:after="283"/>
              <w:jc w:val="left"/>
              <w:rPr/>
            </w:pPr>
            <w:hyperlink w:anchor="ta_007">
              <w:r>
                <w:rPr>
                  <w:rStyle w:val="InternetLink"/>
                  <w:rFonts w:ascii="Times New Roman;Times;Serif" w:hAnsi="Times New Roman;Times;Serif"/>
                  <w:b w:val="false"/>
                  <w:i w:val="false"/>
                  <w:caps w:val="false"/>
                  <w:smallCaps w:val="false"/>
                  <w:sz w:val="20"/>
                </w:rPr>
                <w:t>Interests of the Directors and Executive Officers of Future NRG in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500" w:type="dxa"/>
            <w:tcBorders/>
            <w:shd w:fill="FFFFFF" w:val="clear"/>
            <w:vAlign w:val="center"/>
          </w:tcPr>
          <w:p>
            <w:pPr>
              <w:pStyle w:val="TableContents"/>
              <w:bidi w:val="0"/>
              <w:spacing w:before="0" w:after="283"/>
              <w:jc w:val="left"/>
              <w:rPr/>
            </w:pPr>
            <w:hyperlink w:anchor="ta_008">
              <w:r>
                <w:rPr>
                  <w:rStyle w:val="InternetLink"/>
                  <w:rFonts w:ascii="Times New Roman;Times;Serif" w:hAnsi="Times New Roman;Times;Serif"/>
                  <w:b w:val="false"/>
                  <w:i w:val="false"/>
                  <w:caps w:val="false"/>
                  <w:smallCaps w:val="false"/>
                  <w:sz w:val="20"/>
                </w:rPr>
                <w:t>Continued Service with the Company</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500" w:type="dxa"/>
            <w:tcBorders/>
            <w:shd w:fill="CCEEFF" w:val="clear"/>
            <w:vAlign w:val="center"/>
          </w:tcPr>
          <w:p>
            <w:pPr>
              <w:pStyle w:val="TableContents"/>
              <w:bidi w:val="0"/>
              <w:spacing w:before="0" w:after="283"/>
              <w:jc w:val="left"/>
              <w:rPr/>
            </w:pPr>
            <w:hyperlink w:anchor="ta_009">
              <w:r>
                <w:rPr>
                  <w:rStyle w:val="InternetLink"/>
                  <w:rFonts w:ascii="Times New Roman;Times;Serif" w:hAnsi="Times New Roman;Times;Serif"/>
                  <w:b w:val="false"/>
                  <w:i w:val="false"/>
                  <w:caps w:val="false"/>
                  <w:smallCaps w:val="false"/>
                  <w:sz w:val="20"/>
                </w:rPr>
                <w:t>Fairness Opinion of the Future NRG Sdn. Bhd. and its subsidiaries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500" w:type="dxa"/>
            <w:tcBorders/>
            <w:shd w:fill="FFFFFF" w:val="clear"/>
            <w:vAlign w:val="center"/>
          </w:tcPr>
          <w:p>
            <w:pPr>
              <w:pStyle w:val="TableContents"/>
              <w:bidi w:val="0"/>
              <w:spacing w:before="0" w:after="283"/>
              <w:jc w:val="left"/>
              <w:rPr/>
            </w:pPr>
            <w:hyperlink w:anchor="ta_010">
              <w:r>
                <w:rPr>
                  <w:rStyle w:val="InternetLink"/>
                  <w:rFonts w:ascii="Times New Roman;Times;Serif" w:hAnsi="Times New Roman;Times;Serif"/>
                  <w:b w:val="false"/>
                  <w:i w:val="false"/>
                  <w:caps w:val="false"/>
                  <w:smallCaps w:val="false"/>
                  <w:sz w:val="20"/>
                </w:rPr>
                <w:t>Management Following the Closing of the Transaction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500" w:type="dxa"/>
            <w:tcBorders/>
            <w:shd w:fill="CCEEFF" w:val="clear"/>
            <w:vAlign w:val="center"/>
          </w:tcPr>
          <w:p>
            <w:pPr>
              <w:pStyle w:val="TableContents"/>
              <w:bidi w:val="0"/>
              <w:spacing w:before="0" w:after="283"/>
              <w:jc w:val="left"/>
              <w:rPr/>
            </w:pPr>
            <w:hyperlink w:anchor="ta_011">
              <w:r>
                <w:rPr>
                  <w:rStyle w:val="InternetLink"/>
                  <w:rFonts w:ascii="Times New Roman;Times;Serif" w:hAnsi="Times New Roman;Times;Serif"/>
                  <w:b w:val="false"/>
                  <w:i w:val="false"/>
                  <w:caps w:val="false"/>
                  <w:smallCaps w:val="false"/>
                  <w:sz w:val="20"/>
                </w:rPr>
                <w:t>Overview of the Business Combination Agreement and Agreements Related to the Business Combination Agreement</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9500" w:type="dxa"/>
            <w:tcBorders/>
            <w:shd w:fill="FFFFFF" w:val="clear"/>
            <w:vAlign w:val="center"/>
          </w:tcPr>
          <w:p>
            <w:pPr>
              <w:pStyle w:val="TableContents"/>
              <w:bidi w:val="0"/>
              <w:spacing w:before="0" w:after="283"/>
              <w:jc w:val="left"/>
              <w:rPr/>
            </w:pPr>
            <w:hyperlink w:anchor="ta_012">
              <w:r>
                <w:rPr>
                  <w:rStyle w:val="InternetLink"/>
                  <w:rFonts w:ascii="Times New Roman;Times;Serif" w:hAnsi="Times New Roman;Times;Serif"/>
                  <w:b w:val="false"/>
                  <w:i w:val="false"/>
                  <w:caps w:val="false"/>
                  <w:smallCaps w:val="false"/>
                  <w:sz w:val="20"/>
                </w:rPr>
                <w:t>Regulatory Approvals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9500" w:type="dxa"/>
            <w:tcBorders/>
            <w:shd w:fill="CCEEFF" w:val="clear"/>
            <w:vAlign w:val="center"/>
          </w:tcPr>
          <w:p>
            <w:pPr>
              <w:pStyle w:val="TableContents"/>
              <w:bidi w:val="0"/>
              <w:spacing w:before="0" w:after="283"/>
              <w:jc w:val="left"/>
              <w:rPr/>
            </w:pPr>
            <w:hyperlink w:anchor="ta_013">
              <w:r>
                <w:rPr>
                  <w:rStyle w:val="InternetLink"/>
                  <w:rFonts w:ascii="Times New Roman;Times;Serif" w:hAnsi="Times New Roman;Times;Serif"/>
                  <w:b w:val="false"/>
                  <w:i w:val="false"/>
                  <w:caps w:val="false"/>
                  <w:smallCaps w:val="false"/>
                  <w:sz w:val="20"/>
                </w:rPr>
                <w:t>Material U.S. Federal Income Tax Consequences of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9500" w:type="dxa"/>
            <w:tcBorders/>
            <w:shd w:fill="FFFFFF" w:val="clear"/>
            <w:vAlign w:val="center"/>
          </w:tcPr>
          <w:p>
            <w:pPr>
              <w:pStyle w:val="TableContents"/>
              <w:bidi w:val="0"/>
              <w:spacing w:before="0" w:after="283"/>
              <w:jc w:val="left"/>
              <w:rPr/>
            </w:pPr>
            <w:hyperlink w:anchor="ta_014">
              <w:r>
                <w:rPr>
                  <w:rStyle w:val="InternetLink"/>
                  <w:rFonts w:ascii="Times New Roman;Times;Serif" w:hAnsi="Times New Roman;Times;Serif"/>
                  <w:b w:val="false"/>
                  <w:i w:val="false"/>
                  <w:caps w:val="false"/>
                  <w:smallCaps w:val="false"/>
                  <w:sz w:val="20"/>
                </w:rPr>
                <w:t>Nasdaq Stock Market Listing</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500" w:type="dxa"/>
            <w:tcBorders/>
            <w:shd w:fill="CCEEFF" w:val="clear"/>
            <w:vAlign w:val="center"/>
          </w:tcPr>
          <w:p>
            <w:pPr>
              <w:pStyle w:val="TableContents"/>
              <w:bidi w:val="0"/>
              <w:spacing w:before="0" w:after="283"/>
              <w:jc w:val="left"/>
              <w:rPr/>
            </w:pPr>
            <w:hyperlink w:anchor="ta_015">
              <w:r>
                <w:rPr>
                  <w:rStyle w:val="InternetLink"/>
                  <w:rFonts w:ascii="Times New Roman;Times;Serif" w:hAnsi="Times New Roman;Times;Serif"/>
                  <w:b w:val="false"/>
                  <w:i w:val="false"/>
                  <w:caps w:val="false"/>
                  <w:smallCaps w:val="false"/>
                  <w:sz w:val="20"/>
                </w:rPr>
                <w:t>Anticipated Accounting Treatment</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500" w:type="dxa"/>
            <w:tcBorders/>
            <w:shd w:fill="FFFFFF" w:val="clear"/>
            <w:vAlign w:val="center"/>
          </w:tcPr>
          <w:p>
            <w:pPr>
              <w:pStyle w:val="TableContents"/>
              <w:bidi w:val="0"/>
              <w:spacing w:before="0" w:after="283"/>
              <w:jc w:val="left"/>
              <w:rPr/>
            </w:pPr>
            <w:hyperlink w:anchor="bb_002">
              <w:r>
                <w:rPr>
                  <w:rStyle w:val="InternetLink"/>
                  <w:rFonts w:ascii="Times New Roman;Times;Serif" w:hAnsi="Times New Roman;Times;Serif"/>
                  <w:b w:val="false"/>
                  <w:i w:val="false"/>
                  <w:caps w:val="false"/>
                  <w:smallCaps w:val="false"/>
                  <w:sz w:val="20"/>
                </w:rPr>
                <w:t>Appraisal Rights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500" w:type="dxa"/>
            <w:tcBorders/>
            <w:shd w:fill="CCEEFF" w:val="clear"/>
            <w:vAlign w:val="center"/>
          </w:tcPr>
          <w:p>
            <w:pPr>
              <w:pStyle w:val="TableContents"/>
              <w:bidi w:val="0"/>
              <w:spacing w:before="0" w:after="283"/>
              <w:jc w:val="left"/>
              <w:rPr/>
            </w:pPr>
            <w:hyperlink w:anchor="ta_016">
              <w:r>
                <w:rPr>
                  <w:rStyle w:val="InternetLink"/>
                  <w:rFonts w:ascii="Times New Roman;Times;Serif" w:hAnsi="Times New Roman;Times;Serif"/>
                  <w:b w:val="false"/>
                  <w:i w:val="false"/>
                  <w:caps w:val="false"/>
                  <w:smallCaps w:val="false"/>
                  <w:sz w:val="20"/>
                </w:rPr>
                <w:t>Risk Factors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500" w:type="dxa"/>
            <w:tcBorders/>
            <w:shd w:fill="FFFFFF" w:val="clear"/>
            <w:vAlign w:val="center"/>
          </w:tcPr>
          <w:p>
            <w:pPr>
              <w:pStyle w:val="TableContents"/>
              <w:bidi w:val="0"/>
              <w:spacing w:before="0" w:after="283"/>
              <w:jc w:val="left"/>
              <w:rPr/>
            </w:pPr>
            <w:hyperlink w:anchor="ta_017">
              <w:r>
                <w:rPr>
                  <w:rStyle w:val="InternetLink"/>
                  <w:rFonts w:ascii="Times New Roman;Times;Serif" w:hAnsi="Times New Roman;Times;Serif"/>
                  <w:b w:val="false"/>
                  <w:i w:val="false"/>
                  <w:caps w:val="false"/>
                  <w:smallCaps w:val="false"/>
                  <w:sz w:val="20"/>
                </w:rPr>
                <w:t>SELECTED HISTORICAL AND UNAUDITED PRO FORMA COMBINED FINANCIAL INFORMATION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9500" w:type="dxa"/>
            <w:tcBorders/>
            <w:shd w:fill="CCEEFF" w:val="clear"/>
            <w:vAlign w:val="center"/>
          </w:tcPr>
          <w:p>
            <w:pPr>
              <w:pStyle w:val="TableContents"/>
              <w:bidi w:val="0"/>
              <w:spacing w:before="0" w:after="283"/>
              <w:jc w:val="left"/>
              <w:rPr/>
            </w:pPr>
            <w:hyperlink w:anchor="ta_018">
              <w:r>
                <w:rPr>
                  <w:rStyle w:val="InternetLink"/>
                  <w:rFonts w:ascii="Times New Roman;Times;Serif" w:hAnsi="Times New Roman;Times;Serif"/>
                  <w:b w:val="false"/>
                  <w:i w:val="false"/>
                  <w:caps w:val="false"/>
                  <w:smallCaps w:val="false"/>
                  <w:sz w:val="20"/>
                </w:rPr>
                <w:t>Selected Historical Consolidated Financial Data of Bio Green Med Solution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9500" w:type="dxa"/>
            <w:tcBorders/>
            <w:shd w:fill="FFFFFF" w:val="clear"/>
            <w:vAlign w:val="center"/>
          </w:tcPr>
          <w:p>
            <w:pPr>
              <w:pStyle w:val="TableContents"/>
              <w:bidi w:val="0"/>
              <w:spacing w:before="0" w:after="283"/>
              <w:jc w:val="left"/>
              <w:rPr/>
            </w:pPr>
            <w:hyperlink w:anchor="ta_019">
              <w:r>
                <w:rPr>
                  <w:rStyle w:val="InternetLink"/>
                  <w:rFonts w:ascii="Times New Roman;Times;Serif" w:hAnsi="Times New Roman;Times;Serif"/>
                  <w:b w:val="false"/>
                  <w:i w:val="false"/>
                  <w:caps w:val="false"/>
                  <w:smallCaps w:val="false"/>
                  <w:sz w:val="20"/>
                </w:rPr>
                <w:t>Comparative Historical and Unaudited Pro Forma Per Share Data</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9500" w:type="dxa"/>
            <w:tcBorders/>
            <w:shd w:fill="CCEEFF" w:val="clear"/>
            <w:vAlign w:val="center"/>
          </w:tcPr>
          <w:p>
            <w:pPr>
              <w:pStyle w:val="TableContents"/>
              <w:bidi w:val="0"/>
              <w:spacing w:before="0" w:after="283"/>
              <w:jc w:val="left"/>
              <w:rPr/>
            </w:pPr>
            <w:hyperlink w:anchor="ta_020">
              <w:r>
                <w:rPr>
                  <w:rStyle w:val="InternetLink"/>
                  <w:rFonts w:ascii="Times New Roman;Times;Serif" w:hAnsi="Times New Roman;Times;Serif"/>
                  <w:b w:val="false"/>
                  <w:i w:val="false"/>
                  <w:caps w:val="false"/>
                  <w:smallCaps w:val="false"/>
                  <w:sz w:val="20"/>
                </w:rPr>
                <w:t>UNAUDITED PRO FORMA CONDENSED COMBINED FINANCIAL STATEMENTS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9500" w:type="dxa"/>
            <w:tcBorders/>
            <w:shd w:fill="FFFFFF" w:val="clear"/>
            <w:vAlign w:val="center"/>
          </w:tcPr>
          <w:p>
            <w:pPr>
              <w:pStyle w:val="TableContents"/>
              <w:bidi w:val="0"/>
              <w:spacing w:before="0" w:after="283"/>
              <w:jc w:val="left"/>
              <w:rPr/>
            </w:pPr>
            <w:hyperlink w:anchor="ta_021">
              <w:r>
                <w:rPr>
                  <w:rStyle w:val="InternetLink"/>
                  <w:rFonts w:ascii="Times New Roman;Times;Serif" w:hAnsi="Times New Roman;Times;Serif"/>
                  <w:b w:val="false"/>
                  <w:i w:val="false"/>
                  <w:caps w:val="false"/>
                  <w:smallCaps w:val="false"/>
                  <w:sz w:val="20"/>
                </w:rPr>
                <w:t>MARKET PRICE AND DIVIDEND INFORMATION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9500" w:type="dxa"/>
            <w:tcBorders/>
            <w:shd w:fill="CCEEFF" w:val="clear"/>
            <w:vAlign w:val="center"/>
          </w:tcPr>
          <w:p>
            <w:pPr>
              <w:pStyle w:val="TableContents"/>
              <w:bidi w:val="0"/>
              <w:spacing w:before="0" w:after="283"/>
              <w:jc w:val="left"/>
              <w:rPr/>
            </w:pPr>
            <w:hyperlink w:anchor="ta_022">
              <w:r>
                <w:rPr>
                  <w:rStyle w:val="InternetLink"/>
                  <w:rFonts w:ascii="Times New Roman;Times;Serif" w:hAnsi="Times New Roman;Times;Serif"/>
                  <w:b w:val="false"/>
                  <w:i w:val="false"/>
                  <w:caps w:val="false"/>
                  <w:smallCaps w:val="false"/>
                  <w:sz w:val="20"/>
                </w:rPr>
                <w:t>Parent Common Stock</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9500" w:type="dxa"/>
            <w:tcBorders/>
            <w:shd w:fill="FFFFFF" w:val="clear"/>
            <w:vAlign w:val="center"/>
          </w:tcPr>
          <w:p>
            <w:pPr>
              <w:pStyle w:val="TableContents"/>
              <w:bidi w:val="0"/>
              <w:spacing w:before="0" w:after="283"/>
              <w:jc w:val="left"/>
              <w:rPr/>
            </w:pPr>
            <w:hyperlink w:anchor="ta_023">
              <w:r>
                <w:rPr>
                  <w:rStyle w:val="InternetLink"/>
                  <w:rFonts w:ascii="Times New Roman;Times;Serif" w:hAnsi="Times New Roman;Times;Serif"/>
                  <w:b w:val="false"/>
                  <w:i w:val="false"/>
                  <w:caps w:val="false"/>
                  <w:smallCaps w:val="false"/>
                  <w:sz w:val="20"/>
                </w:rPr>
                <w:t>RISK FACTORS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9500" w:type="dxa"/>
            <w:tcBorders/>
            <w:shd w:fill="CCEEFF" w:val="clear"/>
            <w:vAlign w:val="center"/>
          </w:tcPr>
          <w:p>
            <w:pPr>
              <w:pStyle w:val="TableContents"/>
              <w:bidi w:val="0"/>
              <w:spacing w:before="0" w:after="283"/>
              <w:jc w:val="left"/>
              <w:rPr/>
            </w:pPr>
            <w:hyperlink w:anchor="ta_024">
              <w:r>
                <w:rPr>
                  <w:rStyle w:val="InternetLink"/>
                  <w:rFonts w:ascii="Times New Roman;Times;Serif" w:hAnsi="Times New Roman;Times;Serif"/>
                  <w:b w:val="false"/>
                  <w:i w:val="false"/>
                  <w:caps w:val="false"/>
                  <w:smallCaps w:val="false"/>
                  <w:sz w:val="20"/>
                </w:rPr>
                <w:t>Risks Related to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9500" w:type="dxa"/>
            <w:tcBorders/>
            <w:shd w:fill="FFFFFF" w:val="clear"/>
            <w:vAlign w:val="center"/>
          </w:tcPr>
          <w:p>
            <w:pPr>
              <w:pStyle w:val="TableContents"/>
              <w:bidi w:val="0"/>
              <w:spacing w:before="0" w:after="283"/>
              <w:jc w:val="left"/>
              <w:rPr/>
            </w:pPr>
            <w:hyperlink w:anchor="ta_025">
              <w:r>
                <w:rPr>
                  <w:rStyle w:val="InternetLink"/>
                  <w:rFonts w:ascii="Times New Roman;Times;Serif" w:hAnsi="Times New Roman;Times;Serif"/>
                  <w:b w:val="false"/>
                  <w:i w:val="false"/>
                  <w:caps w:val="false"/>
                  <w:smallCaps w:val="false"/>
                  <w:sz w:val="20"/>
                </w:rPr>
                <w:t>Risks Related to Bio Green Med Solution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9500" w:type="dxa"/>
            <w:tcBorders/>
            <w:shd w:fill="CCEEFF" w:val="clear"/>
            <w:vAlign w:val="center"/>
          </w:tcPr>
          <w:p>
            <w:pPr>
              <w:pStyle w:val="TableContents"/>
              <w:bidi w:val="0"/>
              <w:spacing w:before="0" w:after="283"/>
              <w:jc w:val="left"/>
              <w:rPr/>
            </w:pPr>
            <w:hyperlink w:anchor="ak_001">
              <w:r>
                <w:rPr>
                  <w:rStyle w:val="InternetLink"/>
                  <w:rFonts w:ascii="Times New Roman;Times;Serif" w:hAnsi="Times New Roman;Times;Serif"/>
                  <w:b w:val="false"/>
                  <w:i w:val="false"/>
                  <w:caps w:val="false"/>
                  <w:smallCaps w:val="false"/>
                  <w:sz w:val="20"/>
                </w:rPr>
                <w:t>Risks Related to Future NRG Sdn. Bhd.</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9500" w:type="dxa"/>
            <w:tcBorders/>
            <w:shd w:fill="FFFFFF" w:val="clear"/>
            <w:vAlign w:val="center"/>
          </w:tcPr>
          <w:p>
            <w:pPr>
              <w:pStyle w:val="TableContents"/>
              <w:bidi w:val="0"/>
              <w:spacing w:before="0" w:after="283"/>
              <w:jc w:val="left"/>
              <w:rPr/>
            </w:pPr>
            <w:hyperlink w:anchor="ak_002">
              <w:r>
                <w:rPr>
                  <w:rStyle w:val="InternetLink"/>
                  <w:rFonts w:ascii="Times New Roman;Times;Serif" w:hAnsi="Times New Roman;Times;Serif"/>
                  <w:b w:val="false"/>
                  <w:i w:val="false"/>
                  <w:caps w:val="false"/>
                  <w:smallCaps w:val="false"/>
                  <w:sz w:val="20"/>
                </w:rPr>
                <w:t>Risks Related to our Common Stock following the Effective Date of the Transaction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9500" w:type="dxa"/>
            <w:tcBorders/>
            <w:shd w:fill="CCEEFF" w:val="clear"/>
            <w:vAlign w:val="center"/>
          </w:tcPr>
          <w:p>
            <w:pPr>
              <w:pStyle w:val="TableContents"/>
              <w:bidi w:val="0"/>
              <w:spacing w:before="0" w:after="283"/>
              <w:jc w:val="left"/>
              <w:rPr/>
            </w:pPr>
            <w:hyperlink w:anchor="ak_003">
              <w:r>
                <w:rPr>
                  <w:rStyle w:val="InternetLink"/>
                  <w:rFonts w:ascii="Times New Roman;Times;Serif" w:hAnsi="Times New Roman;Times;Serif"/>
                  <w:b w:val="false"/>
                  <w:i w:val="false"/>
                  <w:caps w:val="false"/>
                  <w:smallCaps w:val="false"/>
                  <w:sz w:val="20"/>
                </w:rPr>
                <w:t>CAUTIONARY STATEMENT REGARDING FORWARD-LOOKING STATEMENTS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9500" w:type="dxa"/>
            <w:tcBorders/>
            <w:shd w:fill="FFFFFF" w:val="clear"/>
            <w:vAlign w:val="center"/>
          </w:tcPr>
          <w:p>
            <w:pPr>
              <w:pStyle w:val="TableContents"/>
              <w:bidi w:val="0"/>
              <w:spacing w:before="0" w:after="283"/>
              <w:jc w:val="left"/>
              <w:rPr/>
            </w:pPr>
            <w:hyperlink w:anchor="ak_004">
              <w:r>
                <w:rPr>
                  <w:rStyle w:val="InternetLink"/>
                  <w:rFonts w:ascii="Times New Roman;Times;Serif" w:hAnsi="Times New Roman;Times;Serif"/>
                  <w:b w:val="false"/>
                  <w:i w:val="false"/>
                  <w:caps w:val="false"/>
                  <w:smallCaps w:val="false"/>
                  <w:sz w:val="20"/>
                </w:rPr>
                <w:t>THE SPECIAL MEETING OF STOCKHOLDERS OF BIO GREEN MED SOLUTION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9500" w:type="dxa"/>
            <w:tcBorders/>
            <w:shd w:fill="CCEEFF" w:val="clear"/>
            <w:vAlign w:val="center"/>
          </w:tcPr>
          <w:p>
            <w:pPr>
              <w:pStyle w:val="TableContents"/>
              <w:bidi w:val="0"/>
              <w:spacing w:before="0" w:after="283"/>
              <w:jc w:val="left"/>
              <w:rPr/>
            </w:pPr>
            <w:hyperlink w:anchor="ak_005">
              <w:r>
                <w:rPr>
                  <w:rStyle w:val="InternetLink"/>
                  <w:rFonts w:ascii="Times New Roman;Times;Serif" w:hAnsi="Times New Roman;Times;Serif"/>
                  <w:b w:val="false"/>
                  <w:i w:val="false"/>
                  <w:caps w:val="false"/>
                  <w:smallCaps w:val="false"/>
                  <w:sz w:val="20"/>
                </w:rPr>
                <w:t>Date, Time and Place</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9500" w:type="dxa"/>
            <w:tcBorders/>
            <w:shd w:fill="FFFFFF" w:val="clear"/>
            <w:vAlign w:val="center"/>
          </w:tcPr>
          <w:p>
            <w:pPr>
              <w:pStyle w:val="TableContents"/>
              <w:bidi w:val="0"/>
              <w:spacing w:before="0" w:after="283"/>
              <w:jc w:val="left"/>
              <w:rPr/>
            </w:pPr>
            <w:hyperlink w:anchor="ak_006">
              <w:r>
                <w:rPr>
                  <w:rStyle w:val="InternetLink"/>
                  <w:rFonts w:ascii="Times New Roman;Times;Serif" w:hAnsi="Times New Roman;Times;Serif"/>
                  <w:b w:val="false"/>
                  <w:i w:val="false"/>
                  <w:caps w:val="false"/>
                  <w:smallCaps w:val="false"/>
                  <w:sz w:val="20"/>
                </w:rPr>
                <w:t>Purposes of the Special Meeting</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9500" w:type="dxa"/>
            <w:tcBorders/>
            <w:shd w:fill="CCEEFF" w:val="clear"/>
            <w:vAlign w:val="center"/>
          </w:tcPr>
          <w:p>
            <w:pPr>
              <w:pStyle w:val="TableContents"/>
              <w:bidi w:val="0"/>
              <w:spacing w:before="0" w:after="283"/>
              <w:jc w:val="left"/>
              <w:rPr/>
            </w:pPr>
            <w:hyperlink w:anchor="ak_007">
              <w:r>
                <w:rPr>
                  <w:rStyle w:val="InternetLink"/>
                  <w:rFonts w:ascii="Times New Roman;Times;Serif" w:hAnsi="Times New Roman;Times;Serif"/>
                  <w:b w:val="false"/>
                  <w:i w:val="false"/>
                  <w:caps w:val="false"/>
                  <w:smallCaps w:val="false"/>
                  <w:sz w:val="20"/>
                </w:rPr>
                <w:t>Recommendation of the Board of Directors of Bio Green Med Solution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9500" w:type="dxa"/>
            <w:tcBorders/>
            <w:shd w:fill="FFFFFF" w:val="clear"/>
            <w:vAlign w:val="center"/>
          </w:tcPr>
          <w:p>
            <w:pPr>
              <w:pStyle w:val="TableContents"/>
              <w:bidi w:val="0"/>
              <w:spacing w:before="0" w:after="283"/>
              <w:jc w:val="left"/>
              <w:rPr/>
            </w:pPr>
            <w:hyperlink w:anchor="ak_008">
              <w:r>
                <w:rPr>
                  <w:rStyle w:val="InternetLink"/>
                  <w:rFonts w:ascii="Times New Roman;Times;Serif" w:hAnsi="Times New Roman;Times;Serif"/>
                  <w:b w:val="false"/>
                  <w:i w:val="false"/>
                  <w:caps w:val="false"/>
                  <w:smallCaps w:val="false"/>
                  <w:sz w:val="20"/>
                </w:rPr>
                <w:t>Record Date and Voting Power</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9500" w:type="dxa"/>
            <w:tcBorders/>
            <w:shd w:fill="CCEEFF" w:val="clear"/>
            <w:vAlign w:val="center"/>
          </w:tcPr>
          <w:p>
            <w:pPr>
              <w:pStyle w:val="TableContents"/>
              <w:bidi w:val="0"/>
              <w:spacing w:before="0" w:after="283"/>
              <w:jc w:val="left"/>
              <w:rPr/>
            </w:pPr>
            <w:hyperlink w:anchor="ak_009">
              <w:r>
                <w:rPr>
                  <w:rStyle w:val="InternetLink"/>
                  <w:rFonts w:ascii="Times New Roman;Times;Serif" w:hAnsi="Times New Roman;Times;Serif"/>
                  <w:b w:val="false"/>
                  <w:i w:val="false"/>
                  <w:caps w:val="false"/>
                  <w:smallCaps w:val="false"/>
                  <w:sz w:val="20"/>
                </w:rPr>
                <w:t>Voting and Revocation of Proxies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9500" w:type="dxa"/>
            <w:tcBorders/>
            <w:shd w:fill="FFFFFF" w:val="clear"/>
            <w:vAlign w:val="center"/>
          </w:tcPr>
          <w:p>
            <w:pPr>
              <w:pStyle w:val="TableContents"/>
              <w:bidi w:val="0"/>
              <w:spacing w:before="0" w:after="283"/>
              <w:jc w:val="left"/>
              <w:rPr/>
            </w:pPr>
            <w:hyperlink w:anchor="ak_010">
              <w:r>
                <w:rPr>
                  <w:rStyle w:val="InternetLink"/>
                  <w:rFonts w:ascii="Times New Roman;Times;Serif" w:hAnsi="Times New Roman;Times;Serif"/>
                  <w:b w:val="false"/>
                  <w:i w:val="false"/>
                  <w:caps w:val="false"/>
                  <w:smallCaps w:val="false"/>
                  <w:sz w:val="20"/>
                </w:rPr>
                <w:t>Required Vote</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9500" w:type="dxa"/>
            <w:tcBorders/>
            <w:shd w:fill="CCEEFF" w:val="clear"/>
            <w:vAlign w:val="center"/>
          </w:tcPr>
          <w:p>
            <w:pPr>
              <w:pStyle w:val="TableContents"/>
              <w:bidi w:val="0"/>
              <w:spacing w:before="0" w:after="283"/>
              <w:jc w:val="left"/>
              <w:rPr/>
            </w:pPr>
            <w:hyperlink w:anchor="ak_011">
              <w:r>
                <w:rPr>
                  <w:rStyle w:val="InternetLink"/>
                  <w:rFonts w:ascii="Times New Roman;Times;Serif" w:hAnsi="Times New Roman;Times;Serif"/>
                  <w:b w:val="false"/>
                  <w:i w:val="false"/>
                  <w:caps w:val="false"/>
                  <w:smallCaps w:val="false"/>
                  <w:sz w:val="20"/>
                </w:rPr>
                <w:t>Solicitation of Proxies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9500" w:type="dxa"/>
            <w:tcBorders/>
            <w:shd w:fill="FFFFFF" w:val="clear"/>
            <w:vAlign w:val="center"/>
          </w:tcPr>
          <w:p>
            <w:pPr>
              <w:pStyle w:val="TableContents"/>
              <w:bidi w:val="0"/>
              <w:spacing w:before="0" w:after="283"/>
              <w:jc w:val="left"/>
              <w:rPr/>
            </w:pPr>
            <w:hyperlink w:anchor="ak_012">
              <w:r>
                <w:rPr>
                  <w:rStyle w:val="InternetLink"/>
                  <w:rFonts w:ascii="Times New Roman;Times;Serif" w:hAnsi="Times New Roman;Times;Serif"/>
                  <w:b w:val="false"/>
                  <w:i w:val="false"/>
                  <w:caps w:val="false"/>
                  <w:smallCaps w:val="false"/>
                  <w:sz w:val="20"/>
                </w:rPr>
                <w:t>Other Matters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9500" w:type="dxa"/>
            <w:tcBorders/>
            <w:shd w:fill="CCEEFF" w:val="clear"/>
            <w:vAlign w:val="center"/>
          </w:tcPr>
          <w:p>
            <w:pPr>
              <w:pStyle w:val="TableContents"/>
              <w:bidi w:val="0"/>
              <w:spacing w:before="0" w:after="283"/>
              <w:jc w:val="left"/>
              <w:rPr/>
            </w:pPr>
            <w:hyperlink w:anchor="ak_013">
              <w:r>
                <w:rPr>
                  <w:rStyle w:val="InternetLink"/>
                  <w:rFonts w:ascii="Times New Roman;Times;Serif" w:hAnsi="Times New Roman;Times;Serif"/>
                  <w:b w:val="false"/>
                  <w:i w:val="false"/>
                  <w:caps w:val="false"/>
                  <w:smallCaps w:val="false"/>
                  <w:sz w:val="20"/>
                </w:rPr>
                <w:t>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9500" w:type="dxa"/>
            <w:tcBorders/>
            <w:shd w:fill="FFFFFF" w:val="clear"/>
            <w:vAlign w:val="center"/>
          </w:tcPr>
          <w:p>
            <w:pPr>
              <w:pStyle w:val="TableContents"/>
              <w:bidi w:val="0"/>
              <w:spacing w:before="0" w:after="283"/>
              <w:jc w:val="left"/>
              <w:rPr/>
            </w:pPr>
            <w:hyperlink w:anchor="ak_014">
              <w:r>
                <w:rPr>
                  <w:rStyle w:val="InternetLink"/>
                  <w:rFonts w:ascii="Times New Roman;Times;Serif" w:hAnsi="Times New Roman;Times;Serif"/>
                  <w:b w:val="false"/>
                  <w:i w:val="false"/>
                  <w:caps w:val="false"/>
                  <w:smallCaps w:val="false"/>
                  <w:sz w:val="20"/>
                </w:rPr>
                <w:t>Background of the Transaction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9500" w:type="dxa"/>
            <w:tcBorders/>
            <w:shd w:fill="CCEEFF" w:val="clear"/>
            <w:vAlign w:val="center"/>
          </w:tcPr>
          <w:p>
            <w:pPr>
              <w:pStyle w:val="TableContents"/>
              <w:bidi w:val="0"/>
              <w:spacing w:before="0" w:after="283"/>
              <w:jc w:val="left"/>
              <w:rPr/>
            </w:pPr>
            <w:hyperlink w:anchor="ak_015">
              <w:r>
                <w:rPr>
                  <w:rStyle w:val="InternetLink"/>
                  <w:rFonts w:ascii="Times New Roman;Times;Serif" w:hAnsi="Times New Roman;Times;Serif"/>
                  <w:b w:val="false"/>
                  <w:i w:val="false"/>
                  <w:caps w:val="false"/>
                  <w:smallCaps w:val="false"/>
                  <w:sz w:val="20"/>
                </w:rPr>
                <w:t>BGMS Management Reasons for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9500" w:type="dxa"/>
            <w:tcBorders/>
            <w:shd w:fill="FFFFFF" w:val="clear"/>
            <w:vAlign w:val="center"/>
          </w:tcPr>
          <w:p>
            <w:pPr>
              <w:pStyle w:val="TableContents"/>
              <w:bidi w:val="0"/>
              <w:spacing w:before="0" w:after="283"/>
              <w:jc w:val="left"/>
              <w:rPr/>
            </w:pPr>
            <w:hyperlink w:anchor="ak_016">
              <w:r>
                <w:rPr>
                  <w:rStyle w:val="InternetLink"/>
                  <w:rFonts w:ascii="Times New Roman;Times;Serif" w:hAnsi="Times New Roman;Times;Serif"/>
                  <w:b w:val="false"/>
                  <w:i w:val="false"/>
                  <w:caps w:val="false"/>
                  <w:smallCaps w:val="false"/>
                  <w:sz w:val="20"/>
                </w:rPr>
                <w:t>Fairness Opinion of Strategic Capital Advisory Sdn. Bhd. of Future NRG Sdn. Bhd.</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9500" w:type="dxa"/>
            <w:tcBorders/>
            <w:shd w:fill="CCEEFF" w:val="clear"/>
            <w:vAlign w:val="center"/>
          </w:tcPr>
          <w:p>
            <w:pPr>
              <w:pStyle w:val="TableContents"/>
              <w:bidi w:val="0"/>
              <w:spacing w:before="0" w:after="283"/>
              <w:jc w:val="left"/>
              <w:rPr/>
            </w:pPr>
            <w:hyperlink w:anchor="ak_017">
              <w:r>
                <w:rPr>
                  <w:rStyle w:val="InternetLink"/>
                  <w:rFonts w:ascii="Times New Roman;Times;Serif" w:hAnsi="Times New Roman;Times;Serif"/>
                  <w:b w:val="false"/>
                  <w:i w:val="false"/>
                  <w:caps w:val="false"/>
                  <w:smallCaps w:val="false"/>
                  <w:sz w:val="20"/>
                </w:rPr>
                <w:t>Future NRG Reasons for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r>
      <w:tr>
        <w:trPr/>
        <w:tc>
          <w:tcPr>
            <w:tcW w:w="9500" w:type="dxa"/>
            <w:tcBorders/>
            <w:shd w:fill="FFFFFF" w:val="clear"/>
            <w:vAlign w:val="center"/>
          </w:tcPr>
          <w:p>
            <w:pPr>
              <w:pStyle w:val="TableContents"/>
              <w:bidi w:val="0"/>
              <w:spacing w:before="0" w:after="283"/>
              <w:jc w:val="left"/>
              <w:rPr/>
            </w:pPr>
            <w:hyperlink w:anchor="ak_018">
              <w:r>
                <w:rPr>
                  <w:rStyle w:val="InternetLink"/>
                  <w:rFonts w:ascii="Times New Roman;Times;Serif" w:hAnsi="Times New Roman;Times;Serif"/>
                  <w:b w:val="false"/>
                  <w:i w:val="false"/>
                  <w:caps w:val="false"/>
                  <w:smallCaps w:val="false"/>
                  <w:sz w:val="20"/>
                </w:rPr>
                <w:t>Interests of the Directors and Executive Officers of Bio Green Med Solution in the Transaction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r>
      <w:tr>
        <w:trPr/>
        <w:tc>
          <w:tcPr>
            <w:tcW w:w="9500" w:type="dxa"/>
            <w:tcBorders/>
            <w:shd w:fill="CCEEFF" w:val="clear"/>
            <w:vAlign w:val="center"/>
          </w:tcPr>
          <w:p>
            <w:pPr>
              <w:pStyle w:val="TableContents"/>
              <w:bidi w:val="0"/>
              <w:spacing w:before="0" w:after="283"/>
              <w:jc w:val="left"/>
              <w:rPr/>
            </w:pPr>
            <w:hyperlink w:anchor="ak_019">
              <w:r>
                <w:rPr>
                  <w:rStyle w:val="InternetLink"/>
                  <w:rFonts w:ascii="Times New Roman;Times;Serif" w:hAnsi="Times New Roman;Times;Serif"/>
                  <w:b w:val="false"/>
                  <w:i w:val="false"/>
                  <w:caps w:val="false"/>
                  <w:smallCaps w:val="false"/>
                  <w:sz w:val="20"/>
                </w:rPr>
                <w:t>Interests of the Directors and Executive Officers of Future NRG Sdn. Bhd. in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r>
      <w:tr>
        <w:trPr/>
        <w:tc>
          <w:tcPr>
            <w:tcW w:w="9500" w:type="dxa"/>
            <w:tcBorders/>
            <w:shd w:fill="FFFFFF" w:val="clear"/>
            <w:vAlign w:val="center"/>
          </w:tcPr>
          <w:p>
            <w:pPr>
              <w:pStyle w:val="TableContents"/>
              <w:bidi w:val="0"/>
              <w:spacing w:before="0" w:after="283"/>
              <w:jc w:val="left"/>
              <w:rPr/>
            </w:pPr>
            <w:hyperlink w:anchor="ak_020">
              <w:r>
                <w:rPr>
                  <w:rStyle w:val="InternetLink"/>
                  <w:rFonts w:ascii="Times New Roman;Times;Serif" w:hAnsi="Times New Roman;Times;Serif"/>
                  <w:b w:val="false"/>
                  <w:i w:val="false"/>
                  <w:caps w:val="false"/>
                  <w:smallCaps w:val="false"/>
                  <w:sz w:val="20"/>
                </w:rPr>
                <w:t>Form of the Transaction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r>
      <w:tr>
        <w:trPr/>
        <w:tc>
          <w:tcPr>
            <w:tcW w:w="9500" w:type="dxa"/>
            <w:tcBorders/>
            <w:shd w:fill="CCEEFF" w:val="clear"/>
            <w:vAlign w:val="center"/>
          </w:tcPr>
          <w:p>
            <w:pPr>
              <w:pStyle w:val="TableContents"/>
              <w:bidi w:val="0"/>
              <w:spacing w:before="0" w:after="283"/>
              <w:jc w:val="left"/>
              <w:rPr/>
            </w:pPr>
            <w:hyperlink w:anchor="ak_021">
              <w:r>
                <w:rPr>
                  <w:rStyle w:val="InternetLink"/>
                  <w:rFonts w:ascii="Times New Roman;Times;Serif" w:hAnsi="Times New Roman;Times;Serif"/>
                  <w:b w:val="false"/>
                  <w:i w:val="false"/>
                  <w:caps w:val="false"/>
                  <w:smallCaps w:val="false"/>
                  <w:sz w:val="20"/>
                </w:rPr>
                <w:t>Transaction Consideration and Exchange Shares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r>
      <w:tr>
        <w:trPr/>
        <w:tc>
          <w:tcPr>
            <w:tcW w:w="9500" w:type="dxa"/>
            <w:tcBorders/>
            <w:shd w:fill="FFFFFF" w:val="clear"/>
            <w:vAlign w:val="center"/>
          </w:tcPr>
          <w:p>
            <w:pPr>
              <w:pStyle w:val="TableContents"/>
              <w:bidi w:val="0"/>
              <w:spacing w:before="0" w:after="283"/>
              <w:jc w:val="left"/>
              <w:rPr/>
            </w:pPr>
            <w:hyperlink w:anchor="ak_022">
              <w:r>
                <w:rPr>
                  <w:rStyle w:val="InternetLink"/>
                  <w:rFonts w:ascii="Times New Roman;Times;Serif" w:hAnsi="Times New Roman;Times;Serif"/>
                  <w:b w:val="false"/>
                  <w:i w:val="false"/>
                  <w:caps w:val="false"/>
                  <w:smallCaps w:val="false"/>
                  <w:sz w:val="20"/>
                </w:rPr>
                <w:t>Stock Options and Warrants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9500" w:type="dxa"/>
            <w:tcBorders/>
            <w:shd w:fill="CCEEFF" w:val="clear"/>
            <w:vAlign w:val="center"/>
          </w:tcPr>
          <w:p>
            <w:pPr>
              <w:pStyle w:val="TableContents"/>
              <w:bidi w:val="0"/>
              <w:spacing w:before="0" w:after="283"/>
              <w:jc w:val="left"/>
              <w:rPr/>
            </w:pPr>
            <w:hyperlink w:anchor="ak_023">
              <w:r>
                <w:rPr>
                  <w:rStyle w:val="InternetLink"/>
                  <w:rFonts w:ascii="Times New Roman;Times;Serif" w:hAnsi="Times New Roman;Times;Serif"/>
                  <w:b w:val="false"/>
                  <w:i w:val="false"/>
                  <w:caps w:val="false"/>
                  <w:smallCaps w:val="false"/>
                  <w:sz w:val="20"/>
                </w:rPr>
                <w:t>Closing Time of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9500" w:type="dxa"/>
            <w:tcBorders/>
            <w:shd w:fill="FFFFFF" w:val="clear"/>
            <w:vAlign w:val="center"/>
          </w:tcPr>
          <w:p>
            <w:pPr>
              <w:pStyle w:val="TableContents"/>
              <w:bidi w:val="0"/>
              <w:spacing w:before="0" w:after="283"/>
              <w:jc w:val="left"/>
              <w:rPr/>
            </w:pPr>
            <w:hyperlink w:anchor="ak_024">
              <w:r>
                <w:rPr>
                  <w:rStyle w:val="InternetLink"/>
                  <w:rFonts w:ascii="Times New Roman;Times;Serif" w:hAnsi="Times New Roman;Times;Serif"/>
                  <w:b w:val="false"/>
                  <w:i w:val="false"/>
                  <w:caps w:val="false"/>
                  <w:smallCaps w:val="false"/>
                  <w:sz w:val="20"/>
                </w:rPr>
                <w:t>Regulatory Approvals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bl>
    <w:p>
      <w:pPr>
        <w:pStyle w:val="TextBody"/>
        <w:bidi w:val="0"/>
        <w:spacing w:before="0" w:after="0"/>
        <w:ind w:left="0" w:right="0" w:hanging="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07"/>
        <w:gridCol w:w="398"/>
      </w:tblGrid>
      <w:tr>
        <w:trPr/>
        <w:tc>
          <w:tcPr>
            <w:tcW w:w="9807" w:type="dxa"/>
            <w:tcBorders/>
            <w:shd w:fill="CCEEFF" w:val="clear"/>
            <w:vAlign w:val="center"/>
          </w:tcPr>
          <w:p>
            <w:pPr>
              <w:pStyle w:val="TableContents"/>
              <w:bidi w:val="0"/>
              <w:spacing w:before="0" w:after="283"/>
              <w:jc w:val="both"/>
              <w:rPr/>
            </w:pPr>
            <w:hyperlink w:anchor="ak_025">
              <w:r>
                <w:rPr>
                  <w:rStyle w:val="InternetLink"/>
                  <w:rFonts w:ascii="Times New Roman;Times;Serif" w:hAnsi="Times New Roman;Times;Serif"/>
                  <w:b w:val="false"/>
                  <w:i w:val="false"/>
                  <w:caps w:val="false"/>
                  <w:smallCaps w:val="false"/>
                  <w:sz w:val="20"/>
                </w:rPr>
                <w:t xml:space="preserve">Material Malaysian Tax Considerations to the Company’s Shareholder Related to the Transaction </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9807" w:type="dxa"/>
            <w:tcBorders/>
            <w:shd w:fill="FFFFFF" w:val="clear"/>
            <w:vAlign w:val="center"/>
          </w:tcPr>
          <w:p>
            <w:pPr>
              <w:pStyle w:val="TableContents"/>
              <w:bidi w:val="0"/>
              <w:spacing w:before="0" w:after="283"/>
              <w:jc w:val="left"/>
              <w:rPr/>
            </w:pPr>
            <w:hyperlink w:anchor="ak_026">
              <w:r>
                <w:rPr>
                  <w:rStyle w:val="InternetLink"/>
                  <w:rFonts w:ascii="Times New Roman;Times;Serif" w:hAnsi="Times New Roman;Times;Serif"/>
                  <w:b w:val="false"/>
                  <w:i w:val="false"/>
                  <w:caps w:val="false"/>
                  <w:smallCaps w:val="false"/>
                  <w:sz w:val="20"/>
                </w:rPr>
                <w:t>Material U.S. Federal Income Tax Consequences of the Transaction</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r>
      <w:tr>
        <w:trPr/>
        <w:tc>
          <w:tcPr>
            <w:tcW w:w="9807" w:type="dxa"/>
            <w:tcBorders/>
            <w:shd w:fill="CCEEFF" w:val="clear"/>
            <w:vAlign w:val="center"/>
          </w:tcPr>
          <w:p>
            <w:pPr>
              <w:pStyle w:val="TableContents"/>
              <w:bidi w:val="0"/>
              <w:spacing w:before="0" w:after="283"/>
              <w:jc w:val="left"/>
              <w:rPr/>
            </w:pPr>
            <w:hyperlink w:anchor="ak_027">
              <w:r>
                <w:rPr>
                  <w:rStyle w:val="InternetLink"/>
                  <w:rFonts w:ascii="Times New Roman;Times;Serif" w:hAnsi="Times New Roman;Times;Serif"/>
                  <w:b w:val="false"/>
                  <w:i w:val="false"/>
                  <w:caps w:val="false"/>
                  <w:smallCaps w:val="false"/>
                  <w:sz w:val="20"/>
                </w:rPr>
                <w:t>Material Consequences of Ownership and Disposition of Bio Green Med Solution Common Stock</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r>
      <w:tr>
        <w:trPr/>
        <w:tc>
          <w:tcPr>
            <w:tcW w:w="9807" w:type="dxa"/>
            <w:tcBorders/>
            <w:shd w:fill="FFFFFF" w:val="clear"/>
            <w:vAlign w:val="center"/>
          </w:tcPr>
          <w:p>
            <w:pPr>
              <w:pStyle w:val="TableContents"/>
              <w:bidi w:val="0"/>
              <w:spacing w:before="0" w:after="283"/>
              <w:jc w:val="left"/>
              <w:rPr/>
            </w:pPr>
            <w:hyperlink w:anchor="ak_028">
              <w:r>
                <w:rPr>
                  <w:rStyle w:val="InternetLink"/>
                  <w:rFonts w:ascii="Times New Roman;Times;Serif" w:hAnsi="Times New Roman;Times;Serif"/>
                  <w:b w:val="false"/>
                  <w:i w:val="false"/>
                  <w:caps w:val="false"/>
                  <w:smallCaps w:val="false"/>
                  <w:sz w:val="20"/>
                </w:rPr>
                <w:t>Anticipated Accounting Treatment</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9807" w:type="dxa"/>
            <w:tcBorders/>
            <w:shd w:fill="CCEEFF" w:val="clear"/>
            <w:vAlign w:val="center"/>
          </w:tcPr>
          <w:p>
            <w:pPr>
              <w:pStyle w:val="TableContents"/>
              <w:bidi w:val="0"/>
              <w:spacing w:before="0" w:after="283"/>
              <w:jc w:val="left"/>
              <w:rPr/>
            </w:pPr>
            <w:hyperlink w:anchor="ak_029">
              <w:r>
                <w:rPr>
                  <w:rStyle w:val="InternetLink"/>
                  <w:rFonts w:ascii="Times New Roman;Times;Serif" w:hAnsi="Times New Roman;Times;Serif"/>
                  <w:b w:val="false"/>
                  <w:i w:val="false"/>
                  <w:caps w:val="false"/>
                  <w:smallCaps w:val="false"/>
                  <w:sz w:val="20"/>
                </w:rPr>
                <w:t>Nasdaq Stock Market Listing</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9807" w:type="dxa"/>
            <w:tcBorders/>
            <w:shd w:fill="FFFFFF" w:val="clear"/>
            <w:vAlign w:val="center"/>
          </w:tcPr>
          <w:p>
            <w:pPr>
              <w:pStyle w:val="TableContents"/>
              <w:bidi w:val="0"/>
              <w:spacing w:before="0" w:after="283"/>
              <w:jc w:val="left"/>
              <w:rPr/>
            </w:pPr>
            <w:hyperlink w:anchor="ak_030">
              <w:r>
                <w:rPr>
                  <w:rStyle w:val="InternetLink"/>
                  <w:rFonts w:ascii="Times New Roman;Times;Serif" w:hAnsi="Times New Roman;Times;Serif"/>
                  <w:b w:val="false"/>
                  <w:i w:val="false"/>
                  <w:caps w:val="false"/>
                  <w:smallCaps w:val="false"/>
                  <w:sz w:val="20"/>
                </w:rPr>
                <w:t>Appraisal Rights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9807" w:type="dxa"/>
            <w:tcBorders/>
            <w:shd w:fill="CCEEFF" w:val="clear"/>
            <w:vAlign w:val="center"/>
          </w:tcPr>
          <w:p>
            <w:pPr>
              <w:pStyle w:val="TableContents"/>
              <w:bidi w:val="0"/>
              <w:spacing w:before="0" w:after="283"/>
              <w:jc w:val="left"/>
              <w:rPr/>
            </w:pPr>
            <w:hyperlink w:anchor="ak_031">
              <w:r>
                <w:rPr>
                  <w:rStyle w:val="InternetLink"/>
                  <w:rFonts w:ascii="Times New Roman;Times;Serif" w:hAnsi="Times New Roman;Times;Serif"/>
                  <w:b w:val="false"/>
                  <w:i w:val="false"/>
                  <w:caps w:val="false"/>
                  <w:smallCaps w:val="false"/>
                  <w:sz w:val="20"/>
                </w:rPr>
                <w:t>THE BUSINESS COMBINATION AGREEMENT</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r>
      <w:tr>
        <w:trPr/>
        <w:tc>
          <w:tcPr>
            <w:tcW w:w="9807" w:type="dxa"/>
            <w:tcBorders/>
            <w:shd w:fill="FFFFFF" w:val="clear"/>
            <w:vAlign w:val="center"/>
          </w:tcPr>
          <w:p>
            <w:pPr>
              <w:pStyle w:val="TableContents"/>
              <w:bidi w:val="0"/>
              <w:spacing w:before="0" w:after="283"/>
              <w:jc w:val="left"/>
              <w:rPr/>
            </w:pPr>
            <w:hyperlink w:anchor="ak_032">
              <w:r>
                <w:rPr>
                  <w:rStyle w:val="InternetLink"/>
                  <w:rFonts w:ascii="Times New Roman;Times;Serif" w:hAnsi="Times New Roman;Times;Serif"/>
                  <w:b w:val="false"/>
                  <w:i w:val="false"/>
                  <w:caps w:val="false"/>
                  <w:smallCaps w:val="false"/>
                  <w:sz w:val="20"/>
                </w:rPr>
                <w:t>Structure</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r>
      <w:tr>
        <w:trPr/>
        <w:tc>
          <w:tcPr>
            <w:tcW w:w="9807" w:type="dxa"/>
            <w:tcBorders/>
            <w:shd w:fill="CCEEFF" w:val="clear"/>
            <w:vAlign w:val="center"/>
          </w:tcPr>
          <w:p>
            <w:pPr>
              <w:pStyle w:val="TableContents"/>
              <w:bidi w:val="0"/>
              <w:spacing w:before="0" w:after="283"/>
              <w:jc w:val="left"/>
              <w:rPr/>
            </w:pPr>
            <w:hyperlink w:anchor="ak_033">
              <w:r>
                <w:rPr>
                  <w:rStyle w:val="InternetLink"/>
                  <w:rFonts w:ascii="Times New Roman;Times;Serif" w:hAnsi="Times New Roman;Times;Serif"/>
                  <w:b w:val="false"/>
                  <w:i w:val="false"/>
                  <w:caps w:val="false"/>
                  <w:smallCaps w:val="false"/>
                  <w:sz w:val="20"/>
                </w:rPr>
                <w:t>Completion and Effectiveness of the Transaction</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9807" w:type="dxa"/>
            <w:tcBorders/>
            <w:shd w:fill="FFFFFF" w:val="clear"/>
            <w:vAlign w:val="center"/>
          </w:tcPr>
          <w:p>
            <w:pPr>
              <w:pStyle w:val="TableContents"/>
              <w:bidi w:val="0"/>
              <w:spacing w:before="0" w:after="283"/>
              <w:jc w:val="left"/>
              <w:rPr/>
            </w:pPr>
            <w:hyperlink w:anchor="gg_001">
              <w:r>
                <w:rPr>
                  <w:rStyle w:val="InternetLink"/>
                  <w:rFonts w:ascii="Times New Roman;Times;Serif" w:hAnsi="Times New Roman;Times;Serif"/>
                  <w:b w:val="false"/>
                  <w:i w:val="false"/>
                  <w:caps w:val="false"/>
                  <w:smallCaps w:val="false"/>
                  <w:sz w:val="20"/>
                </w:rPr>
                <w:t>Parent Common Stock</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r>
      <w:tr>
        <w:trPr/>
        <w:tc>
          <w:tcPr>
            <w:tcW w:w="9807" w:type="dxa"/>
            <w:tcBorders/>
            <w:shd w:fill="CCEEFF" w:val="clear"/>
            <w:vAlign w:val="center"/>
          </w:tcPr>
          <w:p>
            <w:pPr>
              <w:pStyle w:val="TableContents"/>
              <w:bidi w:val="0"/>
              <w:spacing w:before="0" w:after="283"/>
              <w:jc w:val="left"/>
              <w:rPr/>
            </w:pPr>
            <w:hyperlink w:anchor="DA_001">
              <w:r>
                <w:rPr>
                  <w:rStyle w:val="InternetLink"/>
                  <w:rFonts w:ascii="Times New Roman;Times;Serif" w:hAnsi="Times New Roman;Times;Serif"/>
                  <w:b w:val="false"/>
                  <w:i w:val="false"/>
                  <w:caps w:val="false"/>
                  <w:smallCaps w:val="false"/>
                  <w:sz w:val="20"/>
                </w:rPr>
                <w:t>Fractional Shares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r>
      <w:tr>
        <w:trPr/>
        <w:tc>
          <w:tcPr>
            <w:tcW w:w="9807" w:type="dxa"/>
            <w:tcBorders/>
            <w:shd w:fill="FFFFFF" w:val="clear"/>
            <w:vAlign w:val="center"/>
          </w:tcPr>
          <w:p>
            <w:pPr>
              <w:pStyle w:val="TableContents"/>
              <w:bidi w:val="0"/>
              <w:spacing w:before="0" w:after="283"/>
              <w:jc w:val="left"/>
              <w:rPr/>
            </w:pPr>
            <w:hyperlink w:anchor="ak_035">
              <w:r>
                <w:rPr>
                  <w:rStyle w:val="InternetLink"/>
                  <w:rFonts w:ascii="Times New Roman;Times;Serif" w:hAnsi="Times New Roman;Times;Serif"/>
                  <w:b w:val="false"/>
                  <w:i w:val="false"/>
                  <w:caps w:val="false"/>
                  <w:smallCaps w:val="false"/>
                  <w:sz w:val="20"/>
                </w:rPr>
                <w:t>Representations and Warranties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r>
      <w:tr>
        <w:trPr/>
        <w:tc>
          <w:tcPr>
            <w:tcW w:w="9807" w:type="dxa"/>
            <w:tcBorders/>
            <w:shd w:fill="CCEEFF" w:val="clear"/>
            <w:vAlign w:val="center"/>
          </w:tcPr>
          <w:p>
            <w:pPr>
              <w:pStyle w:val="TableContents"/>
              <w:bidi w:val="0"/>
              <w:spacing w:before="0" w:after="283"/>
              <w:jc w:val="left"/>
              <w:rPr/>
            </w:pPr>
            <w:hyperlink w:anchor="ak_036">
              <w:r>
                <w:rPr>
                  <w:rStyle w:val="InternetLink"/>
                  <w:rFonts w:ascii="Times New Roman;Times;Serif" w:hAnsi="Times New Roman;Times;Serif"/>
                  <w:b w:val="false"/>
                  <w:i w:val="false"/>
                  <w:caps w:val="false"/>
                  <w:smallCaps w:val="false"/>
                  <w:sz w:val="20"/>
                </w:rPr>
                <w:t>Covenants; Conduct of Business Pending the Transaction</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r>
      <w:tr>
        <w:trPr/>
        <w:tc>
          <w:tcPr>
            <w:tcW w:w="9807" w:type="dxa"/>
            <w:tcBorders/>
            <w:shd w:fill="FFFFFF" w:val="clear"/>
            <w:vAlign w:val="center"/>
          </w:tcPr>
          <w:p>
            <w:pPr>
              <w:pStyle w:val="TableContents"/>
              <w:bidi w:val="0"/>
              <w:spacing w:before="0" w:after="283"/>
              <w:jc w:val="left"/>
              <w:rPr/>
            </w:pPr>
            <w:hyperlink w:anchor="ak_037">
              <w:r>
                <w:rPr>
                  <w:rStyle w:val="InternetLink"/>
                  <w:rFonts w:ascii="Times New Roman;Times;Serif" w:hAnsi="Times New Roman;Times;Serif"/>
                  <w:b w:val="false"/>
                  <w:i w:val="false"/>
                  <w:caps w:val="false"/>
                  <w:smallCaps w:val="false"/>
                  <w:sz w:val="20"/>
                </w:rPr>
                <w:t>Disclosure Documents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r>
      <w:tr>
        <w:trPr/>
        <w:tc>
          <w:tcPr>
            <w:tcW w:w="9807" w:type="dxa"/>
            <w:tcBorders/>
            <w:shd w:fill="CCEEFF" w:val="clear"/>
            <w:vAlign w:val="center"/>
          </w:tcPr>
          <w:p>
            <w:pPr>
              <w:pStyle w:val="TableContents"/>
              <w:bidi w:val="0"/>
              <w:spacing w:before="0" w:after="283"/>
              <w:jc w:val="left"/>
              <w:rPr/>
            </w:pPr>
            <w:hyperlink w:anchor="ak_038">
              <w:r>
                <w:rPr>
                  <w:rStyle w:val="InternetLink"/>
                  <w:rFonts w:ascii="Times New Roman;Times;Serif" w:hAnsi="Times New Roman;Times;Serif"/>
                  <w:b w:val="false"/>
                  <w:i w:val="false"/>
                  <w:caps w:val="false"/>
                  <w:smallCaps w:val="false"/>
                  <w:sz w:val="20"/>
                </w:rPr>
                <w:t>Meeting of Bio Green Med Solution Stockholders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r>
      <w:tr>
        <w:trPr/>
        <w:tc>
          <w:tcPr>
            <w:tcW w:w="9807" w:type="dxa"/>
            <w:tcBorders/>
            <w:shd w:fill="FFFFFF" w:val="clear"/>
            <w:vAlign w:val="center"/>
          </w:tcPr>
          <w:p>
            <w:pPr>
              <w:pStyle w:val="TableContents"/>
              <w:bidi w:val="0"/>
              <w:spacing w:before="0" w:after="283"/>
              <w:jc w:val="left"/>
              <w:rPr/>
            </w:pPr>
            <w:hyperlink w:anchor="ak_039">
              <w:r>
                <w:rPr>
                  <w:rStyle w:val="InternetLink"/>
                  <w:rFonts w:ascii="Times New Roman;Times;Serif" w:hAnsi="Times New Roman;Times;Serif"/>
                  <w:b w:val="false"/>
                  <w:i w:val="false"/>
                  <w:caps w:val="false"/>
                  <w:smallCaps w:val="false"/>
                  <w:sz w:val="20"/>
                </w:rPr>
                <w:t>Regulatory Approvals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r>
      <w:tr>
        <w:trPr/>
        <w:tc>
          <w:tcPr>
            <w:tcW w:w="9807" w:type="dxa"/>
            <w:tcBorders/>
            <w:shd w:fill="CCEEFF" w:val="clear"/>
            <w:vAlign w:val="center"/>
          </w:tcPr>
          <w:p>
            <w:pPr>
              <w:pStyle w:val="TableContents"/>
              <w:bidi w:val="0"/>
              <w:spacing w:before="0" w:after="283"/>
              <w:jc w:val="left"/>
              <w:rPr/>
            </w:pPr>
            <w:hyperlink w:anchor="ak_040">
              <w:r>
                <w:rPr>
                  <w:rStyle w:val="InternetLink"/>
                  <w:rFonts w:ascii="Times New Roman;Times;Serif" w:hAnsi="Times New Roman;Times;Serif"/>
                  <w:b w:val="false"/>
                  <w:i w:val="false"/>
                  <w:caps w:val="false"/>
                  <w:smallCaps w:val="false"/>
                  <w:sz w:val="20"/>
                </w:rPr>
                <w:t>Nasdaq Stock Market Listing</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r>
      <w:tr>
        <w:trPr/>
        <w:tc>
          <w:tcPr>
            <w:tcW w:w="9807" w:type="dxa"/>
            <w:tcBorders/>
            <w:shd w:fill="FFFFFF" w:val="clear"/>
            <w:vAlign w:val="center"/>
          </w:tcPr>
          <w:p>
            <w:pPr>
              <w:pStyle w:val="TableContents"/>
              <w:bidi w:val="0"/>
              <w:spacing w:before="0" w:after="283"/>
              <w:jc w:val="left"/>
              <w:rPr/>
            </w:pPr>
            <w:hyperlink w:anchor="cct_001">
              <w:r>
                <w:rPr>
                  <w:rStyle w:val="InternetLink"/>
                  <w:rFonts w:ascii="Times New Roman;Times;Serif" w:hAnsi="Times New Roman;Times;Serif"/>
                  <w:b w:val="false"/>
                  <w:i w:val="false"/>
                  <w:caps w:val="false"/>
                  <w:smallCaps w:val="false"/>
                  <w:sz w:val="20"/>
                </w:rPr>
                <w:t>Conditions to the Completion of the Transaction</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r>
      <w:tr>
        <w:trPr/>
        <w:tc>
          <w:tcPr>
            <w:tcW w:w="9807" w:type="dxa"/>
            <w:tcBorders/>
            <w:shd w:fill="CCEEFF" w:val="clear"/>
            <w:vAlign w:val="center"/>
          </w:tcPr>
          <w:p>
            <w:pPr>
              <w:pStyle w:val="TableContents"/>
              <w:bidi w:val="0"/>
              <w:spacing w:before="0" w:after="283"/>
              <w:jc w:val="left"/>
              <w:rPr/>
            </w:pPr>
            <w:hyperlink w:anchor="ak_041">
              <w:r>
                <w:rPr>
                  <w:rStyle w:val="InternetLink"/>
                  <w:rFonts w:ascii="Times New Roman;Times;Serif" w:hAnsi="Times New Roman;Times;Serif"/>
                  <w:b w:val="false"/>
                  <w:i w:val="false"/>
                  <w:caps w:val="false"/>
                  <w:smallCaps w:val="false"/>
                  <w:sz w:val="20"/>
                </w:rPr>
                <w:t>Termination of the Business Combination Agreement</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r>
      <w:tr>
        <w:trPr/>
        <w:tc>
          <w:tcPr>
            <w:tcW w:w="9807" w:type="dxa"/>
            <w:tcBorders/>
            <w:shd w:fill="FFFFFF" w:val="clear"/>
            <w:vAlign w:val="center"/>
          </w:tcPr>
          <w:p>
            <w:pPr>
              <w:pStyle w:val="TableContents"/>
              <w:bidi w:val="0"/>
              <w:spacing w:before="0" w:after="283"/>
              <w:jc w:val="left"/>
              <w:rPr/>
            </w:pPr>
            <w:hyperlink w:anchor="ak_042">
              <w:r>
                <w:rPr>
                  <w:rStyle w:val="InternetLink"/>
                  <w:rFonts w:ascii="Times New Roman;Times;Serif" w:hAnsi="Times New Roman;Times;Serif"/>
                  <w:b w:val="false"/>
                  <w:i w:val="false"/>
                  <w:caps w:val="false"/>
                  <w:smallCaps w:val="false"/>
                  <w:sz w:val="20"/>
                </w:rPr>
                <w:t>Amendment</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r>
      <w:tr>
        <w:trPr/>
        <w:tc>
          <w:tcPr>
            <w:tcW w:w="9807" w:type="dxa"/>
            <w:tcBorders/>
            <w:shd w:fill="CCEEFF" w:val="clear"/>
            <w:vAlign w:val="center"/>
          </w:tcPr>
          <w:p>
            <w:pPr>
              <w:pStyle w:val="TableContents"/>
              <w:bidi w:val="0"/>
              <w:spacing w:before="0" w:after="283"/>
              <w:jc w:val="left"/>
              <w:rPr/>
            </w:pPr>
            <w:hyperlink w:anchor="ak_043">
              <w:r>
                <w:rPr>
                  <w:rStyle w:val="InternetLink"/>
                  <w:rFonts w:ascii="Times New Roman;Times;Serif" w:hAnsi="Times New Roman;Times;Serif"/>
                  <w:b w:val="false"/>
                  <w:i w:val="false"/>
                  <w:caps w:val="false"/>
                  <w:smallCaps w:val="false"/>
                  <w:sz w:val="20"/>
                </w:rPr>
                <w:t>Expenses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r>
      <w:tr>
        <w:trPr/>
        <w:tc>
          <w:tcPr>
            <w:tcW w:w="9807" w:type="dxa"/>
            <w:tcBorders/>
            <w:shd w:fill="FFFFFF" w:val="clear"/>
            <w:vAlign w:val="center"/>
          </w:tcPr>
          <w:p>
            <w:pPr>
              <w:pStyle w:val="TableContents"/>
              <w:bidi w:val="0"/>
              <w:spacing w:before="0" w:after="283"/>
              <w:jc w:val="left"/>
              <w:rPr/>
            </w:pPr>
            <w:hyperlink w:anchor="ak_044">
              <w:r>
                <w:rPr>
                  <w:rStyle w:val="InternetLink"/>
                  <w:rFonts w:ascii="Times New Roman;Times;Serif" w:hAnsi="Times New Roman;Times;Serif"/>
                  <w:b w:val="false"/>
                  <w:i w:val="false"/>
                  <w:caps w:val="false"/>
                  <w:smallCaps w:val="false"/>
                  <w:sz w:val="20"/>
                </w:rPr>
                <w:t>MATTERS BEING SUBMITTED TO A VOTE OF THE STOCKHOLDERS OF BGMS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r>
      <w:tr>
        <w:trPr/>
        <w:tc>
          <w:tcPr>
            <w:tcW w:w="9807" w:type="dxa"/>
            <w:tcBorders/>
            <w:shd w:fill="CCEEFF" w:val="clear"/>
            <w:vAlign w:val="center"/>
          </w:tcPr>
          <w:p>
            <w:pPr>
              <w:pStyle w:val="TableContents"/>
              <w:bidi w:val="0"/>
              <w:spacing w:before="0" w:after="283"/>
              <w:jc w:val="left"/>
              <w:rPr/>
            </w:pPr>
            <w:hyperlink w:anchor="ak_045">
              <w:r>
                <w:rPr>
                  <w:rStyle w:val="InternetLink"/>
                  <w:rFonts w:ascii="Times New Roman;Times;Serif" w:hAnsi="Times New Roman;Times;Serif"/>
                  <w:b w:val="false"/>
                  <w:i w:val="false"/>
                  <w:caps w:val="false"/>
                  <w:smallCaps w:val="false"/>
                  <w:sz w:val="20"/>
                </w:rPr>
                <w:t>Proposal No. 1: Approval of the Issuance of Common Stock in the Transaction</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r>
      <w:tr>
        <w:trPr/>
        <w:tc>
          <w:tcPr>
            <w:tcW w:w="9807" w:type="dxa"/>
            <w:tcBorders/>
            <w:shd w:fill="FFFFFF" w:val="clear"/>
            <w:vAlign w:val="center"/>
          </w:tcPr>
          <w:p>
            <w:pPr>
              <w:pStyle w:val="TableContents"/>
              <w:bidi w:val="0"/>
              <w:spacing w:before="0" w:after="283"/>
              <w:jc w:val="left"/>
              <w:rPr/>
            </w:pPr>
            <w:hyperlink w:anchor="ak_046">
              <w:r>
                <w:rPr>
                  <w:rStyle w:val="InternetLink"/>
                  <w:rFonts w:ascii="Times New Roman;Times;Serif" w:hAnsi="Times New Roman;Times;Serif"/>
                  <w:b w:val="false"/>
                  <w:i w:val="false"/>
                  <w:caps w:val="false"/>
                  <w:smallCaps w:val="false"/>
                  <w:sz w:val="20"/>
                </w:rPr>
                <w:t>Proposal No. 2: Approval of the Potential Issuance of Greater than 20% in the Transaction</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r>
      <w:tr>
        <w:trPr/>
        <w:tc>
          <w:tcPr>
            <w:tcW w:w="9807" w:type="dxa"/>
            <w:tcBorders/>
            <w:shd w:fill="CCEEFF" w:val="clear"/>
            <w:vAlign w:val="center"/>
          </w:tcPr>
          <w:p>
            <w:pPr>
              <w:pStyle w:val="TableContents"/>
              <w:bidi w:val="0"/>
              <w:spacing w:before="0" w:after="283"/>
              <w:jc w:val="left"/>
              <w:rPr/>
            </w:pPr>
            <w:hyperlink w:anchor="ak_047">
              <w:r>
                <w:rPr>
                  <w:rStyle w:val="InternetLink"/>
                  <w:rFonts w:ascii="Times New Roman;Times;Serif" w:hAnsi="Times New Roman;Times;Serif"/>
                  <w:b w:val="false"/>
                  <w:i w:val="false"/>
                  <w:caps w:val="false"/>
                  <w:smallCaps w:val="false"/>
                  <w:sz w:val="20"/>
                </w:rPr>
                <w:t>Proposal No. 3: Approval of the Amendment to the Amended and Restated Certificate of Incorporation to Increase Authorized Shares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r>
      <w:tr>
        <w:trPr/>
        <w:tc>
          <w:tcPr>
            <w:tcW w:w="9807" w:type="dxa"/>
            <w:tcBorders/>
            <w:shd w:fill="FFFFFF" w:val="clear"/>
            <w:vAlign w:val="center"/>
          </w:tcPr>
          <w:p>
            <w:pPr>
              <w:pStyle w:val="TableContents"/>
              <w:bidi w:val="0"/>
              <w:spacing w:before="0" w:after="283"/>
              <w:jc w:val="left"/>
              <w:rPr/>
            </w:pPr>
            <w:hyperlink w:anchor="ak_048">
              <w:r>
                <w:rPr>
                  <w:rStyle w:val="InternetLink"/>
                  <w:rFonts w:ascii="Times New Roman;Times;Serif" w:hAnsi="Times New Roman;Times;Serif"/>
                  <w:b w:val="false"/>
                  <w:i w:val="false"/>
                  <w:caps w:val="false"/>
                  <w:smallCaps w:val="false"/>
                  <w:sz w:val="20"/>
                </w:rPr>
                <w:t>Proposal No. 4: Approval of the of the Amendment to the Amended and Restated Certificate of Incorporation to approve the Reverse Stock Split</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r>
      <w:tr>
        <w:trPr/>
        <w:tc>
          <w:tcPr>
            <w:tcW w:w="9807" w:type="dxa"/>
            <w:tcBorders/>
            <w:shd w:fill="CCEEFF" w:val="clear"/>
            <w:vAlign w:val="center"/>
          </w:tcPr>
          <w:p>
            <w:pPr>
              <w:pStyle w:val="TableContents"/>
              <w:bidi w:val="0"/>
              <w:spacing w:before="0" w:after="283"/>
              <w:jc w:val="left"/>
              <w:rPr/>
            </w:pPr>
            <w:hyperlink w:anchor="ak_049">
              <w:r>
                <w:rPr>
                  <w:rStyle w:val="InternetLink"/>
                  <w:rFonts w:ascii="Times New Roman;Times;Serif" w:hAnsi="Times New Roman;Times;Serif"/>
                  <w:b w:val="false"/>
                  <w:i w:val="false"/>
                  <w:caps w:val="false"/>
                  <w:smallCaps w:val="false"/>
                  <w:sz w:val="20"/>
                </w:rPr>
                <w:t>Proposal No. 5: Approval of the Future Financing</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r>
      <w:tr>
        <w:trPr/>
        <w:tc>
          <w:tcPr>
            <w:tcW w:w="9807" w:type="dxa"/>
            <w:tcBorders/>
            <w:shd w:fill="FFFFFF" w:val="clear"/>
            <w:vAlign w:val="center"/>
          </w:tcPr>
          <w:p>
            <w:pPr>
              <w:pStyle w:val="TableContents"/>
              <w:bidi w:val="0"/>
              <w:spacing w:before="0" w:after="283"/>
              <w:jc w:val="left"/>
              <w:rPr/>
            </w:pPr>
            <w:hyperlink w:anchor="ak_050">
              <w:r>
                <w:rPr>
                  <w:rStyle w:val="InternetLink"/>
                  <w:rFonts w:ascii="Times New Roman;Times;Serif" w:hAnsi="Times New Roman;Times;Serif"/>
                  <w:b w:val="false"/>
                  <w:i w:val="false"/>
                  <w:caps w:val="false"/>
                  <w:smallCaps w:val="false"/>
                  <w:sz w:val="20"/>
                </w:rPr>
                <w:t>Proposal No. 6: Approval of Possible Adjournment of the Special Meeting</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r>
      <w:tr>
        <w:trPr/>
        <w:tc>
          <w:tcPr>
            <w:tcW w:w="9807" w:type="dxa"/>
            <w:tcBorders/>
            <w:shd w:fill="CCEEFF" w:val="clear"/>
            <w:vAlign w:val="center"/>
          </w:tcPr>
          <w:p>
            <w:pPr>
              <w:pStyle w:val="TableContents"/>
              <w:bidi w:val="0"/>
              <w:spacing w:before="0" w:after="283"/>
              <w:jc w:val="left"/>
              <w:rPr/>
            </w:pPr>
            <w:hyperlink w:anchor="ak_051">
              <w:r>
                <w:rPr>
                  <w:rStyle w:val="InternetLink"/>
                  <w:rFonts w:ascii="Times New Roman;Times;Serif" w:hAnsi="Times New Roman;Times;Serif"/>
                  <w:b w:val="false"/>
                  <w:i w:val="false"/>
                  <w:caps w:val="false"/>
                  <w:smallCaps w:val="false"/>
                  <w:sz w:val="20"/>
                </w:rPr>
                <w:t>BIO GREEN MED SOLUTION, INC. BUSINESS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r>
      <w:tr>
        <w:trPr/>
        <w:tc>
          <w:tcPr>
            <w:tcW w:w="9807" w:type="dxa"/>
            <w:tcBorders/>
            <w:shd w:fill="FFFFFF" w:val="clear"/>
            <w:vAlign w:val="center"/>
          </w:tcPr>
          <w:p>
            <w:pPr>
              <w:pStyle w:val="TableContents"/>
              <w:bidi w:val="0"/>
              <w:spacing w:before="0" w:after="283"/>
              <w:jc w:val="left"/>
              <w:rPr/>
            </w:pPr>
            <w:hyperlink w:anchor="ak_052">
              <w:r>
                <w:rPr>
                  <w:rStyle w:val="InternetLink"/>
                  <w:rFonts w:ascii="Times New Roman;Times;Serif" w:hAnsi="Times New Roman;Times;Serif"/>
                  <w:b w:val="false"/>
                  <w:i w:val="false"/>
                  <w:caps w:val="false"/>
                  <w:smallCaps w:val="false"/>
                  <w:sz w:val="20"/>
                </w:rPr>
                <w:t>FUTURE NRG SDN. BHD. BUSINESS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r>
      <w:tr>
        <w:trPr/>
        <w:tc>
          <w:tcPr>
            <w:tcW w:w="9807" w:type="dxa"/>
            <w:tcBorders/>
            <w:shd w:fill="CCEEFF" w:val="clear"/>
            <w:vAlign w:val="center"/>
          </w:tcPr>
          <w:p>
            <w:pPr>
              <w:pStyle w:val="TableContents"/>
              <w:bidi w:val="0"/>
              <w:spacing w:before="0" w:after="283"/>
              <w:jc w:val="both"/>
              <w:rPr/>
            </w:pPr>
            <w:hyperlink w:anchor="ak_053">
              <w:r>
                <w:rPr>
                  <w:rStyle w:val="InternetLink"/>
                  <w:rFonts w:ascii="Times New Roman;Times;Serif" w:hAnsi="Times New Roman;Times;Serif"/>
                  <w:b w:val="false"/>
                  <w:i w:val="false"/>
                  <w:caps w:val="false"/>
                  <w:smallCaps w:val="false"/>
                  <w:sz w:val="20"/>
                </w:rPr>
                <w:t>MANAGEMENT’S DISCUSSION AND ANALYSIS OF FINANCIAL CONDITION AND RESULTS OF OPERATIONS OF BGMS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r>
      <w:tr>
        <w:trPr/>
        <w:tc>
          <w:tcPr>
            <w:tcW w:w="9807" w:type="dxa"/>
            <w:tcBorders/>
            <w:shd w:fill="FFFFFF" w:val="clear"/>
            <w:vAlign w:val="center"/>
          </w:tcPr>
          <w:p>
            <w:pPr>
              <w:pStyle w:val="TableContents"/>
              <w:bidi w:val="0"/>
              <w:spacing w:before="0" w:after="283"/>
              <w:jc w:val="both"/>
              <w:rPr/>
            </w:pPr>
            <w:hyperlink w:anchor="ak_054">
              <w:r>
                <w:rPr>
                  <w:rStyle w:val="InternetLink"/>
                  <w:rFonts w:ascii="Times New Roman;Times;Serif" w:hAnsi="Times New Roman;Times;Serif"/>
                  <w:b w:val="false"/>
                  <w:i w:val="false"/>
                  <w:caps w:val="false"/>
                  <w:smallCaps w:val="false"/>
                  <w:sz w:val="20"/>
                </w:rPr>
                <w:t>MANAGEMENT’S DISCUSSION AND ANALYSIS OF FINANCIAL CONDITION AND RESULTS OF OPERATIONS OF FUTURE NRG SDN. BHD.</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r>
      <w:tr>
        <w:trPr/>
        <w:tc>
          <w:tcPr>
            <w:tcW w:w="9807" w:type="dxa"/>
            <w:tcBorders/>
            <w:shd w:fill="CCEEFF" w:val="clear"/>
            <w:vAlign w:val="center"/>
          </w:tcPr>
          <w:p>
            <w:pPr>
              <w:pStyle w:val="TableContents"/>
              <w:bidi w:val="0"/>
              <w:spacing w:before="0" w:after="283"/>
              <w:jc w:val="left"/>
              <w:rPr/>
            </w:pPr>
            <w:hyperlink w:anchor="vb_001">
              <w:r>
                <w:rPr>
                  <w:rStyle w:val="InternetLink"/>
                  <w:rFonts w:ascii="Times New Roman;Times;Serif" w:hAnsi="Times New Roman;Times;Serif"/>
                  <w:b w:val="false"/>
                  <w:i w:val="false"/>
                  <w:caps w:val="false"/>
                  <w:smallCaps w:val="false"/>
                  <w:sz w:val="20"/>
                </w:rPr>
                <w:t>QUANTITATIVE AND QUALITATIVE DISCLOSURES ABOUT MARKET RISK OF BGMS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w:t>
            </w:r>
          </w:p>
        </w:tc>
      </w:tr>
      <w:tr>
        <w:trPr/>
        <w:tc>
          <w:tcPr>
            <w:tcW w:w="9807" w:type="dxa"/>
            <w:tcBorders/>
            <w:shd w:fill="FFFFFF" w:val="clear"/>
            <w:vAlign w:val="center"/>
          </w:tcPr>
          <w:p>
            <w:pPr>
              <w:pStyle w:val="TableContents"/>
              <w:bidi w:val="0"/>
              <w:spacing w:before="0" w:after="283"/>
              <w:jc w:val="left"/>
              <w:rPr/>
            </w:pPr>
            <w:hyperlink w:anchor="vb_002">
              <w:r>
                <w:rPr>
                  <w:rStyle w:val="InternetLink"/>
                  <w:rFonts w:ascii="Times New Roman;Times;Serif" w:hAnsi="Times New Roman;Times;Serif"/>
                  <w:b w:val="false"/>
                  <w:i w:val="false"/>
                  <w:caps w:val="false"/>
                  <w:smallCaps w:val="false"/>
                  <w:sz w:val="20"/>
                </w:rPr>
                <w:t>MANAGEMENT FOLLOWING THE CLOSING OF THE TRANSACTION</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r>
      <w:tr>
        <w:trPr/>
        <w:tc>
          <w:tcPr>
            <w:tcW w:w="9807" w:type="dxa"/>
            <w:tcBorders/>
            <w:shd w:fill="CCEEFF" w:val="clear"/>
            <w:vAlign w:val="center"/>
          </w:tcPr>
          <w:p>
            <w:pPr>
              <w:pStyle w:val="TableContents"/>
              <w:bidi w:val="0"/>
              <w:spacing w:before="0" w:after="283"/>
              <w:jc w:val="left"/>
              <w:rPr/>
            </w:pPr>
            <w:hyperlink w:anchor="vb_003">
              <w:r>
                <w:rPr>
                  <w:rStyle w:val="InternetLink"/>
                  <w:rFonts w:ascii="Times New Roman;Times;Serif" w:hAnsi="Times New Roman;Times;Serif"/>
                  <w:b w:val="false"/>
                  <w:i w:val="false"/>
                  <w:caps w:val="false"/>
                  <w:smallCaps w:val="false"/>
                  <w:sz w:val="20"/>
                </w:rPr>
                <w:t>Executive Officers and Directors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r>
      <w:tr>
        <w:trPr/>
        <w:tc>
          <w:tcPr>
            <w:tcW w:w="9807" w:type="dxa"/>
            <w:tcBorders/>
            <w:shd w:fill="FFFFFF" w:val="clear"/>
            <w:vAlign w:val="center"/>
          </w:tcPr>
          <w:p>
            <w:pPr>
              <w:pStyle w:val="TableContents"/>
              <w:bidi w:val="0"/>
              <w:spacing w:before="0" w:after="283"/>
              <w:jc w:val="left"/>
              <w:rPr/>
            </w:pPr>
            <w:hyperlink w:anchor="vb_004">
              <w:r>
                <w:rPr>
                  <w:rStyle w:val="InternetLink"/>
                  <w:rFonts w:ascii="Times New Roman;Times;Serif" w:hAnsi="Times New Roman;Times;Serif"/>
                  <w:b w:val="false"/>
                  <w:i w:val="false"/>
                  <w:caps w:val="false"/>
                  <w:smallCaps w:val="false"/>
                  <w:sz w:val="20"/>
                </w:rPr>
                <w:t>Parent’s Board of Director Compensation</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r>
      <w:tr>
        <w:trPr/>
        <w:tc>
          <w:tcPr>
            <w:tcW w:w="9807" w:type="dxa"/>
            <w:tcBorders/>
            <w:shd w:fill="CCEEFF" w:val="clear"/>
            <w:vAlign w:val="center"/>
          </w:tcPr>
          <w:p>
            <w:pPr>
              <w:pStyle w:val="TableContents"/>
              <w:bidi w:val="0"/>
              <w:spacing w:before="0" w:after="283"/>
              <w:jc w:val="left"/>
              <w:rPr/>
            </w:pPr>
            <w:hyperlink w:anchor="vb_005">
              <w:r>
                <w:rPr>
                  <w:rStyle w:val="InternetLink"/>
                  <w:rFonts w:ascii="Times New Roman;Times;Serif" w:hAnsi="Times New Roman;Times;Serif"/>
                  <w:b w:val="false"/>
                  <w:i w:val="false"/>
                  <w:caps w:val="false"/>
                  <w:smallCaps w:val="false"/>
                  <w:sz w:val="20"/>
                </w:rPr>
                <w:t>Parent Director and Executive Officer Compensation</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r>
      <w:tr>
        <w:trPr/>
        <w:tc>
          <w:tcPr>
            <w:tcW w:w="9807" w:type="dxa"/>
            <w:tcBorders/>
            <w:shd w:fill="FFFFFF" w:val="clear"/>
            <w:vAlign w:val="center"/>
          </w:tcPr>
          <w:p>
            <w:pPr>
              <w:pStyle w:val="TableContents"/>
              <w:bidi w:val="0"/>
              <w:spacing w:before="0" w:after="283"/>
              <w:jc w:val="left"/>
              <w:rPr/>
            </w:pPr>
            <w:hyperlink w:anchor="vb_006">
              <w:r>
                <w:rPr>
                  <w:rStyle w:val="InternetLink"/>
                  <w:rFonts w:ascii="Times New Roman;Times;Serif" w:hAnsi="Times New Roman;Times;Serif"/>
                  <w:b w:val="false"/>
                  <w:i w:val="false"/>
                  <w:caps w:val="false"/>
                  <w:smallCaps w:val="false"/>
                  <w:sz w:val="20"/>
                </w:rPr>
                <w:t>Compensation Risk Management</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w:t>
            </w:r>
          </w:p>
        </w:tc>
      </w:tr>
      <w:tr>
        <w:trPr/>
        <w:tc>
          <w:tcPr>
            <w:tcW w:w="9807" w:type="dxa"/>
            <w:tcBorders/>
            <w:shd w:fill="CCEEFF" w:val="clear"/>
            <w:vAlign w:val="center"/>
          </w:tcPr>
          <w:p>
            <w:pPr>
              <w:pStyle w:val="TableContents"/>
              <w:bidi w:val="0"/>
              <w:spacing w:before="0" w:after="283"/>
              <w:jc w:val="left"/>
              <w:rPr/>
            </w:pPr>
            <w:hyperlink w:anchor="vb_007">
              <w:r>
                <w:rPr>
                  <w:rStyle w:val="InternetLink"/>
                  <w:rFonts w:ascii="Times New Roman;Times;Serif" w:hAnsi="Times New Roman;Times;Serif"/>
                  <w:b w:val="false"/>
                  <w:i w:val="false"/>
                  <w:caps w:val="false"/>
                  <w:smallCaps w:val="false"/>
                  <w:sz w:val="20"/>
                </w:rPr>
                <w:t>Board of Directors of Future NRG Following the Transaction</w:t>
              </w:r>
            </w:hyperlink>
            <w:r>
              <w:rPr>
                <w:rFonts w:ascii="Times New Roman;Times;Serif" w:hAnsi="Times New Roman;Times;Serif"/>
                <w:b w:val="false"/>
                <w:i w:val="false"/>
                <w:caps w:val="false"/>
                <w:smallCaps w:val="false"/>
                <w:sz w:val="20"/>
              </w:rPr>
              <w:t xml:space="preserve"> </w:t>
            </w:r>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w:t>
            </w:r>
          </w:p>
        </w:tc>
      </w:tr>
      <w:tr>
        <w:trPr/>
        <w:tc>
          <w:tcPr>
            <w:tcW w:w="9807" w:type="dxa"/>
            <w:tcBorders/>
            <w:shd w:fill="FFFFFF" w:val="clear"/>
            <w:vAlign w:val="center"/>
          </w:tcPr>
          <w:p>
            <w:pPr>
              <w:pStyle w:val="TableContents"/>
              <w:bidi w:val="0"/>
              <w:spacing w:before="0" w:after="283"/>
              <w:jc w:val="left"/>
              <w:rPr/>
            </w:pPr>
            <w:hyperlink w:anchor="vb_008">
              <w:r>
                <w:rPr>
                  <w:rStyle w:val="InternetLink"/>
                  <w:rFonts w:ascii="Times New Roman;Times;Serif" w:hAnsi="Times New Roman;Times;Serif"/>
                  <w:b w:val="false"/>
                  <w:i w:val="false"/>
                  <w:caps w:val="false"/>
                  <w:smallCaps w:val="false"/>
                  <w:sz w:val="20"/>
                </w:rPr>
                <w:t>Future NRG Sdn. Bhd. Executive Officer and Director Compensation</w:t>
              </w:r>
            </w:hyperlink>
            <w:r>
              <w:rPr>
                <w:rFonts w:ascii="Times New Roman;Times;Serif" w:hAnsi="Times New Roman;Times;Serif"/>
                <w:b w:val="false"/>
                <w:i w:val="false"/>
                <w:caps w:val="false"/>
                <w:smallCaps w:val="false"/>
                <w:sz w:val="20"/>
              </w:rPr>
              <w:t xml:space="preserve"> </w:t>
            </w:r>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w:t>
            </w:r>
          </w:p>
        </w:tc>
      </w:tr>
      <w:tr>
        <w:trPr/>
        <w:tc>
          <w:tcPr>
            <w:tcW w:w="9807" w:type="dxa"/>
            <w:tcBorders/>
            <w:shd w:fill="CCEEFF" w:val="clear"/>
            <w:vAlign w:val="center"/>
          </w:tcPr>
          <w:p>
            <w:pPr>
              <w:pStyle w:val="TableContents"/>
              <w:bidi w:val="0"/>
              <w:spacing w:before="0" w:after="283"/>
              <w:jc w:val="left"/>
              <w:rPr/>
            </w:pPr>
            <w:hyperlink w:anchor="vb_009">
              <w:r>
                <w:rPr>
                  <w:rStyle w:val="InternetLink"/>
                  <w:rFonts w:ascii="Times New Roman;Times;Serif" w:hAnsi="Times New Roman;Times;Serif"/>
                  <w:b w:val="false"/>
                  <w:i w:val="false"/>
                  <w:caps w:val="false"/>
                  <w:smallCaps w:val="false"/>
                  <w:sz w:val="20"/>
                </w:rPr>
                <w:t>Employment Benefit Plans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r>
      <w:tr>
        <w:trPr/>
        <w:tc>
          <w:tcPr>
            <w:tcW w:w="9807" w:type="dxa"/>
            <w:tcBorders/>
            <w:shd w:fill="FFFFFF" w:val="clear"/>
            <w:vAlign w:val="center"/>
          </w:tcPr>
          <w:p>
            <w:pPr>
              <w:pStyle w:val="TableContents"/>
              <w:bidi w:val="0"/>
              <w:spacing w:before="0" w:after="283"/>
              <w:jc w:val="left"/>
              <w:rPr/>
            </w:pPr>
            <w:hyperlink w:anchor="vb_010">
              <w:r>
                <w:rPr>
                  <w:rStyle w:val="InternetLink"/>
                  <w:rFonts w:ascii="Times New Roman;Times;Serif" w:hAnsi="Times New Roman;Times;Serif"/>
                  <w:b w:val="false"/>
                  <w:i w:val="false"/>
                  <w:caps w:val="false"/>
                  <w:smallCaps w:val="false"/>
                  <w:sz w:val="20"/>
                </w:rPr>
                <w:t>CERTAIN RELATIONSHIPS AND RELATED PARTY TRANSACTIONS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r>
      <w:tr>
        <w:trPr/>
        <w:tc>
          <w:tcPr>
            <w:tcW w:w="9807" w:type="dxa"/>
            <w:tcBorders/>
            <w:shd w:fill="CCEEFF" w:val="clear"/>
            <w:vAlign w:val="center"/>
          </w:tcPr>
          <w:p>
            <w:pPr>
              <w:pStyle w:val="TableContents"/>
              <w:bidi w:val="0"/>
              <w:spacing w:before="0" w:after="283"/>
              <w:jc w:val="left"/>
              <w:rPr/>
            </w:pPr>
            <w:hyperlink w:anchor="vb_011">
              <w:r>
                <w:rPr>
                  <w:rStyle w:val="InternetLink"/>
                  <w:rFonts w:ascii="Times New Roman;Times;Serif" w:hAnsi="Times New Roman;Times;Serif"/>
                  <w:b w:val="false"/>
                  <w:i w:val="false"/>
                  <w:caps w:val="false"/>
                  <w:smallCaps w:val="false"/>
                  <w:sz w:val="20"/>
                </w:rPr>
                <w:t>DESCRIPTION OF CAPITAL STOCK</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r>
      <w:tr>
        <w:trPr/>
        <w:tc>
          <w:tcPr>
            <w:tcW w:w="9807" w:type="dxa"/>
            <w:tcBorders/>
            <w:shd w:fill="FFFFFF" w:val="clear"/>
            <w:vAlign w:val="center"/>
          </w:tcPr>
          <w:p>
            <w:pPr>
              <w:pStyle w:val="TableContents"/>
              <w:bidi w:val="0"/>
              <w:spacing w:before="0" w:after="283"/>
              <w:jc w:val="left"/>
              <w:rPr/>
            </w:pPr>
            <w:hyperlink w:anchor="vb_012">
              <w:r>
                <w:rPr>
                  <w:rStyle w:val="InternetLink"/>
                  <w:rFonts w:ascii="Times New Roman;Times;Serif" w:hAnsi="Times New Roman;Times;Serif"/>
                  <w:b w:val="false"/>
                  <w:i w:val="false"/>
                  <w:caps w:val="false"/>
                  <w:smallCaps w:val="false"/>
                  <w:sz w:val="20"/>
                </w:rPr>
                <w:t>PRINCIPAL STOCKHOLDERS OF BGMS</w:t>
              </w:r>
            </w:hyperlink>
            <w:r>
              <w:rPr>
                <w:rFonts w:ascii="Times New Roman;Times;Serif" w:hAnsi="Times New Roman;Times;Serif"/>
                <w:b w:val="false"/>
                <w:i w:val="false"/>
                <w:caps w:val="false"/>
                <w:smallCaps w:val="false"/>
                <w:sz w:val="20"/>
              </w:rPr>
              <w:t xml:space="preserve"> </w:t>
            </w:r>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r>
      <w:tr>
        <w:trPr/>
        <w:tc>
          <w:tcPr>
            <w:tcW w:w="9807" w:type="dxa"/>
            <w:tcBorders/>
            <w:shd w:fill="CCEEFF" w:val="clear"/>
            <w:vAlign w:val="center"/>
          </w:tcPr>
          <w:p>
            <w:pPr>
              <w:pStyle w:val="TableContents"/>
              <w:bidi w:val="0"/>
              <w:spacing w:before="0" w:after="283"/>
              <w:jc w:val="left"/>
              <w:rPr/>
            </w:pPr>
            <w:hyperlink w:anchor="vb_013">
              <w:r>
                <w:rPr>
                  <w:rStyle w:val="InternetLink"/>
                  <w:rFonts w:ascii="Times New Roman;Times;Serif" w:hAnsi="Times New Roman;Times;Serif"/>
                  <w:b w:val="false"/>
                  <w:i w:val="false"/>
                  <w:caps w:val="false"/>
                  <w:smallCaps w:val="false"/>
                  <w:sz w:val="20"/>
                </w:rPr>
                <w:t>PRINCIPAL SHAREHOLDER OF FUTURE NRG SDN. BHD.</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r>
      <w:tr>
        <w:trPr/>
        <w:tc>
          <w:tcPr>
            <w:tcW w:w="9807" w:type="dxa"/>
            <w:tcBorders/>
            <w:shd w:fill="FFFFFF" w:val="clear"/>
            <w:vAlign w:val="center"/>
          </w:tcPr>
          <w:p>
            <w:pPr>
              <w:pStyle w:val="TableContents"/>
              <w:bidi w:val="0"/>
              <w:spacing w:before="0" w:after="283"/>
              <w:jc w:val="left"/>
              <w:rPr/>
            </w:pPr>
            <w:hyperlink w:anchor="vb_014">
              <w:r>
                <w:rPr>
                  <w:rStyle w:val="InternetLink"/>
                  <w:rFonts w:ascii="Times New Roman;Times;Serif" w:hAnsi="Times New Roman;Times;Serif"/>
                  <w:b w:val="false"/>
                  <w:i w:val="false"/>
                  <w:caps w:val="false"/>
                  <w:smallCaps w:val="false"/>
                  <w:sz w:val="20"/>
                </w:rPr>
                <w:t>LEGAL MATTERS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r>
      <w:tr>
        <w:trPr/>
        <w:tc>
          <w:tcPr>
            <w:tcW w:w="9807" w:type="dxa"/>
            <w:tcBorders/>
            <w:shd w:fill="CCEEFF" w:val="clear"/>
            <w:vAlign w:val="center"/>
          </w:tcPr>
          <w:p>
            <w:pPr>
              <w:pStyle w:val="TableContents"/>
              <w:bidi w:val="0"/>
              <w:spacing w:before="0" w:after="283"/>
              <w:jc w:val="left"/>
              <w:rPr/>
            </w:pPr>
            <w:hyperlink w:anchor="vb_015">
              <w:r>
                <w:rPr>
                  <w:rStyle w:val="InternetLink"/>
                  <w:rFonts w:ascii="Times New Roman;Times;Serif" w:hAnsi="Times New Roman;Times;Serif"/>
                  <w:b w:val="false"/>
                  <w:i w:val="false"/>
                  <w:caps w:val="false"/>
                  <w:smallCaps w:val="false"/>
                  <w:sz w:val="20"/>
                </w:rPr>
                <w:t>EXPERTS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r>
      <w:tr>
        <w:trPr/>
        <w:tc>
          <w:tcPr>
            <w:tcW w:w="9807" w:type="dxa"/>
            <w:tcBorders/>
            <w:shd w:fill="FFFFFF" w:val="clear"/>
            <w:vAlign w:val="center"/>
          </w:tcPr>
          <w:p>
            <w:pPr>
              <w:pStyle w:val="TableContents"/>
              <w:bidi w:val="0"/>
              <w:spacing w:before="0" w:after="283"/>
              <w:jc w:val="left"/>
              <w:rPr/>
            </w:pPr>
            <w:hyperlink w:anchor="vb_016">
              <w:r>
                <w:rPr>
                  <w:rStyle w:val="InternetLink"/>
                  <w:rFonts w:ascii="Times New Roman;Times;Serif" w:hAnsi="Times New Roman;Times;Serif"/>
                  <w:b w:val="false"/>
                  <w:i w:val="false"/>
                  <w:caps w:val="false"/>
                  <w:smallCaps w:val="false"/>
                  <w:sz w:val="20"/>
                </w:rPr>
                <w:t>WHERE YOU CAN FIND MORE INFORMATION</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r>
      <w:tr>
        <w:trPr/>
        <w:tc>
          <w:tcPr>
            <w:tcW w:w="9807" w:type="dxa"/>
            <w:tcBorders/>
            <w:shd w:fill="CCEEFF" w:val="clear"/>
            <w:vAlign w:val="center"/>
          </w:tcPr>
          <w:p>
            <w:pPr>
              <w:pStyle w:val="TableContents"/>
              <w:bidi w:val="0"/>
              <w:spacing w:before="0" w:after="283"/>
              <w:jc w:val="left"/>
              <w:rPr/>
            </w:pPr>
            <w:hyperlink w:anchor="vb_017">
              <w:r>
                <w:rPr>
                  <w:rStyle w:val="InternetLink"/>
                  <w:rFonts w:ascii="Times New Roman;Times;Serif" w:hAnsi="Times New Roman;Times;Serif"/>
                  <w:b w:val="false"/>
                  <w:i w:val="false"/>
                  <w:caps w:val="false"/>
                  <w:smallCaps w:val="false"/>
                  <w:sz w:val="20"/>
                </w:rPr>
                <w:t>TRADEMARK NOTICE</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r>
      <w:tr>
        <w:trPr/>
        <w:tc>
          <w:tcPr>
            <w:tcW w:w="9807" w:type="dxa"/>
            <w:tcBorders/>
            <w:shd w:fill="FFFFFF" w:val="clear"/>
            <w:vAlign w:val="center"/>
          </w:tcPr>
          <w:p>
            <w:pPr>
              <w:pStyle w:val="TableContents"/>
              <w:bidi w:val="0"/>
              <w:spacing w:before="0" w:after="283"/>
              <w:jc w:val="left"/>
              <w:rPr/>
            </w:pPr>
            <w:hyperlink w:anchor="vb_018">
              <w:r>
                <w:rPr>
                  <w:rStyle w:val="InternetLink"/>
                  <w:rFonts w:ascii="Times New Roman;Times;Serif" w:hAnsi="Times New Roman;Times;Serif"/>
                  <w:b w:val="false"/>
                  <w:i w:val="false"/>
                  <w:caps w:val="false"/>
                  <w:smallCaps w:val="false"/>
                  <w:sz w:val="20"/>
                </w:rPr>
                <w:t>OTHER MATTERS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r>
      <w:tr>
        <w:trPr/>
        <w:tc>
          <w:tcPr>
            <w:tcW w:w="9807" w:type="dxa"/>
            <w:tcBorders/>
            <w:shd w:fill="CCEEFF" w:val="clear"/>
            <w:vAlign w:val="center"/>
          </w:tcPr>
          <w:p>
            <w:pPr>
              <w:pStyle w:val="TableContents"/>
              <w:bidi w:val="0"/>
              <w:spacing w:before="0" w:after="283"/>
              <w:jc w:val="left"/>
              <w:rPr/>
            </w:pPr>
            <w:hyperlink w:anchor="vb_019">
              <w:r>
                <w:rPr>
                  <w:rStyle w:val="InternetLink"/>
                  <w:rFonts w:ascii="Times New Roman;Times;Serif" w:hAnsi="Times New Roman;Times;Serif"/>
                  <w:b w:val="false"/>
                  <w:i w:val="false"/>
                  <w:caps w:val="false"/>
                  <w:smallCaps w:val="false"/>
                  <w:sz w:val="20"/>
                </w:rPr>
                <w:t>INDEX TO CONSOLIDATED FINANCIAL STATEMENTS OF BGMS</w:t>
              </w:r>
            </w:hyperlink>
            <w:r>
              <w:rPr>
                <w:rFonts w:ascii="Times New Roman;Times;Serif" w:hAnsi="Times New Roman;Times;Serif"/>
                <w:b w:val="false"/>
                <w:i w:val="false"/>
                <w:caps w:val="false"/>
                <w:smallCaps w:val="false"/>
                <w:sz w:val="20"/>
              </w:rPr>
              <w:t xml:space="preserve"> </w:t>
            </w:r>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r>
        <w:trPr/>
        <w:tc>
          <w:tcPr>
            <w:tcW w:w="9807" w:type="dxa"/>
            <w:tcBorders/>
            <w:shd w:fill="FFFFFF" w:val="clear"/>
            <w:vAlign w:val="center"/>
          </w:tcPr>
          <w:p>
            <w:pPr>
              <w:pStyle w:val="TableContents"/>
              <w:bidi w:val="0"/>
              <w:spacing w:before="0" w:after="283"/>
              <w:jc w:val="left"/>
              <w:rPr/>
            </w:pPr>
            <w:hyperlink w:anchor="vb_020">
              <w:r>
                <w:rPr>
                  <w:rStyle w:val="InternetLink"/>
                  <w:rFonts w:ascii="Times New Roman;Times;Serif" w:hAnsi="Times New Roman;Times;Serif"/>
                  <w:b w:val="false"/>
                  <w:i w:val="false"/>
                  <w:caps w:val="false"/>
                  <w:smallCaps w:val="false"/>
                  <w:sz w:val="20"/>
                </w:rPr>
                <w:t>INDEX TO CONSOLIDATED FINANCIAL STATEMENTS OF FUTURE NRG SDN. BHD.</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F-48</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89"/>
        <w:gridCol w:w="316"/>
      </w:tblGrid>
      <w:tr>
        <w:trPr/>
        <w:tc>
          <w:tcPr>
            <w:tcW w:w="98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ANNEXES:</w:t>
            </w:r>
          </w:p>
        </w:tc>
        <w:tc>
          <w:tcPr>
            <w:tcW w:w="31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889" w:type="dxa"/>
            <w:tcBorders/>
            <w:shd w:fill="FFFFFF" w:val="clear"/>
            <w:vAlign w:val="center"/>
          </w:tcPr>
          <w:p>
            <w:pPr>
              <w:pStyle w:val="TableContents"/>
              <w:bidi w:val="0"/>
              <w:spacing w:before="0" w:after="283"/>
              <w:jc w:val="left"/>
              <w:rPr/>
            </w:pPr>
            <w:hyperlink w:anchor="vb_021">
              <w:r>
                <w:rPr>
                  <w:rStyle w:val="InternetLink"/>
                  <w:rFonts w:ascii="Times New Roman;Times;Serif" w:hAnsi="Times New Roman;Times;Serif"/>
                  <w:b w:val="false"/>
                  <w:i w:val="false"/>
                  <w:caps w:val="false"/>
                  <w:smallCaps w:val="false"/>
                  <w:sz w:val="20"/>
                </w:rPr>
                <w:t>ANNEX A — BUSINESS COMBINATION AGREEMENT</w:t>
              </w:r>
            </w:hyperlink>
          </w:p>
        </w:tc>
        <w:tc>
          <w:tcPr>
            <w:tcW w:w="31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w:t>
            </w:r>
          </w:p>
        </w:tc>
      </w:tr>
      <w:tr>
        <w:trPr/>
        <w:tc>
          <w:tcPr>
            <w:tcW w:w="9889" w:type="dxa"/>
            <w:tcBorders/>
            <w:shd w:fill="CCEEFF" w:val="clear"/>
            <w:vAlign w:val="center"/>
          </w:tcPr>
          <w:p>
            <w:pPr>
              <w:pStyle w:val="TableContents"/>
              <w:bidi w:val="0"/>
              <w:spacing w:before="0" w:after="283"/>
              <w:jc w:val="left"/>
              <w:rPr/>
            </w:pPr>
            <w:hyperlink w:anchor="vb_022">
              <w:r>
                <w:rPr>
                  <w:rStyle w:val="InternetLink"/>
                  <w:rFonts w:ascii="Times New Roman;Times;Serif" w:hAnsi="Times New Roman;Times;Serif"/>
                  <w:b w:val="false"/>
                  <w:i w:val="false"/>
                  <w:caps w:val="false"/>
                  <w:smallCaps w:val="false"/>
                  <w:sz w:val="20"/>
                </w:rPr>
                <w:t>ANNEX B — FAIRNESS OPINION OF STRATEGIC CAPITAL IN RELATION TO THE PROPOSED ACQUISITION OF FUTURE NRG SDN. BHD.</w:t>
              </w:r>
            </w:hyperlink>
          </w:p>
        </w:tc>
        <w:tc>
          <w:tcPr>
            <w:tcW w:w="31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B-1</w:t>
            </w:r>
          </w:p>
        </w:tc>
      </w:tr>
    </w:tbl>
    <w:p>
      <w:pPr>
        <w:pStyle w:val="TextBody"/>
        <w:bidi w:val="0"/>
        <w:spacing w:before="0" w:after="0"/>
        <w:ind w:left="1080" w:right="0" w:hanging="108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center"/>
        <w:rPr>
          <w:rFonts w:ascii="Times New Roman;Times;Serif" w:hAnsi="Times New Roman;Times;Serif"/>
          <w:b/>
          <w:i w:val="false"/>
          <w:caps w:val="false"/>
          <w:smallCaps w:val="false"/>
          <w:sz w:val="20"/>
        </w:rPr>
      </w:pPr>
      <w:bookmarkStart w:id="2" w:name="ta_001"/>
      <w:bookmarkEnd w:id="2"/>
      <w:r>
        <w:rPr>
          <w:rFonts w:ascii="Times New Roman;Times;Serif" w:hAnsi="Times New Roman;Times;Serif"/>
          <w:b/>
          <w:i w:val="false"/>
          <w:caps w:val="false"/>
          <w:smallCaps w:val="false"/>
          <w:sz w:val="20"/>
        </w:rPr>
        <w:t>QUESTIONS AND ANSWERS ABOUT THE TRANSACTION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section provides answers to frequently asked questions about the Transaction. This section, however, provides only summary information. For a more complete response to these questions and for additional information, please refer to the cross-referenced sections.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is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Bio Green Med Solution, Inc. (“BGMS” or “Parent”), Future NRG Sdn. Bhd., a Malaysian private limited company (the “Company” or “Future NRG”) and all of the shareholders of Future NRG (the “Selling Shareholders,” and with Parent and Future NRG, collectively, the “Parties” or each, a “Party”) entered into a Business Combination Agreement dated as of June 4, 2026 (the “Business Combination Agreement”). The Parties thereto intend to effect a voluntary share exchange between Parent and the Selling Shareholders (the “Exchange”), in which the Company will become a wholly-owned subsidiary of Parent, in accordance with the terms of the Business Combination Agreement and the rules under Delaware General Corporation Law (the “DGCL”) and the Malaysian Companies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and in accordance with the DGCL, at the Closing (as hereinafter defined), the Selling Shareholders shall convey, assign, and transfer all of their right, title and interest in the Company’s ordinary shares (the “Company Ordinary Shares” or “Shares” and each, a “Share”) to Parent in exchange for Parent’s common stock, par value $0.001 per share (“Common Stock” or “Parent Common Stock”), as set forth in the Business Combination Agreement. The Shares transferred to Parent at the Closing shall constitute one hundred (100%) percent of the issued and outstanding capital shares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its acquisition of the Shares and without any action on the part of any Party or the holders of securities of Parent or the Company, each Share issued and outstanding immediately prior to the date and time of the filing of the Malaysia Form of Transfer or at such later date or time as may be agreed by the Company and Parent in writing and specified in the Malaysia Form of Transfer in accordance with relevant provisions of the Malaysian Companies Act (the “Effective Time”) shall be converted into, and the holder thereof shall be entitled to receive a number of Parent Common Stock equal to the quotient of (i) the Transaction Consideration Shares (as defined below) divided by (ii) the total number of Shares issued and outstanding immediately prior to the Effective Time.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Consideration for the Transaction was set at $2,000,000,000 (the “Aggregate Transaction Consideration Value”), an amount determined by the BGMS board of directors in reliance on the Fairness Opinion rendered by Strategic Capital Advisory Sdn. Bhd. (“Strategic Capital Advisory”), a corporate finance services firm retained by BGMS. On May 25, 2026, Strategic Capital Advisory advised the BGMS board that, based on the assumptions, qualifications and limitations set forth in its written opinion, the fair value of the entire equity interest of Future NRG ranged from $1.76 billion to $2.08 billion, and that the $2.00 billion Purchase Consideration falls within that range and is therefore fair, from a financial point of view, to BGMS stockholders. BGMS management and the BGMS board did not commission a separate, independent valuation of Future NRG and relied on the Discounted Free Cash Flow to Firm (“FCFF”) methodology performed by Strategic Capital Advisory in setting the $2.00 billion valuation used to determine the Purchase Consideration. For more information, see the sections entitled “The Transaction—Fairness Opinion of Future NRG Sdn. Bhd. and its Subsidiaries” in this proxy statement/prospectus and Annex B hereto.</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$2.00 billion valuation is derived substantially from assumed future growth of Future NRG’s business, rather than from its current or historical financial results. The financial projections underlying the Discounted FCFF Methodology (the “Future NRG Financials”) assume that, by December 31, 2029—within approximately four years of the anticipated Closing—Future NRG will have captured a 10% market share in each of Malaysia and Vietnam and a 30% market share in each of Thailand and the Philippines. However, Future NRG currently conducts its clinical and medical waste management business exclusively in Malaysia and has no operations, licenses, facilities, or revenue-generating business in Vietnam, Thailand, or the Philippines. Accordingly, a substantial portion of the value ascribed to Future NRG in the Fairness Opinion reflects anticipated revenue from geographic markets that Future NRG has not yet entered, rather than Future NRG’s existing, single-country operations. Strategic Capital Advisory applied a 50% “start-up” discount intended to account for the uncertainty associated with this planned international expansion, but this discount was applied to cash flows that themselves assume successful market entry into, and significant market share capture within, three additional countries within a four-year period, an outcome for which Future NRG has no prior operating history or track record. There can be no assurance that Future NRG will achieve this planned international expansion within the assumed timeframe, or at all, and if it does not, the $2.00 billion valuation used to determine the Purchase Consideration and the number of Exchange Shares issued to the Selling Shareholders may not reflect the actual fair value of Future NRG.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$2.00 billion valuation directly determines the number of shares of Parent Common Stock (the “Exchange Shares”) issuable to the Selling Shareholders, and therefore directly determines the extent of dilution experienced by BGMS’ existing stockholders. As of September 1, 2026, the directors and executive officers of BGMS owned or controlled approximately 19.8% of the outstanding shares of Parent Common Stock entitled to vote at the special meeting, meaning that BGMS’ public, non-affiliated stockholders held the remaining approximately 75% of BGMS’ outstanding common stock immediately prior to the Transaction. As a result of the Transaction, and based on the $2.00 billion valuation of Future NRG relative to BGMS’ own market capitalization, the Selling Shareholders are expected to receive Exchange Shares representing more than 99% of the outstanding shares of Parent Common Stock immediately following the Closing, and all of BGMS’ current stockholders—including both BGMS’ directors and executive officers and BGMS’ public stockholders—are expected to collectively retain less than 1% of the outstanding shares of Parent Common Stock. Accordingly, BGMS’ public stockholders, who held approximately 75% of BGMS’ outstanding common stock before the Transaction, are expected to hold less than 1% of the combined company’s outstanding common stock following the Closing, representing a substantial reduction in both economic ownership and voting power. Because this dilution is driven directly by the $2.00 billion valuation ascribed to Future NRG, which in turn depends substantially on assumed future growth into markets Future NRG has not yet entered, as described above, stockholders should carefully consider the risk that this dilution may not be commensurate with Future NRG’s actual value if the assumed growth is not achieved. For additional information, see the sections entitled “Risk Factors—The Transaction will result in significant dilution to existing BGMS shareholders” and “The Transaction—Transaction Consideration and Exchange Shares”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amount of Parent Common Stock (the “Exchange Shares”) shall be issued to the Selling Shareholders by issuance of book-entry shares representing the Exchange Shares in accordance with the applicable provisions of the DGCL, and the Transfer Agent shall be instructed to update the register of stockholders of Parent. Transaction Consideration Shares means that number of Parent Common Stock equal to (x) the quotient of Aggregate Transaction Consideration Value divided </w:t>
      </w:r>
      <w:r>
        <w:rPr>
          <w:rFonts w:ascii="Times New Roman;Times;Serif" w:hAnsi="Times New Roman;Times;Serif"/>
          <w:b w:val="false"/>
          <w:i/>
          <w:caps w:val="false"/>
          <w:smallCaps w:val="false"/>
          <w:sz w:val="20"/>
        </w:rPr>
        <w:t>by</w:t>
      </w:r>
      <w:r>
        <w:rPr>
          <w:rFonts w:ascii="Times New Roman;Times;Serif" w:hAnsi="Times New Roman;Times;Serif"/>
          <w:b w:val="false"/>
          <w:i w:val="false"/>
          <w:caps w:val="false"/>
          <w:smallCaps w:val="false"/>
          <w:sz w:val="20"/>
        </w:rPr>
        <w:t xml:space="preserve"> (y) thirty (30) day volume weighted average price (VWAP) immediately prior to the date on which the closing occurs and the transactions contemplated in the Business Combination Agreement become effective (the “Closing Date”). “Aggregate Transaction Consideration Value” means $2,000,000,000.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the closing of the Exchange (the “Closing”) shall take place no later than three business days after the date on which the conditions to Closing set forth in the Business Combination Agreement shall have been satisfied or, to the extent permitted thereunder, waived by the appropriate Party (other than those conditions that by their nature are to be satisfied at the Closing, but subject to the satisfaction or, to the extent permitted hereunder, waiver of all such conditions) or at such other time, date or location as the parties hereto agree. The date on which the Closing actually occurs and the transactions contemplated in the Business Combination Agreement become effective is hereinafter referred to as the “Closing Date.” At the time of the Closing, Parent, Selling Shareholders and the Company shall deliver the certificates and other documents and instruments required to be delivered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of BGMS will continue to own and hold their existing shares of the Company common stock. Immediately after the Transaction, (a) current Parent stockholders are expected to own approximately less than 1.0% of Parent, and (b) the Selling Shareholders are expected to own approximately more than 99.0% of Parent.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will happen to BGMS if, for any reason, the Transaction does not close?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If, for any reason, the Transaction does not close, our board of directors may elect to, among other things, attempt to complete another strategic transaction similar to the Transaction or with a different structure or continue to primarily operate its fire safety business. In addition, if the Transaction does not close, our board of directors may elect to seek another target company to acquire, though there is no assurance that such acquisition transaction would be 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Why are the two companies proposing to enter into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Following the closing of the Transaction, Parent and the Company believe that the combined company will have the following potential advantages: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after the Transaction, will continue to be a publicly traded company operating as a diversified holding company through its portfolio of two specialized subsidiaries (i.e., the Company and Parent’s current subsidiary, Fitters Sdn. Bhd. (“Fitters”)) that serve distinct but complementary market segments as a provider of essential safety and environmental services, with a strategic focus on regulatory-driven industries where compliance, technical expertise, and reliability are paramount;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strategic alignment between Parent and the Company will enable Parent to gain exposure to a high-growth industry, while concurrently enhancing the Company’s access to US capital markets;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dual-subsidiary structure reflects a deliberate strategy by Parent of building market-leading positions in niche sectors characterized by recurring revenue streams, high barriers to entry, and strong regulatory tailwinds;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the fire safety and green waste treatment businesses benefit from mandatory compliance frameworks that drive consistent demand for these products and services, providing the Company with a resilient and diversified revenue base;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serves healthcare waste generators throughout Malaysia, including clinics, dental practices, veterinary clinics, dialysis centers, laboratories, and factories, and is seeking to expand into Vietnam, Thailand, Philippines, while Fitters delivers certified safety solutions, including fire extinguishers, foam systems, fire-resistant doors, personal protective equipment (PPE), and fire safety apparel, that enhance protection across commercial, industrial, healthcare, and residential sectors and, the integration of the two, would allow the combined entity to offer a bundled solution of clinical waste disposal and fire safety equipment through a single relationship potentially increasing customer retention and per-account revenue;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Future NRG and Fitters operate in heavily regulated sectors in Malaysia and an integrated entity could centralize regulatory compliance functions including licensing, management, audit preparation, government liaison, and certification maintenance thus, reducing duplicative administrative costs and building deeper institutional expertise in navigating Malaysian environmental and safety regulations;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companies maintain distribution and logistics networks across Peninsular Malaysia, where Future NRG collects clinical waste from Department of Environment (DOE)-registered premises and transports it to its ozone medical waste treatment plant in Sendayan, Negeri Sembilan and Fitters distributes fire safety products from its Kuala Lumpur headquarters to commercial, industrial, healthcare, and residential clients and the integration could optimize transportation routes, share warehouse and staging infrastructure, and coordinate service calls to common customer sites reducing per-unit logistics costs for both business lines;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Future NRG, after the Transaction, will be led by an experienced senior management team from BGMS and the BGMS board of directors; </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Transaction, the combined company is expected to enhance its global brand profile, as Parent leverages the Company’s established operational footprint in Southeast Asia, while the Company benefits from Parent’s public listing in North America;</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Transaction, Future NRG intends to expand from its current single-country operations in Malaysia into Vietnam, Thailand and the Philippines by constructing and commercializing new ozone-based medical waste treatment plants in each of these countries, with the financial projections underlying the Fairness Opinion assuming that Future NRG will achieve a market share of 10% in each of Malaysia and Vietnam and 30% in each of Thailand and the Philippines by December 31, 2029;</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planned geographic expansion will require Future NRG to navigate regulatory frameworks in Vietnam, Thailand and the Philippines that differ materially from those applicable in Malaysia, including obtaining new environmental permits, medical waste-handling licenses, and occupational health and safety approvals from multiple governmental agencies in each jurisdiction, a process that is often lengthy, complex, and uncertain and that Future NRG has not previously undertaken outside of Malaysia;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this expansion is supported by the total addressable market for waste management services in the target countries, including a Thailand waste management market valued at approximately USD18.28 billion in 2023 and projected to reach USD34.83 billion by 2030, and a Vietnam waste management market valued at approximately USD2.36 billion in 2026 and projected to reach USD3.26 billion by 2031, as well as rising healthcare waste generation in the Philippines, which has increased by more than 20% over the preceding five years, according to a March 16, 2026 report by Next Move Strategy Consultants called “Thailand Waste Management Market by Waste Type (Hazardous Waste, and Non-Hazardous Waste), by Service (Collection, and Disposal), and by Source (Residential or Municipal Waste, Commercial Waste, and Industrial Waste) – Country Opportunity Analysis and Industry Forecast, 2024–2030;</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estimates that the construction and commercialization of each new treatment plant will cost approximately USD4.8 million, and the combined company expects to fund a portion of this planned expansion, together with other working capital needs, through the net proceeds of one or more Future Financings of up to $50,000,000 in the aggregate, as described under the Future Financing Proposal, and there can be no assurance that this expansion will be completed on the assumed timeline, on acceptable terms, or at all.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growth assumptions regarding Future NRG’s planned expansion into Vietnam, Thailand and the Philippines underlie a substantial portion of the $2.00 billion valuation of Future NRG used to determine the Purchase Consideration for the Transaction, and there can be no assurance that Future NRG will achieve this expansion within the assumed timeframe, or at all. For additional information regarding the risks associated with this planned expansion, see the sections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The Transaction—Fairness Opinion of Future NRG Sdn. Bhd. and its Subsidiaries</w:t>
      </w:r>
      <w:r>
        <w:rPr>
          <w:rFonts w:ascii="Times New Roman;Times;Serif" w:hAnsi="Times New Roman;Times;Serif"/>
          <w:b w:val="false"/>
          <w:i w:val="false"/>
          <w:caps w:val="false"/>
          <w:smallCaps w:val="false"/>
          <w:sz w:val="20"/>
        </w:rPr>
        <w:t>”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See https://www.nextmsc.com/report/thailand-waste-management-market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Why am I receiving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You are receiving this proxy statement/prospectus because you have been identified as a stockholder of BGMS as of the record date, and you are entitled to vote at the special meeting of stockholders to approve the proposals set forth above. This document serves as: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statement of BGMS used to solicit proxies for its special meeting of stockholders to vote on the matters set forth above;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of BGMS used to offer shares of its Common Stock in exchange for the Company Ordinary Shares in the Transaction.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approvals by the stockholders of BGMS are required to consummate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To consummate the Transaction, stockholders of BGMS must approve Proposal No. 1, Proposal No. 2, Proposal No. 3, Proposal No. 4 and Proposal No. 5. Pursuant to the terms of the Business Combination Agreement, BGMS is also requesting that stockholders approve Proposal No. 6, which is, collectively with Proposal No. 1, Proposal No. 2, Proposal No. 3, Proposal No. 4 and Proposal No. 5 (the “Proposals”). The Proposals include the following matters,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4"/>
        <w:gridCol w:w="9996"/>
      </w:tblGrid>
      <w:tr>
        <w:trPr/>
        <w:tc>
          <w:tcPr>
            <w:tcW w:w="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Proposal No. 1 - approve the issuance of shares of Common Stock of BGMS to the Selling Shareholders pursuant to the terms of the Business Combination Agreement between BGMS, Future NRG and the Selling Shareholders, dated as of June 4, 2026, a copy of which is attached as </w:t>
            </w:r>
            <w:r>
              <w:rPr>
                <w:rFonts w:ascii="Times New Roman;Times;Serif" w:hAnsi="Times New Roman;Times;Serif"/>
                <w:b w:val="false"/>
                <w:i/>
                <w:caps w:val="false"/>
                <w:smallCaps w:val="false"/>
                <w:sz w:val="20"/>
              </w:rPr>
              <w:t>Annex A</w:t>
            </w:r>
            <w:r>
              <w:rPr>
                <w:rFonts w:ascii="Times New Roman;Times;Serif" w:hAnsi="Times New Roman;Times;Serif"/>
                <w:b w:val="false"/>
                <w:i w:val="false"/>
                <w:caps w:val="false"/>
                <w:smallCaps w:val="false"/>
                <w:sz w:val="20"/>
              </w:rPr>
              <w:t xml:space="preserve"> and incorporated by reference herein (“Proposal No. 1”);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2 - comply with Nasdaq Listing Rule 5635(a), the issuance of more than 20% of the issued and outstanding shares of Parent Common Stock and Nasdaq Listing Rule 5635(b), the change of control of BGMS, in connection with the Transaction (“Proposal No. 2”);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3 – approve the amendment to the Amended and Restated Certificate of Incorporation of BGMS to increase the number of shares of Parent Common Stock that BGMS is authorized to issue to 3,000,000,000 shares (“Proposal No. 3”);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4 – approve an amendment to the Amended and Restated Certificate of Incorporation to effect a reverse stock split of the issued and outstanding shares of Parent Common Stock (the “Reverse Stock Split”), at a reverse stock split ratio to be determined by the Board within a range of not less than 1:4 and not more than 1:16 (“Proposal No. 4”);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5 – approve, for purposes of complying with applicable Delaware law, the rules and regulations of the SEC and Nasdaq and BGMS’ governing documents, the issuance and sale by BGMS, from time to time during the 24-month period following the Transaction (the “Future Financing”), of shares of Parent Common Stock, warrants to purchase shares of Parent Common Stock and/or other securities exercisable for, convertible into or otherwise linked to Parent Common Stock in one or more financing transactions (“Proposal No. 5”);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6 - consider and vote upon an adjournment of the special meeting, if necessary, to solicit additional proxies if there are not sufficient votes in favor of the proposals set forth above (“Proposal No. 6”); and 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 such other business as may properly come before the stockholders at the special meeting or any adjournment or postponement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presence, in person or represented by proxy, at the special meeting of the holders of a majority of the shares of Parent Common Stock outstanding and entitled to vote at the special meeting is necessary to constitute a quorum at the meeting. Abstentions and broker non-votes will be counted towards a quorum. The affirmative vote of a majority in voting power of the issued and outstanding shares of Common Stock of BGMS, entitled to vote thereon is required for approval of Proposal No. 1, Proposal No. 2, Proposal No. 3, Proposal No. 4 and Proposal No. 5. Each of Proposal No. 1, Proposal No. 2, Proposal No. 3, Proposal No. 4 and Proposal No. 5 are conditioned upon each other and the approval of each such proposal is a condition to the completion of the Transaction. Therefore, the Transaction cannot be consummated without the approval of Proposal No. 1, Proposal No. 2, Proposal No. 3, Proposal No. 4 and Proposal No. 5. You may change or revoke your proxy at any time before it is voted at the special meeting. Abstentions and broker non-votes, if any, will have the same effect as votes “AGAINST” each of Proposal No. 1, Proposal No. 2, Proposal No. 3, Proposal No. 4 and Proposal No. 5.</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1, 2026, the directors and executive officers of BGMS owned or controlled approximately 19.8% of the outstanding shares of Parent Common Stock entitled to vote at the special meeting. The adoption of the Business Combination Agreement and the approval of the Transaction and related transactions requires approval by the holders of Parent Common Stock and by the Company’s Selling Shareholders. For a more complete description of the closing conditions under the Business Combination Agreement, you are urged to read the section entitled “</w:t>
      </w:r>
      <w:r>
        <w:rPr>
          <w:rFonts w:ascii="Times New Roman;Times;Serif" w:hAnsi="Times New Roman;Times;Serif"/>
          <w:b w:val="false"/>
          <w:i/>
          <w:caps w:val="false"/>
          <w:smallCaps w:val="false"/>
          <w:sz w:val="20"/>
        </w:rPr>
        <w:t>The Business Combination Agreement—Conditions to the Completion of the Transaction</w:t>
      </w:r>
      <w:r>
        <w:rPr>
          <w:rFonts w:ascii="Times New Roman;Times;Serif" w:hAnsi="Times New Roman;Times;Serif"/>
          <w:b w:val="false"/>
          <w:i w:val="false"/>
          <w:caps w:val="false"/>
          <w:smallCaps w:val="false"/>
          <w:sz w:val="20"/>
        </w:rPr>
        <w:t>”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is the primary purpose of the Authorized Share Increase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primary purpose of the Authorized Share Increase Proposal is to ensure that the Company has a sufficient number of authorized shares of common stock available to issue the Transaction Consideration Shares in connection with the Business Combination. The Company’s existing Amended and Restated Certificate of Incorporation does not authorize a sufficient number of shares to enable the Company to issue all of the Transaction Consideration Shares and to maintain an appropriate reserve of authorized but unissued shares for future corporate purposes. Accordingly, the Board has determined that it is advisable and in the best interests of the Company and its stockholders to amend the Amended and Restated Certificate of Incorporation to increase the authorized number of shares of common stock to 3,000,000,000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is the primary purpose of the Reverse Stock Split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purpose of the Reverse Stock Split Proposal is to provide the Company with flexibility to adjust the number of issued and outstanding shares of Parent Common Stock in connection with the Business Combination, the Authorized Share Increase Proposal, the issuance of the Transaction Consideration Shares and the Company’s continued listing on The Nasdaq Stock Market LLC. The Board believes that a reverse stock split may be advisable to increase the per-share trading price of the Parent Common Stock, to facilitate compliance with applicable Nasdaq listing requirements, to make the Parent Common Stock more attractive to a broader range of institutional and other investors and to provide the Company with an appropriate capital structure following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is the primary purpose of the Future Financing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The Company may seek to raise up to $50,000,000 in gross proceeds through one or more future financing transactions. The final terms of any Future Financing, including the type and amount of securities to be issued, the purchase price, any warrant coverage, the exercise price and term of any warrants, any registration rights, any lock-up or transfer restrictions and other material terms, will be subject to negotiation between the Company and the applicable investors. The price or price range for any securities issued in the Future Financing will be determined at the time of pricing, subject to adjustment for any stock split, reverse stock split, recapitalization, combination, consolidation or similar transaction affecting the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Future Financing Proposal is to provide the Company with flexibility to raise capital following the Business Combination without the delay and expense of seeking separate stockholder approval at the time of each financing, to the extent stockholder approval would otherwise be required under applicable Delaware law, SEC rules, Nasdaq rules or the Company’s governing documents. The Company expects to use the net proceeds from any Future Financing for working capital, acquisitions, strategic transactions, transaction expenses, integration costs, capital expenditures and other general corporate purposes, as determined by the Board and management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will Selling Shareholders receive in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As a result of the Transaction, Selling Shareholders will become entitled to receive the Exchange Shares which equal approximately more than 99.0% of the issued and outstanding Parent Common Stock on a pro forma basis, immediately prior to the closing of the Transaction, or such other percentage agreed to by the Parties prior to the Closing.</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more complete description of what Selling Shareholders will receive in the Transaction, please see the sections entitled “</w:t>
      </w:r>
      <w:r>
        <w:rPr>
          <w:rFonts w:ascii="Times New Roman;Times;Serif" w:hAnsi="Times New Roman;Times;Serif"/>
          <w:b w:val="false"/>
          <w:i/>
          <w:caps w:val="false"/>
          <w:smallCaps w:val="false"/>
          <w:sz w:val="20"/>
        </w:rPr>
        <w:t>Market Price and Dividend Information</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The Transaction—Transaction Consideration and Exchange Shares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The Business Combination Agreement—Transaction Consideration and Exchange Shares</w:t>
      </w:r>
      <w:r>
        <w:rPr>
          <w:rFonts w:ascii="Times New Roman;Times;Serif" w:hAnsi="Times New Roman;Times;Serif"/>
          <w:b w:val="false"/>
          <w:i w:val="false"/>
          <w:caps w:val="false"/>
          <w:smallCaps w:val="false"/>
          <w:sz w:val="20"/>
        </w:rPr>
        <w:t>”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Who will be the directors of BGMS following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BGMS’ Board of Directors will be comprised of the current board members except that Mr. Kiu (Conner) Cu Seng plans to step down as a director but will continue to serve BGMS as its Chief Financial Officer. Mr. Pun Kah Weng, a representative of Future NRG will be appointed to the board of directors. Otherwise, there is not anticipated to be any change in the current board of directors of BGMS. Thus, immediately following the Transaction, the board of directors of BGMS is expected to be composed of the following members:</w:t>
      </w:r>
    </w:p>
    <w:p>
      <w:pPr>
        <w:pStyle w:val="TextBody"/>
        <w:bidi w:val="0"/>
        <w:spacing w:before="0" w:after="0"/>
        <w:ind w:left="0" w:right="0" w:hanging="0"/>
        <w:jc w:val="both"/>
        <w:rPr>
          <w:caps w:val="false"/>
          <w:smallCaps w:val="false"/>
        </w:rPr>
      </w:pPr>
      <w:r>
        <w:rPr>
          <w:caps w:val="false"/>
          <w:smallCaps w:val="false"/>
        </w:rPr>
        <w:t> </w:t>
      </w:r>
    </w:p>
    <w:tbl>
      <w:tblPr>
        <w:tblW w:w="4075" w:type="dxa"/>
        <w:jc w:val="left"/>
        <w:tblInd w:w="0" w:type="dxa"/>
        <w:tblLayout w:type="fixed"/>
        <w:tblCellMar>
          <w:top w:w="0" w:type="dxa"/>
          <w:left w:w="0" w:type="dxa"/>
          <w:bottom w:w="28" w:type="dxa"/>
          <w:right w:w="0" w:type="dxa"/>
        </w:tblCellMar>
      </w:tblPr>
      <w:tblGrid>
        <w:gridCol w:w="2450"/>
        <w:gridCol w:w="60"/>
        <w:gridCol w:w="1565"/>
      </w:tblGrid>
      <w:tr>
        <w:trPr/>
        <w:tc>
          <w:tcPr>
            <w:tcW w:w="24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Pun Kah Weng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Soon Ping Pappas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Satis Waran Nair Krishnan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Inigo Angel Laurduraj</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Who will be the executive officers of BGMS immediately following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There is not anticipated to be any change in the current officers of BGMS, and immediately following the Transaction, the executive management of BGMS is expected to be composed of the following members of the executive management team prior to the Transaction, as set forth below:</w:t>
      </w:r>
    </w:p>
    <w:p>
      <w:pPr>
        <w:pStyle w:val="TextBody"/>
        <w:bidi w:val="0"/>
        <w:spacing w:before="0" w:after="0"/>
        <w:ind w:left="0" w:right="0" w:hanging="0"/>
        <w:jc w:val="both"/>
        <w:rPr>
          <w:caps w:val="false"/>
          <w:smallCaps w:val="false"/>
        </w:rPr>
      </w:pPr>
      <w:r>
        <w:rPr>
          <w:caps w:val="false"/>
          <w:smallCaps w:val="false"/>
        </w:rPr>
        <w:t> </w:t>
      </w:r>
    </w:p>
    <w:tbl>
      <w:tblPr>
        <w:tblW w:w="4930" w:type="dxa"/>
        <w:jc w:val="left"/>
        <w:tblInd w:w="0" w:type="dxa"/>
        <w:tblLayout w:type="fixed"/>
        <w:tblCellMar>
          <w:top w:w="0" w:type="dxa"/>
          <w:left w:w="0" w:type="dxa"/>
          <w:bottom w:w="28" w:type="dxa"/>
          <w:right w:w="0" w:type="dxa"/>
        </w:tblCellMar>
      </w:tblPr>
      <w:tblGrid>
        <w:gridCol w:w="1835"/>
        <w:gridCol w:w="60"/>
        <w:gridCol w:w="3035"/>
      </w:tblGrid>
      <w:tr>
        <w:trPr/>
        <w:tc>
          <w:tcPr>
            <w:tcW w:w="183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r>
        <w:trPr/>
        <w:tc>
          <w:tcPr>
            <w:tcW w:w="1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Kiu Cu Seng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Secretary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As a stockholder of BGMS, how does the board of directors recommend that I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After careful consideration, the board of directors of BGMS recommends that stockholders vote “FOR” all of the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risks should I consider in deciding whether to vote in favor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You should carefully review the section of this proxy statement/prospectus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which sets forth certain risks and uncertainties related to the Transaction, risks and uncertainties to which the combined company’s business, following the closing of the Transaction will be subject, and risks and uncertainties to which each of BGMS and the Company is subject.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interests do BGMS’ and Future NRG’s directors and officers have in the Transaction that may differ from my interests as a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In considering the recommendation of the BGMS board of directors that BGMS stockholders vote to approve the Transaction, and the recommendation of the Future NRG board of directors that the Selling Shareholders approve the Transaction, stockholders should be aware that certain of BGMS’ and Future NRG’s current directors and executive officers have interests in the Transaction that are different from, or in addition to, the interests of BGMS stockholders generally. With respect to BGMS, all of the current members of the BGMS board of directors, other than Mr. Kiu (Conner) Cu Seng, who will step down as a director but continue to serve as BGMS’ Chief Financial Officer, are expected to continue serving as directors of the combined company, and all of BGMS’ current executive officers are expected to continue serving as executive officers of the combined company following the Closing. As of September 1, 2026, the directors and executive officers of BGMS owned or controlled approximately 19.8% of the outstanding shares of Parent Common Stock entitled to vote at the special meeting, and the combined company is expected to continue to indemnify its directors and officers. With respect to Future NRG, certain members of the Future NRG board of directors may have interests in the Transaction that differ from, or are in addition to, the interests of Future NRG or its other directors and executive officers generally, and the directors and officers of Future NRG are expected to remain directors and officers of Future NRG, as a wholly-owned subsidiary of the combined company, after the Closing, with Mr. Pun Kah Weng expected to be appointed to the board of directors of the combined company as a representative of Future NRG. Mr. Pun Kah Weng will be indemnified by the combined company and be entitled to director fees and reimbursement of expenses similar to the existing directors of BGMS. The BGMS board of directors and the Future NRG board of directors were each aware of these differing or additional interests and considered them, among other matters, in evaluating and negotiating the Business Combination Agreement and the Transaction and in making their respective recommendations. For more information, see the sections entitled “</w:t>
      </w:r>
      <w:r>
        <w:rPr>
          <w:rFonts w:ascii="Times New Roman;Times;Serif" w:hAnsi="Times New Roman;Times;Serif"/>
          <w:b w:val="false"/>
          <w:i/>
          <w:caps w:val="false"/>
          <w:smallCaps w:val="false"/>
          <w:sz w:val="20"/>
        </w:rPr>
        <w:t>The Transaction—Interests of the Directors and Executive Officers of Bio Green Med Solution in the Transaction”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 xml:space="preserve">The Transaction—Interests of the Directors and Executive Officers of Future NRG Sdn. Bhd. in the Transaction” </w:t>
      </w:r>
      <w:r>
        <w:rPr>
          <w:rFonts w:ascii="Times New Roman;Times;Serif" w:hAnsi="Times New Roman;Times;Serif"/>
          <w:b w:val="false"/>
          <w:i w:val="false"/>
          <w:caps w:val="false"/>
          <w:smallCaps w:val="false"/>
          <w:sz w:val="20"/>
        </w:rPr>
        <w:t>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When do you expect the Transaction to be consummated?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Transaction is anticipated to be consummated as early as the fourth quarter of 2026 after the special meeting of stockholders of BGMS to be held on November 19, 2026, but the exact timing cannot be predicted. For more information, please see the section entitled “</w:t>
      </w:r>
      <w:r>
        <w:rPr>
          <w:rFonts w:ascii="Times New Roman;Times;Serif" w:hAnsi="Times New Roman;Times;Serif"/>
          <w:b w:val="false"/>
          <w:i/>
          <w:caps w:val="false"/>
          <w:smallCaps w:val="false"/>
          <w:sz w:val="20"/>
        </w:rPr>
        <w:t>The Business Combination Agreement—Conditions to the Completion of the Transaction</w:t>
      </w:r>
      <w:r>
        <w:rPr>
          <w:rFonts w:ascii="Times New Roman;Times;Serif" w:hAnsi="Times New Roman;Times;Serif"/>
          <w:b w:val="false"/>
          <w:i w:val="false"/>
          <w:caps w:val="false"/>
          <w:smallCaps w:val="false"/>
          <w:sz w:val="20"/>
        </w:rPr>
        <w:t>”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do I need to do now?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BGMS urges you to read this proxy statement/prospectus carefully, including its annexes, and to consider how the Transaction affects you. If you are a stockholder of record, you may vote in one of the following ways: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 may vote by mail</w:t>
            </w:r>
            <w:r>
              <w:rPr>
                <w:rFonts w:ascii="Times New Roman;Times;Serif" w:hAnsi="Times New Roman;Times;Serif"/>
                <w:b w:val="false"/>
                <w:i w:val="false"/>
                <w:caps w:val="false"/>
                <w:smallCaps w:val="false"/>
                <w:sz w:val="20"/>
              </w:rPr>
              <w:t>. Complete, sign and date the proxy card that accompanies this proxy statement and return it promptly in the postage-prepaid envelope provided (if you receive printed proxy materials). Your completed, signed and dated proxy card must be received prior to the special meeting.</w:t>
            </w:r>
          </w:p>
        </w:tc>
      </w:tr>
    </w:tbl>
    <w:p>
      <w:pPr>
        <w:pStyle w:val="TextBody"/>
        <w:bidi w:val="0"/>
        <w:spacing w:before="0" w:after="0"/>
        <w:ind w:left="0" w:right="0" w:firstLine="5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 may vote by telephone</w:t>
            </w:r>
            <w:r>
              <w:rPr>
                <w:rFonts w:ascii="Times New Roman;Times;Serif" w:hAnsi="Times New Roman;Times;Serif"/>
                <w:b w:val="false"/>
                <w:i w:val="false"/>
                <w:caps w:val="false"/>
                <w:smallCaps w:val="false"/>
                <w:sz w:val="20"/>
              </w:rPr>
              <w:t>. To vote over the telephone, dial toll-free 1-800-579-1639 using a touch-tone telephone and follow the recorded instructions (have your Notice of Internet Availability or proxy card in hand when you call). You will be asked to provide the company number and control number from your Notice of Internet Availability or proxy card. Telephone voting is available 24 hours a day, 7 days a week, until 11:59 p.m., Eastern Time, on November 18, 2026.</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 may vote via the Internet</w:t>
            </w:r>
            <w:r>
              <w:rPr>
                <w:rFonts w:ascii="Times New Roman;Times;Serif" w:hAnsi="Times New Roman;Times;Serif"/>
                <w:b w:val="false"/>
                <w:i w:val="false"/>
                <w:caps w:val="false"/>
                <w:smallCaps w:val="false"/>
                <w:sz w:val="20"/>
              </w:rPr>
              <w:t>. To vote via the Internet, go to www.proxyvote.com to complete an electronic proxy card (have your Notice of Internet Availability or proxy card in hand when you visit the website). You will be asked to provide the control number from your Notice of Internet Availability or proxy card. Internet voting is available 24 hours a day, 7 days a week, until 11:59 p.m., Eastern Time, on November 18,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are a beneficial owner of shares held of record by a broker, bank or other nominee, you will receive voting instructions from your broker, bank or other nominee. You must follow the voting instructions provided by your broker, bank or other nominee in order to instruct your broker, bank or other nominee on how to vote your shares. Beneficial owners of shares should generally be able to vote by returning the voting instruction card, or by telephone or via the Internet. However, the availability of telephone or Internet voting will depend on the voting process of your broker, bank, or other nominee. </w:t>
      </w:r>
      <w:r>
        <w:rPr>
          <w:rFonts w:ascii="Times New Roman;Times;Serif" w:hAnsi="Times New Roman;Times;Serif"/>
          <w:b/>
          <w:i w:val="false"/>
          <w:caps w:val="false"/>
          <w:smallCaps w:val="false"/>
          <w:sz w:val="20"/>
        </w:rPr>
        <w:t xml:space="preserve">If you are a beneficial owner, you may </w:t>
      </w:r>
      <w:r>
        <w:rPr>
          <w:rFonts w:ascii="Times New Roman;Times;Serif" w:hAnsi="Times New Roman;Times;Serif"/>
          <w:b/>
          <w:i/>
          <w:caps w:val="false"/>
          <w:smallCaps w:val="false"/>
          <w:sz w:val="20"/>
        </w:rPr>
        <w:t>not</w:t>
      </w:r>
      <w:r>
        <w:rPr>
          <w:rFonts w:ascii="Times New Roman;Times;Serif" w:hAnsi="Times New Roman;Times;Serif"/>
          <w:b/>
          <w:i w:val="false"/>
          <w:caps w:val="false"/>
          <w:smallCaps w:val="false"/>
          <w:sz w:val="20"/>
        </w:rPr>
        <w:t xml:space="preserve"> vote your shares in person at the special meeting unless you obtain a legal proxy from your broker, bank or other nominee.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happens if I do not return a proxy card or otherwise provide proxy instructions,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The failure to return your proxy card or otherwise provide proxy instructions will reduce the aggregate number of votes required to approve the Proposals. Further, your shares will not be counted for purposes of determining whether a quorum is present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May I vote in person at the special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If your shares of common stock are registered directly in your name with our transfer agent, you are considered to be the stockholder of record with respect to those shares, and the proxy materials and proxy card are being sent directly to you by BGMS. If you are a stockholder of record, you may attend the special meeting of stockholders and vote your shares in person. Even if you plan to attend the special meeting in person, BGMS management requests that you sign and return the enclosed proxy card to ensure that your shares will be represented at the special meeting if you are unable to attend.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of common stock are held in a brokerage account or by another nominee, you are considered the beneficial owner of shares held in “street name,” and the proxy materials are being forwarded to you by your broker or other nominee together with a voting instruction form. As the beneficial owner, you are also invited to attend the special meeting of stockholders. Because a beneficial owner is not the stockholder of record, you may not vote these shares in person at the special meeting unless you obtain a legal proxy from the broker, trustee or nominee that holds your shares, giving you the right to vote the shares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When and where is the special meeting of stockholders being 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special meeting of stockholders will be a virtual meeting via live audio webcast on the Internet. You will be able to attend the special meeting, vote and submit your questions during the meeting by visiting www.proxyvote.com and entering the 16-digit control number included in the Notice of Internet Availability or proxy card that you receive.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If my shares are held in “street name” by my broker, will my broker vote my shares for 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Unless your broker has discretionary authority to vote on certain matters, your broker will not be able to vote your shares of common stock on matters requiring discretionary authority without instructions from you.</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give instructions to your broker, your broker can vote your shares with respect to “discretionary” items but not with respect to “non-discretionary” items. Discretionary items are proposals considered routine under the rules applicable to brokers on which your broker may vote shares held in “street name” in the absence of your voting instructions. On non-discretionary items for which you do not give your broker instructions, the shares will be treated as broker non-votes. It is anticipated that Proposal No. 1, Proposal No. 2, Proposal No. 3, Proposal No. 4 and Proposal No. 5 will be non-discretionary items. To make sure that your vote is counted, you should instruct your broker to vote your shares, following the procedures provided by your broker.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Can I change my vote or revoke my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If you are a stockholder of record, you can change your vote or revoke your proxy at any time before the special meeting by: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submitting a new proxy card with a date later than your previously delivered proxy and submitting it as instructed above or by providing written notice of revocation to us before the special meeting at Level 10, Tower 11, Avenue 5, No. 8, Jalan Kerinchi, Kuala Lumpur, Malaysia 59200, Attention: Kiu Cu Seng, Chief Financial Officer, Executive Director and Secretary;</w:t>
            </w:r>
          </w:p>
        </w:tc>
      </w:tr>
    </w:tbl>
    <w:p>
      <w:pPr>
        <w:pStyle w:val="TextBody"/>
        <w:bidi w:val="0"/>
        <w:spacing w:before="0" w:after="0"/>
        <w:ind w:left="8" w:right="0" w:firstLine="50"/>
        <w:jc w:val="both"/>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170"/>
        <w:gridCol w:w="6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submitting a later proxy by Internet or by telephone as instructed above; or</w:t>
            </w:r>
          </w:p>
        </w:tc>
      </w:tr>
    </w:tbl>
    <w:p>
      <w:pPr>
        <w:pStyle w:val="TextBody"/>
        <w:bidi w:val="0"/>
        <w:spacing w:before="0" w:after="0"/>
        <w:ind w:left="8"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attending the special meeting and voting at the meeting. Attending the special meeting will not, in and of itself, change or revoke a previously submitted proxy unless you specifically request it or vote at the special meeting. Your most current vote, whether by telephone, Internet or proxy card is the one that will be counted.</w:t>
            </w:r>
          </w:p>
        </w:tc>
      </w:tr>
    </w:tbl>
    <w:p>
      <w:pPr>
        <w:pStyle w:val="TextBody"/>
        <w:bidi w:val="0"/>
        <w:spacing w:before="0" w:after="0"/>
        <w:ind w:left="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Who is paying for this proxy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Laurel Hill Advisory Group, LLC, to act as our proxy solicitor in connection with the Proposals to be acted upon at our special meeting. Pursuant to our agreement, Laurel Hill Advisory Group, LLC will, among other things, provide advice regarding proxy solicitation issues and solicit proxies from our stockholders on our behalf in connection with the special meeting. For these services, we will pay a fee of approximately $7,000 plus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Who can help answer my questions?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 xml:space="preserve">If you are a stockholder of BGMS and would like additional copies of this proxy statement/prospectus without charge or if you have questions about the Transaction, including the procedures for voting your shares, you should contact Laurel Hill Advisory Group, LLC, 2 Robbins Lane, Suite 201, Jericho, NY 11753, or by phone: (516) 933-3100 or via email to dcarlo@laurelhill.com, or you may (1) visit www.ProxyVote.com, (2) call 1-800-579-1639, or (3) send an email to </w:t>
      </w:r>
      <w:r>
        <w:rPr>
          <w:rFonts w:ascii="Times New Roman;Times;Serif" w:hAnsi="Times New Roman;Times;Serif"/>
          <w:b w:val="false"/>
          <w:i w:val="false"/>
          <w:caps w:val="false"/>
          <w:smallCaps w:val="false"/>
          <w:sz w:val="20"/>
          <w:u w:val="single"/>
        </w:rPr>
        <w:t>sendmaterial@proxyvote.com</w:t>
      </w:r>
      <w:r>
        <w:rPr>
          <w:rFonts w:ascii="Times New Roman;Times;Serif" w:hAnsi="Times New Roman;Times;Serif"/>
          <w:b w:val="false"/>
          <w:i w:val="false"/>
          <w:caps w:val="false"/>
          <w:smallCaps w:val="false"/>
          <w:sz w:val="20"/>
        </w:rPr>
        <w:t>. If you send an email, please include your control number (indicated below) in the subject line. Unless requested, you will not otherwise receive a paper or email copy.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ta_002"/>
      <w:bookmarkEnd w:id="3"/>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This summary highlights selected information from this proxy statement/prospectus and may not contain all the information that is important to you. To better understand the Transaction, the Proposals being considered at the special meeting, you should read this entire proxy statement/prospectus carefully, including the Business Combination Agreement and the other annexes to which you are referred herein. For more information, please see the section entitled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in this proxy statement/prospectus.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 w:name="ta_003"/>
      <w:bookmarkEnd w:id="4"/>
      <w:r>
        <w:rPr>
          <w:rFonts w:ascii="Times New Roman;Times;Serif" w:hAnsi="Times New Roman;Times;Serif"/>
          <w:b/>
          <w:i w:val="false"/>
          <w:caps w:val="false"/>
          <w:smallCaps w:val="false"/>
          <w:sz w:val="20"/>
        </w:rPr>
        <w:t>The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10, Tower 11, Avenue 5, The Horizon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Bangsar South City, No. 8, Jalan Kerinchi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59200, Kuala Lumpur, Malaysia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 (908) 955 0526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is a holding company listed on The Nasdaq Capital Market, operating through its wholly-owned subsidiary dedicated to fire safety products and services. This subsidiary distributes and services a comprehensive range of fire protection solutions, including fire suppression systems, fire alarm and detection systems, fire extinguishers, and related safety equipment. The subsidiary serves a broad customer base spanning commercial, industrial, institutional, and residential markets in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Lot PT 6127, 3A/1,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Jalan Tech Valley, Bandar Sri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Sendayan, Seremban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Negeri Sembilan, Malaysia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Pun Kah Weng, Director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 +60 3-6276 7155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 a Malaysia private company offers green solution of scheduled waste (SW 404) treatment to private medical practitioners throughout Peninsular Malaysia. The clinical waste treatment plant has been operating since 2017 and with ozone technology from the United States, Future NRG has been able to serve more than 4,400 waste generators nationwide. It offers its clinical waste SW404 management services to Waste Generators, which covers the collection of clinical waste from Department of Environment (DOE)-registered premises to its ozone medical waste treatment plant in Sendayan, Negeri Sembilan, and supply of medical waste consumables such as sharp bins, pedal bins, and wheeled bins at competitive pricing.</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completion of the Transaction, the anticipated business of the combined company is expected to include both BGMS’ legacy fire safety equipment business, conducted through its wholly-owned subsidiary Fitters Sdn. Bhd., and the clinical and medical waste collection, transportation, and treatment business conducted by Future NRG. The combined company is expected to operate as a diversified holding company with two operating subsidiaries, Fitters and Future NRG, serving distinct but complementary market segments within regulation-driven essential services industries in Southeast Asia.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legacy fire safety equipment business, conducted through its existing wholly-owned subsidiary Fitters Sdn. Bhd. (“Fitters”), will continue to operate following the completion of the Transaction and will not be discontinued, sold, or otherwise altered as a result of the Transaction. The Transaction is structured as an acquisition by BGMS of 100% of the outstanding ordinary shares of Future NRG, which will become an additional wholly-owned subsidiary of BGMS alongside Fitters; Future NRG will not replace, be combined operationally with, or otherwise affect Fitters’ existing fire safety business, personnel, facilities, customer relationships, or regulatory licenses in Malaysia. Following the Closing, BGMS is expected to continue reporting revenue from the sale, trading, and installation of fire safety equipment, including fire extinguishers, foam systems, fire-resistant doors, personal protective equipment, and fire safety apparel, through Fitters, in addition to the revenue Future NRG generates from its clinical and medical waste management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the combined company’s anticipated revenue base is expected to reflect the combination of Fitters’ existing revenue from its fire safety equipment business in Malaysia and Future NRG’s existing revenue from its clinical and medical waste treatment business in Malaysia, together with any revenue Future NRG may generate in the future from its planned, but not yet commenced, expansion into Vietnam, Thailand, and the Philippines. BGMS believes that operating Fitters and Future NRG as separate, but complementary, subsidiaries will allow the combined company to offer bundled fire safety and clinical waste disposal solutions to certain overlapping customer segments, including healthcare and industrial facilities in Malaysia, while each subsidiary continues to be managed by its existing personnel and to operate under its existing regulatory licenses and customer contracts. There can be no assurance, however, that BGMS will realize any anticipated synergies from operating these two businesses together, or that Future NRG’s planned international expansion will be completed on the anticipated timeline or at all. For additional information regarding the risks associated with the combined company’s anticipated business, see the section entitled “Risk Factors” in this proxy statement/prospectus.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2025, BGMS reported revenue of $747,000 and a net loss of $(2,998,000).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Accounting Standards Codification (ASC) 205-40, </w:t>
      </w:r>
      <w:r>
        <w:rPr>
          <w:rFonts w:ascii="Times New Roman;Times;Serif" w:hAnsi="Times New Roman;Times;Serif"/>
          <w:b w:val="false"/>
          <w:i/>
          <w:caps w:val="false"/>
          <w:smallCaps w:val="false"/>
          <w:sz w:val="20"/>
        </w:rPr>
        <w:t>Presentation of Financial Statements—Going Concern</w:t>
      </w:r>
      <w:r>
        <w:rPr>
          <w:rFonts w:ascii="Times New Roman;Times;Serif" w:hAnsi="Times New Roman;Times;Serif"/>
          <w:b w:val="false"/>
          <w:i w:val="false"/>
          <w:caps w:val="false"/>
          <w:smallCaps w:val="false"/>
          <w:sz w:val="20"/>
        </w:rPr>
        <w:t>, management is required at each reporting period to evaluate whether conditions or events exist that, in the aggregate, raise substantial doubt about BGMS’s ability to continue as a going concern within one year after the date the financial statements are issued. This evaluation initially does not take into account the potential mitigating effect of management’s plans that have not been fully implemented as of the issuance date. When substantial doubt exists under this methodology, management then evaluates whether the mitigating effect of its plans sufficiently alleviates that doubt. Such mitigating effect is considered only if (1) it is probable that the plans will be effectively implemented within one year after the issuance date, and (2) it is probable that, once implemented, the plans will mitigate the conditions or events giving rise to substantial doubt for that one-year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this analysis, management excluded elements of its operating plan that cannot be considered probable. Under ASC 205-40, potential funding from future equity or debt issuances or from partnership agreements cannot be considered probable at this time because these plans are not entirely within BGMS’s control and had not been approved by its board of directors as of the date of the consolidated financial statements. Based on BGMS’s current operating plan, cash and cash equivalents of $3.5 million as of December 31, 2025 are expected to be sufficient to meet liquidity requirements into the third quarter of 2026. BGMS continues to work to raise additional capital; however, as of the date of these financial statements, there is no assurance that it will be able to raise additional funds to extend operations beyond the third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BGMS’s history of losses, negative operating cash flows, currently available liquid resources, and dependence on additional financing to fund operations—regarding which there can be no certainty—have resulted in a determination that substantial doubt exists about its ability to continue as a going concern for at least twelve months from the issuance date of these financial statements. Although BGMS has plans to mitigate this risk, consisting primarily of raising additional capital through public or private equity or debt financings or through partnership agreements, there is no assurance these efforts will succeed. The accompanying consolidated financial statements have been prepared on a going concern basis, which contemplates the realization of assets and satisfaction of liabilities in the normal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2025, FNRG reported revenue of $854,337 and net income of $2,490,410.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evaluates whether conditions and events, considered in the aggregate, raise substantial doubt about FNRG’s ability to continue as a going concern within the twelve-month period following the date these financial statements are issued. For the year ended December 31, 2025, FNRG reported a loss from continuing operations before income taxes of RM271,526 (USD66,862), compared to a loss of RM552,425 (USD123,433) for 2024. As of December 31, 2025, current liabilities of continuing operations exceeded current assets of continuing operations by RM18,373,451 (USD4,524,366) (December 31, 2024: RM12,362,067 (USD2,762,164)). This working capital deficiency is primarily attributable to amounts payable to the ultimate holding company and related companies within the Fitters Diversified Berhad group, totaling RM18,905,336 (USD4,655,340) as of December 31, 2025 (2024: RM19,885,572 in the aggregate). In addition, continuing operations generated negative operating cash flow of RM350,174 (USD86,228) for the year ended December 31, 2025, compared to positive operating cash flow of RM784,774 for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ultimate holding company, Fitters Diversified Berhad, had not demanded repayment of the outstanding intercompany balances and has formally confirmed its commitment to provide continued financial and operational support to enable FNRG to meet its financial obligations and settle its liabilities as they fall due. Subsequent to the reporting date, as disclosed in Note 14, FNRG completed a significant reorganization and capital restructuring, including the disposal of Solid Orient Holdings Sdn. Bhd. (“SOH”), a company principally engaged in palm oil milling operations for a total consideration of RM 10,500,000 (USD 2,585,620). Proceeds from this disposal were applied to offset amounts due to the ultimate holding company. Following completion of the SOH disposal, Fitters Diversified Berhad formally and unconditionally waived approximately RM7,855,337 (USD1,934,289) of the remaining balance due from FNRG in March 2026.</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 w:name="ta_004"/>
      <w:bookmarkEnd w:id="5"/>
      <w:r>
        <w:rPr>
          <w:rFonts w:ascii="Times New Roman;Times;Serif" w:hAnsi="Times New Roman;Times;Serif"/>
          <w:b/>
          <w:i w:val="false"/>
          <w:caps w:val="false"/>
          <w:smallCaps w:val="false"/>
          <w:sz w:val="20"/>
        </w:rPr>
        <w:t>The Transaction (see page 67)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Transaction is completed, Selling Shareholders shall convey, assign, and transfer all of their right, title and interest to all of its ordinary shares (the “Company Ordinary Shares” or “Shares” and each, a “Share”) of the Company to Parent. The Shares transferred to Parent at the Closing shall constitute 100% percent of the issued and outstanding capital shares of the Company. As consideration for its acquisition of the Shares and without any action on the part of any Party or the holders of securities of Parent or the Company, each Share issued and outstanding immediately prior to the date and time of the filing of the Malaysia Form of Transfer or at such later date or time as may be agreed by the Company and Parent in writing and specified in the Malaysia Form of Transfer in accordance with relevant provisions of the Malaysian Companies Act (the “Effective Time”) shall be converted into, and the holder thereof shall be entitled to receive a number of Parent Common Stock equal to the quotient of (i) the Transaction Consideration Shares (as defined below) divided by (ii) the total number of Shares issued and outstanding immediately prior to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amount of Parent Common Stock (the “Exchange Shares”) shall be issued to the Selling Shareholders by issuance of book-entry shares representing the Exchange Shares in accordance with the applicable provisions of the DGCL, and the Transfer Agent shall be instructed to update the register of stockholders of Parent. Transaction Consideration Shares means that number of Parent Common Stock equal to (x) the quotient of Aggregate Transaction Consideration Value divided </w:t>
      </w:r>
      <w:r>
        <w:rPr>
          <w:rFonts w:ascii="Times New Roman;Times;Serif" w:hAnsi="Times New Roman;Times;Serif"/>
          <w:b w:val="false"/>
          <w:i/>
          <w:caps w:val="false"/>
          <w:smallCaps w:val="false"/>
          <w:sz w:val="20"/>
        </w:rPr>
        <w:t>by</w:t>
      </w:r>
      <w:r>
        <w:rPr>
          <w:rFonts w:ascii="Times New Roman;Times;Serif" w:hAnsi="Times New Roman;Times;Serif"/>
          <w:b w:val="false"/>
          <w:i w:val="false"/>
          <w:caps w:val="false"/>
          <w:smallCaps w:val="false"/>
          <w:sz w:val="20"/>
        </w:rPr>
        <w:t xml:space="preserve"> (y) thirty (30) day VWAP immediately prior to the date on which the closing occurs and the transactions contemplated in the Business Combination Agreement become effective (the “Closing Date”). “Aggregate Transaction Consideration Value” means $2,000,000,000.</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of BGMS will continue to own and hold their existing shares of the Company common stock. Immediately after the Transaction, (a) current Parent stockholders are expected to own approximately less than 1.0% of the Company and (b) the Selling Shareholders are expected to own approximately more than 99.0% of Parent, which amounts are subject to adjustment before the Closing. For a more complete description of the Transaction or the Exchange Shares, please see the sections entitled “</w:t>
      </w:r>
      <w:r>
        <w:rPr>
          <w:rFonts w:ascii="Times New Roman;Times;Serif" w:hAnsi="Times New Roman;Times;Serif"/>
          <w:b w:val="false"/>
          <w:i/>
          <w:caps w:val="false"/>
          <w:smallCaps w:val="false"/>
          <w:sz w:val="20"/>
        </w:rPr>
        <w:t>The Transaction</w:t>
      </w:r>
      <w:r>
        <w:rPr>
          <w:rFonts w:ascii="Times New Roman;Times;Serif" w:hAnsi="Times New Roman;Times;Serif"/>
          <w:b w:val="false"/>
          <w:i w:val="false"/>
          <w:caps w:val="false"/>
          <w:smallCaps w:val="false"/>
          <w:sz w:val="20"/>
        </w:rPr>
        <w:t>” beginning on page 67 and “</w:t>
      </w:r>
      <w:r>
        <w:rPr>
          <w:rFonts w:ascii="Times New Roman;Times;Serif" w:hAnsi="Times New Roman;Times;Serif"/>
          <w:b w:val="false"/>
          <w:i/>
          <w:caps w:val="false"/>
          <w:smallCaps w:val="false"/>
          <w:sz w:val="20"/>
        </w:rPr>
        <w:t>The Business Combination Agreement—Transaction Consideration and Exchange Shares</w:t>
      </w:r>
      <w:r>
        <w:rPr>
          <w:rFonts w:ascii="Times New Roman;Times;Serif" w:hAnsi="Times New Roman;Times;Serif"/>
          <w:b w:val="false"/>
          <w:i w:val="false"/>
          <w:caps w:val="false"/>
          <w:smallCaps w:val="false"/>
          <w:sz w:val="20"/>
        </w:rPr>
        <w:t>” beginning on page 88.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Stockholders of the Combined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diagram summarizes the combined company’s organizational structure anticipated after the Closing of the Transaction and the anticipated ownership percentages of the principal shareholders of the combined company and its operating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134225" cy="3409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134225" cy="34099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will be completed as promptly as practicable after all of the conditions to completion of the Transaction are satisfied or waived, including the approval of the stockholders of BGMS. BGMS, Future NRG and Selling Shareholders are working to complete the Transaction as quickly as practicable. However, BGMS, Future NRG and Selling Shareholders cannot predict the exact timing of the completion of the Transaction because it is subject to various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 w:name="ta_005"/>
      <w:bookmarkEnd w:id="6"/>
      <w:r>
        <w:rPr>
          <w:rFonts w:ascii="Times New Roman;Times;Serif" w:hAnsi="Times New Roman;Times;Serif"/>
          <w:b/>
          <w:i w:val="false"/>
          <w:caps w:val="false"/>
          <w:smallCaps w:val="false"/>
          <w:sz w:val="20"/>
        </w:rPr>
        <w:t>Reasons for the Transaction (see pages 73 and 83)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completed the acquisition of its fire safety subsidiary in the prior fiscal year, marking its initial entry into the essential services sector. That transaction established a platform for recurring, compliance-driven revenue and demonstrated BGMS’ ability to integrate operationally complex service businesses. Building on the success of the fire safety acquisition, BGMS is now pursuing the acquisition of the green scheduled waste treatment subsidiary as its next strategic transaction. Following the Transaction, the combined company will focus on the Company’s specialized subsidiaries that serve distinct but complementary market segments; BGMS believes that the combined company will have the following potential advantages: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after the Transaction, will continue to be a publicly traded company operating as a diversified holding company through its portfolio of two specialized subsidiaries (i.e., the Company and Parent’s current subsidiary, Fitters Sdn. Bhd. (“Fitters”)) that serve distinct but complementary market segments as a provider of essential safety and environmental services, with a strategic focus on regulatory-driven industries where compliance, technical expertise, and reliability are paramount;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strategic alignment between Parent and the Company will enable Parent to gain exposure to a high-growth industry, while concurrently enhancing the Company’s access to US capital markets;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dual-subsidiary structure reflects a deliberate strategy of by Parent of building market-leading positions in niche sectors characterized by recurring revenue streams, high barriers to entry, and strong regulatory tailwinds;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the fire safety and green waste treatment businesses benefit from mandatory compliance frameworks that drive consistent demand for these products and services, providing the Company with a resilient and diversified revenue base;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serves healthcare waste generators throughout Malaysia, including clinics, dental practices, veterinary clinics, dialysis centers, laboratories, and factories, and is seeking to expand into Vietnam, Thailand, Philippines, while Fitters delivers certified safety solutions, including fire extinguishers, foam systems, fire-resistant doors, PPE, and fire safety apparel, that enhance protection across commercial, industrial, healthcare, and residential sectors and, the integration of the two, would allow the combined entity to offer a bundled solution of clinical waste disposal and fire safety equipment through a single relationship potentially increasing customer retention and per-account revenue;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Future NRG and Fitters operate in heavily regulated sectors in Malaysia and an integrated entity could centralize regulatory compliance functions including licensing, management, audit preparation, government liaison, and certification maintenance thus, reducing duplicative administrative costs and building deeper institutional expertise in navigating Malaysian environmental and safety regulations;</w:t>
            </w:r>
          </w:p>
        </w:tc>
      </w:tr>
    </w:tbl>
    <w:p>
      <w:pPr>
        <w:pStyle w:val="TextBody"/>
        <w:bidi w:val="0"/>
        <w:spacing w:before="0" w:after="0"/>
        <w:ind w:left="72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companies maintain distribution and logistics networks across Peninsular Malaysia, where Future NRG collects clinical waste from DOE-registered premises and transports it to its ozone medical waste treatment plant in Sendayan, Negeri Sembilan and Fitters distributes fire safety products from its Kuala Lumpur headquarters to commercial, industrial, healthcare, and residential clients and the integration could optimize transportation routes, share warehouse and staging infrastructure, and coordinate service calls to common customer sites reducing per-unit logistics costs for both business lines;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after the Transaction, will be led by an experienced senior management team from BGMS and the BGMS board of directors; and</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Transaction, the combined company is expected to enhance its global brand profile, as Parent leverages the Company’s established operational footprint in Southeast Asia, while the Company benefits from Parent’s market presence in North America.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board of directors of BGMS and Future NRG, as well as the Selling Shareholders, also considered other reasons for the Transaction, as described in this proxy statement/prospectus. For example, BGMS’ board of directors considered, among other things: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green waste treatment business provides meaningful diversification across end markets and customer segments, reducing BGMS’ concentration risk in any single vertical while maintaining thematic coherence around safety and environmental stewardship;</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target’s focus on private medical practitioners represents a large, fragmented, and underserved addressable market where consolidation and professionalization of service delivery can unlock significant organic growth;</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strategic alternatives of BGMS to the Transaction, including potential transactions that could have resulted from discussions that management and its representatives conducted with other potential strategic partners;</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market conditions, and BGMS’ current liquidity position, its depressed stock price and continuing net operating losses;</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increasing global emphasis on sustainability and environmentally responsible waste management creates a favorable secular tailwind for green treatment technologies, positioning BGMS to benefit from regulatory tightening and shifting market preferences away from traditional incineration-based disposal;</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opportunity as a result of the Transaction for BGMS stockholders to participate in the potential value that may result from advancing BGMS as a diversified holding company listed on The Nasdaq Stock Market, operating through a portfolio of specialized subsidiaries that serve distinct but complementary market segments and the potential increase in value of the company following the closing of the Transaction;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conditions of the draft Business Combination Agreement and associated transactions, as well as the safeguards and protective provisions included therein intended to mitigate risks.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Future NRG’s board of directors approved the Transaction based on a number of factors, including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need for capital to support the increase to the sales of its current services to new geographic areas by accessing the United States’ public market capital, including sources of capital from a broader range of investors than it could otherwise obtain if it continued to operate as a private company owned by the Selling Shareholders;</w:t>
            </w:r>
          </w:p>
        </w:tc>
      </w:tr>
    </w:tbl>
    <w:p>
      <w:pPr>
        <w:pStyle w:val="TextBody"/>
        <w:bidi w:val="0"/>
        <w:spacing w:before="0" w:after="0"/>
        <w:ind w:left="0" w:right="0" w:firstLine="5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expectation that the Transaction would be a more time-and cost-effective means to access capital than other options considered; and</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Exchange Shares of Parent Common Stock issued to Selling Shareholders will be registered pursuant to a registration statement on Form S-4 by BGMS and will become freely tradable for certain Selling Shareholders.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 w:name="ta_006"/>
      <w:bookmarkEnd w:id="7"/>
      <w:r>
        <w:rPr>
          <w:rFonts w:ascii="Times New Roman;Times;Serif" w:hAnsi="Times New Roman;Times;Serif"/>
          <w:b/>
          <w:i w:val="false"/>
          <w:caps w:val="false"/>
          <w:smallCaps w:val="false"/>
          <w:sz w:val="20"/>
        </w:rPr>
        <w:t>Interests of the Directors and Executive Officers of BGMS in the Transaction</w:t>
      </w:r>
      <w:r>
        <w:rPr>
          <w:rFonts w:ascii="Times New Roman;Times;Serif" w:hAnsi="Times New Roman;Times;Serif"/>
          <w:b w:val="false"/>
          <w:i w:val="false"/>
          <w:caps w:val="false"/>
          <w:smallCaps w:val="false"/>
          <w:sz w:val="20"/>
        </w:rPr>
        <w:t xml:space="preserve"> (see page 84)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1, 2026, the directors and executive officers of BGMS owned or controlled approximately 19.8% of the outstanding shares of Parent Common Stock. These interests are discussed in more detail in the section entitled “</w:t>
      </w:r>
      <w:r>
        <w:rPr>
          <w:rFonts w:ascii="Times New Roman;Times;Serif" w:hAnsi="Times New Roman;Times;Serif"/>
          <w:b w:val="false"/>
          <w:i/>
          <w:caps w:val="false"/>
          <w:smallCaps w:val="false"/>
          <w:sz w:val="20"/>
        </w:rPr>
        <w:t>The Transaction—Interests of the Directors and Executive Officers of BGMS in the Transaction</w:t>
      </w:r>
      <w:r>
        <w:rPr>
          <w:rFonts w:ascii="Times New Roman;Times;Serif" w:hAnsi="Times New Roman;Times;Serif"/>
          <w:b w:val="false"/>
          <w:i w:val="false"/>
          <w:caps w:val="false"/>
          <w:smallCaps w:val="false"/>
          <w:sz w:val="20"/>
        </w:rPr>
        <w:t>” of this proxy statement/prospectus. The members of the board of directors were aware of the different or additional interests described in such section and considered these interests, among other matters, in evaluating and negotiating the Business Combination Agreement and the Transaction, and in recommending to our stockholders that the Transaction be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 w:name="ta_007"/>
      <w:bookmarkEnd w:id="8"/>
      <w:r>
        <w:rPr>
          <w:rFonts w:ascii="Times New Roman;Times;Serif" w:hAnsi="Times New Roman;Times;Serif"/>
          <w:b/>
          <w:i w:val="false"/>
          <w:caps w:val="false"/>
          <w:smallCaps w:val="false"/>
          <w:sz w:val="20"/>
        </w:rPr>
        <w:t>Interests of the Directors and Executive Officers of Future NRG in the Transaction</w:t>
      </w:r>
      <w:r>
        <w:rPr>
          <w:rFonts w:ascii="Times New Roman;Times;Serif" w:hAnsi="Times New Roman;Times;Serif"/>
          <w:b w:val="false"/>
          <w:i w:val="false"/>
          <w:caps w:val="false"/>
          <w:smallCaps w:val="false"/>
          <w:sz w:val="20"/>
        </w:rPr>
        <w:t xml:space="preserve"> (see page 87)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stockholders should be aware that certain executive officers and directors of Future NRG have interests in the Transaction that may be different from the interests of stockholders of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ta_008"/>
      <w:bookmarkEnd w:id="9"/>
      <w:r>
        <w:rPr>
          <w:rFonts w:ascii="Times New Roman;Times;Serif" w:hAnsi="Times New Roman;Times;Serif"/>
          <w:b/>
          <w:i w:val="false"/>
          <w:caps w:val="false"/>
          <w:smallCaps w:val="false"/>
          <w:sz w:val="20"/>
        </w:rPr>
        <w:t>Continued Service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and officers of Future NRG are expected to remain directors and officers of the Company after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 w:name="ta_009"/>
      <w:bookmarkEnd w:id="10"/>
      <w:r>
        <w:rPr>
          <w:rFonts w:ascii="Times New Roman;Times;Serif" w:hAnsi="Times New Roman;Times;Serif"/>
          <w:b/>
          <w:i w:val="false"/>
          <w:caps w:val="false"/>
          <w:smallCaps w:val="false"/>
          <w:sz w:val="20"/>
        </w:rPr>
        <w:t>Fairness Opinion of the Future NRG Sdn. Bhd. (see page 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25, 2026, Strategic Capital Advisory Sdn. Bhd. (“Strategic Capital Advisory”), a highly specialized corporate finance services company retained by BGMS, rendered its written fairness opinion (the “Fairness Opinion”) to the BGMS board of directors. The Fairness Opinion concluded that, as of the date of such opinion, and based upon the various assumptions, qualifications and limitations set forth therein, the fair value of the entire equity interest of Future NRG ranges from $1.76 billion to $2.08 billion. Accordingly, Strategic Capital Advisory concluded that the purchase consideration of USD2.00 billion (“Purchase Consideration”) falls within the ranges of values derived using the Discounted Free Cash Flow to Firm (“FCFF”) methodology, hence it is fair from a financial point of view, to the stockholders of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caps w:val="false"/>
          <w:smallCaps w:val="false"/>
        </w:rPr>
      </w:pPr>
      <w:r>
        <w:rPr>
          <w:caps w:val="false"/>
          <w:smallCaps w:val="false"/>
        </w:rPr>
        <w:t> </w:t>
      </w:r>
      <w:r>
        <w:rPr>
          <w:rFonts w:ascii="Times New Roman;Times;Serif" w:hAnsi="Times New Roman;Times;Serif"/>
          <w:b/>
          <w:i w:val="false"/>
          <w:caps w:val="false"/>
          <w:smallCaps w:val="false"/>
          <w:sz w:val="20"/>
        </w:rPr>
        <w:t xml:space="preserve">The full text of the written Fairness Opinion of Strategic Capital Advisory dated May 25, 2026 is attached as </w:t>
      </w:r>
      <w:r>
        <w:rPr>
          <w:rFonts w:ascii="Times New Roman;Times;Serif" w:hAnsi="Times New Roman;Times;Serif"/>
          <w:b/>
          <w:i/>
          <w:caps w:val="false"/>
          <w:smallCaps w:val="false"/>
          <w:sz w:val="20"/>
        </w:rPr>
        <w:t>Annex B</w:t>
      </w:r>
      <w:r>
        <w:rPr>
          <w:rFonts w:ascii="Times New Roman;Times;Serif" w:hAnsi="Times New Roman;Times;Serif"/>
          <w:b/>
          <w:i w:val="false"/>
          <w:caps w:val="false"/>
          <w:smallCaps w:val="false"/>
          <w:sz w:val="20"/>
        </w:rPr>
        <w:t xml:space="preserve"> to this proxy statement/prospectus and is incorporated by reference. BGMS management encourages its stockholders to read the Fairness Opinion in its entirety for the assumptions made, procedures followed, other matters considered and limits of the review by Strategic Capital Advisory. The summary of the written opinion of Strategic Capital Advisory set forth elsewhere in the proxy statement/prospectus is qualified by reference to the full text of the Fairness Opinion. The Fairness Opinion was provided for the use and benefit of the BGMS board in its evaluation of the Transaction and does not constitute a recommendation to any stockholder as to how to vote or act with respect to the Transaction or any other matter. Stockholders are urged to read the Fairness Opinion carefully and in its entirety and to make their own independent assessment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 w:name="ta_010"/>
      <w:bookmarkEnd w:id="11"/>
      <w:r>
        <w:rPr>
          <w:rFonts w:ascii="Times New Roman;Times;Serif" w:hAnsi="Times New Roman;Times;Serif"/>
          <w:b/>
          <w:i w:val="false"/>
          <w:caps w:val="false"/>
          <w:smallCaps w:val="false"/>
          <w:sz w:val="20"/>
        </w:rPr>
        <w:t>Management Following the Closing of the Transaction</w:t>
      </w:r>
      <w:r>
        <w:rPr>
          <w:rFonts w:ascii="Times New Roman;Times;Serif" w:hAnsi="Times New Roman;Times;Serif"/>
          <w:b w:val="false"/>
          <w:i w:val="false"/>
          <w:caps w:val="false"/>
          <w:smallCaps w:val="false"/>
          <w:sz w:val="20"/>
        </w:rPr>
        <w:t xml:space="preserve"> (see page 168)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following the Transaction, the executive management team and board of directors of BGMS will be as set forth below:</w:t>
      </w:r>
    </w:p>
    <w:p>
      <w:pPr>
        <w:pStyle w:val="TextBody"/>
        <w:bidi w:val="0"/>
        <w:spacing w:before="0" w:after="0"/>
        <w:ind w:left="0" w:right="0" w:hanging="0"/>
        <w:jc w:val="both"/>
        <w:rPr>
          <w:caps w:val="false"/>
          <w:smallCaps w:val="false"/>
        </w:rPr>
      </w:pPr>
      <w:r>
        <w:rPr>
          <w:caps w:val="false"/>
          <w:smallCaps w:val="false"/>
        </w:rPr>
        <w:t> </w:t>
      </w:r>
    </w:p>
    <w:tbl>
      <w:tblPr>
        <w:tblW w:w="6795" w:type="dxa"/>
        <w:jc w:val="left"/>
        <w:tblInd w:w="0" w:type="dxa"/>
        <w:tblLayout w:type="fixed"/>
        <w:tblCellMar>
          <w:top w:w="0" w:type="dxa"/>
          <w:left w:w="0" w:type="dxa"/>
          <w:bottom w:w="28" w:type="dxa"/>
          <w:right w:w="0" w:type="dxa"/>
        </w:tblCellMar>
      </w:tblPr>
      <w:tblGrid>
        <w:gridCol w:w="2450"/>
        <w:gridCol w:w="60"/>
        <w:gridCol w:w="350"/>
        <w:gridCol w:w="60"/>
        <w:gridCol w:w="3875"/>
      </w:tblGrid>
      <w:tr>
        <w:trPr/>
        <w:tc>
          <w:tcPr>
            <w:tcW w:w="24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Executive 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Kiu Cu Seng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Secretary</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Soon Ping Pappas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Satis Waran Nair Krishnan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Inigo Angel Laurduraj</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Pun Kah Weng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 w:name="ta_011"/>
      <w:bookmarkEnd w:id="12"/>
      <w:r>
        <w:rPr>
          <w:rFonts w:ascii="Times New Roman;Times;Serif" w:hAnsi="Times New Roman;Times;Serif"/>
          <w:b/>
          <w:i w:val="false"/>
          <w:caps w:val="false"/>
          <w:smallCaps w:val="false"/>
          <w:sz w:val="20"/>
        </w:rPr>
        <w:t>Overview of the Business Combination Agreement and Agreements Related to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Transaction Consideration and Exchange Shares </w:t>
      </w:r>
      <w:r>
        <w:rPr>
          <w:rFonts w:ascii="Times New Roman;Times;Serif" w:hAnsi="Times New Roman;Times;Serif"/>
          <w:b w:val="false"/>
          <w:i w:val="false"/>
          <w:caps w:val="false"/>
          <w:smallCaps w:val="false"/>
          <w:sz w:val="20"/>
        </w:rPr>
        <w:t>(see page 88)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Transaction, each outstanding ordinary share of Future NRG held by Selling Shareholders will be exchanged for an aggregate amount of Parent Common Stock (the “Exchange Shares”), as described in more detail herein. No fractional shares of Parent Common Stock will be issued in connection with the Transaction. Instead, all fractional shares of Parent Common Stock that are issuable to Selling Shareholders will be aggregated and will be rounded up into one full share of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Exchange Shares is calculated using a formula intended to allocate to Selling Shareholders, a percentage of the combined company. As consideration for its acquisition of the Shares and without any action on the part of any Party or the holders of securities of Parent or the Company, each Share issued and outstanding immediately prior to the date and time of the filing of the Malaysia Form of Transfer or at such later date or time as may be agreed by the Company and Parent in writing and specified in the Malaysia Form of Transfer in accordance with relevant provisions of the Malaysian Companies Act (the “Effective Time”) shall be converted into, and the holder thereof shall be entitled to receive a number of Parent Common Stock equal to the quotient of (i) the Transaction Consideration Shares (as defined below) divided by (ii) the total number of Shares issued and outstanding immediately prior to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amount of Exchange Shares shall be issued to the Selling Shareholders by issuance of book-entry shares in accordance with the applicable provisions of the DGCL, and the Transfer Agent shall be instructed to update the register of stockholders of Parent. Transaction Consideration Shares means that number of Parent Common Stock equal to (x) the quotient of Aggregate Transaction Consideration Value divided </w:t>
      </w:r>
      <w:r>
        <w:rPr>
          <w:rFonts w:ascii="Times New Roman;Times;Serif" w:hAnsi="Times New Roman;Times;Serif"/>
          <w:b w:val="false"/>
          <w:i/>
          <w:caps w:val="false"/>
          <w:smallCaps w:val="false"/>
          <w:sz w:val="20"/>
        </w:rPr>
        <w:t>by</w:t>
      </w:r>
      <w:r>
        <w:rPr>
          <w:rFonts w:ascii="Times New Roman;Times;Serif" w:hAnsi="Times New Roman;Times;Serif"/>
          <w:b w:val="false"/>
          <w:i w:val="false"/>
          <w:caps w:val="false"/>
          <w:smallCaps w:val="false"/>
          <w:sz w:val="20"/>
        </w:rPr>
        <w:t xml:space="preserve"> (y) thirty (30) day VWAP immediately prior to the date on which the closing occurs and the transactions contemplated in the Business Combination Agreement become effective (the “Closing Date”). “Aggregate Transaction Consideration Value” means $2,000,000,000.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estimates set forth above, following the completion of the Transaction, (a) current BGMS stockholders are expected to own approximately less than 1.0% of the common stock of BGMS, and (b) Selling Shareholders are expected to own approximately more than 99.0% of the common stock of BGMS, which final percentages are subject to adjustment based on the number of Exchange Shares issued at the Closing, as set forth in the Business Combination Agreement. If the Transaction does not close by December 31, 2026, either party may terminate the Business Combination Agreement and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stock options that remain unexercised prior to the effective time of the Transaction will remain outstanding following the effective time of the Transaction. Likewise, any outstanding warrants to purchase shares of Parent Common Stock that are outstanding immediately prior to the effective time of the Transaction will remain outstanding following the effective time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Conditions to the Completion of the Transaction </w:t>
      </w:r>
      <w:r>
        <w:rPr>
          <w:rFonts w:ascii="Times New Roman;Times;Serif" w:hAnsi="Times New Roman;Times;Serif"/>
          <w:b w:val="false"/>
          <w:i w:val="false"/>
          <w:caps w:val="false"/>
          <w:smallCaps w:val="false"/>
          <w:sz w:val="20"/>
        </w:rPr>
        <w:t>(see page 103)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complete the Transaction, each of the closing conditions set forth in the Business Combination Agreement must be satisfied or waived including without limitation: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 Injunctions</w:t>
            </w:r>
            <w:r>
              <w:rPr>
                <w:rFonts w:ascii="Times New Roman;Times;Serif" w:hAnsi="Times New Roman;Times;Serif"/>
                <w:b w:val="false"/>
                <w:i w:val="false"/>
                <w:caps w:val="false"/>
                <w:smallCaps w:val="false"/>
                <w:sz w:val="20"/>
              </w:rPr>
              <w:t>. No temporary restraining Order, preliminary or permanent injunction issued by any court of competent jurisdiction preventing or prohibiting the consummation of the Exchange or the other transactions contemplated the Business Combination Agreement shall be in effect; provided, however, that each Party shall have used its commercially reasonable efforts to prevent the entry of any such Orders or injunctions and to appeal as promptly as possible any such Orders or injunctions and to appeal as promptly as possible any such Orders or injunctions that may be entered.</w:t>
            </w:r>
          </w:p>
        </w:tc>
      </w:tr>
    </w:tbl>
    <w:p>
      <w:pPr>
        <w:pStyle w:val="TextBody"/>
        <w:bidi w:val="0"/>
        <w:spacing w:before="0" w:after="0"/>
        <w:ind w:left="72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Stockholder Approval</w:t>
            </w:r>
            <w:r>
              <w:rPr>
                <w:rFonts w:ascii="Times New Roman;Times;Serif" w:hAnsi="Times New Roman;Times;Serif"/>
                <w:b w:val="false"/>
                <w:i w:val="false"/>
                <w:caps w:val="false"/>
                <w:smallCaps w:val="false"/>
                <w:sz w:val="20"/>
              </w:rPr>
              <w:t>. Parent shall have obtained the Parent Stockholder Exchange Vote and the Company shall have obtained the Required Company Shareholder Vote, each as defined below (and in the Business Combination Agreement).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Effectiveness of Registration Statement</w:t>
            </w:r>
            <w:r>
              <w:rPr>
                <w:rFonts w:ascii="Times New Roman;Times;Serif" w:hAnsi="Times New Roman;Times;Serif"/>
                <w:b w:val="false"/>
                <w:i w:val="false"/>
                <w:caps w:val="false"/>
                <w:smallCaps w:val="false"/>
                <w:sz w:val="20"/>
              </w:rPr>
              <w:t>. The Registration Statement shall have become effective in accordance with the provisions of the Securities Act, and shall not be subject to any stop order or proceeding (or threatened proceeding by the SEC) seeking a stop order with respect to the Registration Statement that has not been withdrawn. Any material state securities laws applicable to the issuance of the shares of Parent Common Stock in connection with the transactions contemplated under the Business Combination Agreement shall have been complied with and no stop order (or similar order) shall have been issued or threatened in writing in respect of thereof by any applicable state securities commissioner or court of competent jurisdiction.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Listing</w:t>
            </w:r>
            <w:r>
              <w:rPr>
                <w:rFonts w:ascii="Times New Roman;Times;Serif" w:hAnsi="Times New Roman;Times;Serif"/>
                <w:b w:val="false"/>
                <w:i w:val="false"/>
                <w:caps w:val="false"/>
                <w:smallCaps w:val="false"/>
                <w:sz w:val="20"/>
              </w:rPr>
              <w:t>. The shares of Parent Common Stock to be issued in the Exchange pursuant to the Business Combination Agreement shall have been approved for listing (subject to official notice of issuance) on Nasdaq as of the Closing.</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foregoing closing conditions, the obligations of Parent and the obligations of Future NRG to consummate the transactions contemplated under the Business Combination Agreement are also subject to the satisfaction or waiver in writing prior to the Effective Time of the certain conditions as discussed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Business Combination Agreement, “Parent Stockholder Exchange Vote” means the affirmative vote of a majority of the shares of Parent Common Stock properly cast being the only vote of the holders of any class or series of Parent’s capital stock necessary to approve the Business Combination Agreement and thereby approve the transactions contemplated under the Business Combination Agreement, including the issuance of the Exchange Shares to Selling Shareholders pursuant to the terms of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Termination of the Business Combination Agreement</w:t>
      </w:r>
      <w:r>
        <w:rPr>
          <w:rFonts w:ascii="Times New Roman;Times;Serif" w:hAnsi="Times New Roman;Times;Serif"/>
          <w:b w:val="false"/>
          <w:i w:val="false"/>
          <w:caps w:val="false"/>
          <w:smallCaps w:val="false"/>
          <w:sz w:val="20"/>
        </w:rPr>
        <w:t xml:space="preserve"> (see page 104)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of Future NRG or BGMS management can terminate the Business Combination Agreement under certain specified circumstances, which would prevent the Transaction from being consummated.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 w:name="ta_012"/>
      <w:bookmarkEnd w:id="13"/>
      <w:r>
        <w:rPr>
          <w:rFonts w:ascii="Times New Roman;Times;Serif" w:hAnsi="Times New Roman;Times;Serif"/>
          <w:b/>
          <w:i w:val="false"/>
          <w:caps w:val="false"/>
          <w:smallCaps w:val="false"/>
          <w:sz w:val="20"/>
        </w:rPr>
        <w:t xml:space="preserve">Regulatory Approvals </w:t>
      </w:r>
      <w:r>
        <w:rPr>
          <w:rFonts w:ascii="Times New Roman;Times;Serif" w:hAnsi="Times New Roman;Times;Serif"/>
          <w:b w:val="false"/>
          <w:i w:val="false"/>
          <w:caps w:val="false"/>
          <w:smallCaps w:val="false"/>
          <w:sz w:val="20"/>
        </w:rPr>
        <w:t>(see page 104)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BGMS must comply with applicable federal and state securities laws and the rules and regulations of The Nasdaq Stock Market in connection with the issuance of shares of Parent Common Stock and the filing of this proxy statement/prospectus with the Securities and Exchange Commission. As of the date hereof, the registration statement on Form S-4 of which this proxy statement/prospectus is a part, has not become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Malaysia, Future NRG shall have complied with all applicable and necessary approvals regarding the Transaction contemplated under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4" w:name="ta_013"/>
      <w:bookmarkEnd w:id="14"/>
      <w:r>
        <w:rPr>
          <w:rFonts w:ascii="Times New Roman;Times;Serif" w:hAnsi="Times New Roman;Times;Serif"/>
          <w:b/>
          <w:i w:val="false"/>
          <w:caps w:val="false"/>
          <w:smallCaps w:val="false"/>
          <w:sz w:val="20"/>
        </w:rPr>
        <w:t xml:space="preserve">Material U.S. Federal Income Tax Consequences of the Transaction </w:t>
      </w:r>
      <w:r>
        <w:rPr>
          <w:rFonts w:ascii="Times New Roman;Times;Serif" w:hAnsi="Times New Roman;Times;Serif"/>
          <w:b w:val="false"/>
          <w:i w:val="false"/>
          <w:caps w:val="false"/>
          <w:smallCaps w:val="false"/>
          <w:sz w:val="20"/>
        </w:rPr>
        <w:t>(see page 90)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federal income tax purposes, the Exchange is intended to constitute a tax-free exchange of property within the meaning of Section 351 of the Code, and the Parties shall report the transactions contemplated by the Business Combination Agreement consistent with such intent and shall take no position in any tax filing or legal proceeding inconsistent therewith. None of Parent, the Company or the Selling Shareholders has taken or failed to take, and after the Effective Time, Parent shall not take or fail to take, any action which reasonably could be expected to cause the Exchange to fail to qualify as a tax-free exchange of property within the meaning of Section 351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Stamp Act 1949 of Malaysia, the transfer or assignment of shares in a Malaysian company is generally subject to stamp duty. However, the stamp duty implications of the Exchange will depend on the nature of the transaction and whether any instrument of transfer is executed in Malaysia or relates to property situated in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should consider whether stamp duty obligations arise in connection with the Exchange and the applicable rate of duty.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of the Company Ordinary Shares by Selling Shareholders for the Transaction consideration will be treated as an exchange described in Section 1001 of the Code, the material U.S. federal income tax consequences of which should be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Shareholders will recognize gain or loss upon the conveyance, assignment, and transfer of all of its right, title and interest to the Company Ordinary Shares to Parent by delivering to Parent executed and transferrable Share certificates pursuant to the Transaction but such gain or loss will be taxable in the U.S. only if the gain or loss is effectively connected with a trade or business of Future NRG in the United States; and</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Future NRG has a trade or business in the United States to which such gain is effectively connected, it will not be subject to tax if Selling Shareholders are eligible for the benefits of a comprehensive income tax treaty with the United States and such trade or business does not also constitute a permanent establishment under the treaty.</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matters are very complicated; accordingly, you should consult your tax advisor for a full understanding of the tax consequences of the Transaction to you, including the applicability and effect of federal, state, and non-U.S. income and other tax laws. For more information, please see the section entitled “</w:t>
      </w:r>
      <w:r>
        <w:rPr>
          <w:rFonts w:ascii="Times New Roman;Times;Serif" w:hAnsi="Times New Roman;Times;Serif"/>
          <w:b w:val="false"/>
          <w:i/>
          <w:caps w:val="false"/>
          <w:smallCaps w:val="false"/>
          <w:sz w:val="20"/>
        </w:rPr>
        <w:t>The Transaction—Material U.S. Federal Income Tax Consequences of the Transaction</w:t>
      </w:r>
      <w:r>
        <w:rPr>
          <w:rFonts w:ascii="Times New Roman;Times;Serif" w:hAnsi="Times New Roman;Times;Serif"/>
          <w:b w:val="false"/>
          <w:i w:val="false"/>
          <w:caps w:val="false"/>
          <w:smallCaps w:val="false"/>
          <w:sz w:val="20"/>
        </w:rPr>
        <w:t>” of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Rimon, P.C., counsel to Parent, the Transaction will not result in any material tax consequences to holders of Parent Common Stock, including BGMS’s public stockholders, by virtue of their ownership of such shares, because such shares are not exchanged, converted, or otherwise affected by the Transaction. For more information, see the section entitled “</w:t>
      </w:r>
      <w:r>
        <w:rPr>
          <w:rFonts w:ascii="Times New Roman;Times;Serif" w:hAnsi="Times New Roman;Times;Serif"/>
          <w:b w:val="false"/>
          <w:i/>
          <w:caps w:val="false"/>
          <w:smallCaps w:val="false"/>
          <w:sz w:val="20"/>
        </w:rPr>
        <w:t>The Transaction—Material U.S. Federal Income Tax Consequences of the Transaction—Opinion of Rimon, P.C. Regarding the Material U.S. Federal Income Tax Consequences of the Transaction to Parent’s Stockholders, Including BGMS’s Public Stockholders</w:t>
      </w:r>
      <w:r>
        <w:rPr>
          <w:rFonts w:ascii="Times New Roman;Times;Serif" w:hAnsi="Times New Roman;Times;Serif"/>
          <w:b w:val="false"/>
          <w:i w:val="false"/>
          <w:caps w:val="false"/>
          <w:smallCaps w:val="false"/>
          <w:sz w:val="20"/>
        </w:rPr>
        <w:t>”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5" w:name="ta_014"/>
      <w:bookmarkEnd w:id="15"/>
      <w:r>
        <w:rPr>
          <w:rFonts w:ascii="Times New Roman;Times;Serif" w:hAnsi="Times New Roman;Times;Serif"/>
          <w:b/>
          <w:i w:val="false"/>
          <w:caps w:val="false"/>
          <w:smallCaps w:val="false"/>
          <w:sz w:val="20"/>
        </w:rPr>
        <w:t xml:space="preserve">Nasdaq Stock Market Listing </w:t>
      </w:r>
      <w:r>
        <w:rPr>
          <w:rFonts w:ascii="Times New Roman;Times;Serif" w:hAnsi="Times New Roman;Times;Serif"/>
          <w:b w:val="false"/>
          <w:i w:val="false"/>
          <w:caps w:val="false"/>
          <w:smallCaps w:val="false"/>
          <w:sz w:val="20"/>
        </w:rPr>
        <w:t>(see page 99)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anticipates that its common stock will continue to be listed on The Nasdaq Stock Market following the closing of the Transaction under the trading symbol “BGMS.” Following the Closing, Perfect Energy Sdn. Bhd., which holds 55% of Future NRG’s outstanding ordinary shares, is expected to beneficially own approximately 54% of the outstanding shares of Parent Common Stock, causing BGMS to be deemed a “controlled company” under Nasdaq listing rules. BGMS has no current intention to rely on available exemptions from certain Nasdaq corporate governance requirements as a result of such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6" w:name="ta_015"/>
      <w:bookmarkEnd w:id="16"/>
      <w:r>
        <w:rPr>
          <w:rFonts w:ascii="Times New Roman;Times;Serif" w:hAnsi="Times New Roman;Times;Serif"/>
          <w:b/>
          <w:i w:val="false"/>
          <w:caps w:val="false"/>
          <w:smallCaps w:val="false"/>
          <w:sz w:val="20"/>
        </w:rPr>
        <w:t xml:space="preserve">Anticipated Accounting Treatment </w:t>
      </w:r>
      <w:r>
        <w:rPr>
          <w:rFonts w:ascii="Times New Roman;Times;Serif" w:hAnsi="Times New Roman;Times;Serif"/>
          <w:b w:val="false"/>
          <w:i w:val="false"/>
          <w:caps w:val="false"/>
          <w:smallCaps w:val="false"/>
          <w:sz w:val="20"/>
        </w:rPr>
        <w:t>(see page 99)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will be recorded as a business combination under the acquisition method of accounting in accordance with U.S. GAAP and IFRS (i.e., ASC 805/IFRS 3) The Transaction will be treated by BGMS as a business combination under the acquisition method of accounting for business combinations in accordance with accounting principles generally accepted in the United States, or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accounting purposes, Future NRG is considered to be the accounting acquirer in the Transaction due to the Selling Shareholders control over BGMS after the Closing under U.S. GAAP, as defined in Accounting Standards Codification (“ASC 805-10”). ASC 805 applies to public and privately held entities and is applicable to all transactions or other events that meet the definition of a business combination.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17" w:name="bb_002"/>
      <w:bookmarkEnd w:id="17"/>
      <w:r>
        <w:rPr>
          <w:rFonts w:ascii="Times New Roman;Times;Serif" w:hAnsi="Times New Roman;Times;Serif"/>
          <w:b/>
          <w:i w:val="false"/>
          <w:caps w:val="false"/>
          <w:smallCaps w:val="false"/>
          <w:sz w:val="20"/>
        </w:rPr>
        <w:t>Appraisal Rights</w:t>
      </w:r>
      <w:r>
        <w:rPr>
          <w:rFonts w:ascii="Times New Roman;Times;Serif" w:hAnsi="Times New Roman;Times;Serif"/>
          <w:b w:val="false"/>
          <w:i w:val="false"/>
          <w:caps w:val="false"/>
          <w:smallCaps w:val="false"/>
          <w:sz w:val="20"/>
        </w:rPr>
        <w:t xml:space="preserve"> (see page 99)</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Parent Common Stock are not entitled to appraisal rights in connection with the Transaction. Because the Transaction is structured as an issuance of shares of Parent Common Stock to the Selling Shareholders in exchange for the Shares, rather than as a merger, and Parent’s stockholders are not required to exchange or convert their existing shares, appraisal rights under Section 262 of the DGCL are not available to holders of Parent Common Stock in connection with the Transaction. Stockholders who wish to object to the Transaction may vote against the proposals described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8" w:name="bb_003"/>
      <w:bookmarkEnd w:id="18"/>
      <w:r>
        <w:rPr>
          <w:rFonts w:ascii="Times New Roman;Times;Serif" w:hAnsi="Times New Roman;Times;Serif"/>
          <w:b/>
          <w:i w:val="false"/>
          <w:caps w:val="false"/>
          <w:smallCaps w:val="false"/>
          <w:sz w:val="20"/>
        </w:rPr>
        <w:t>Parent Common Stock</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see page 24)</w:t>
      </w:r>
    </w:p>
    <w:p>
      <w:pPr>
        <w:pStyle w:val="TextBody"/>
        <w:bidi w:val="0"/>
        <w:jc w:val="both"/>
        <w:rPr>
          <w:caps w:val="false"/>
          <w:smallCaps w:val="false"/>
        </w:rPr>
      </w:pPr>
      <w:r>
        <w:rPr>
          <w:caps w:val="false"/>
          <w:smallCaps w:val="false"/>
        </w:rPr>
        <w:t> </w:t>
      </w:r>
    </w:p>
    <w:p>
      <w:pPr>
        <w:pStyle w:val="TextBody"/>
        <w:bidi w:val="0"/>
        <w:jc w:val="both"/>
        <w:rPr/>
      </w:pPr>
      <w:r>
        <w:rPr/>
        <w:t>BGMS common stock is listed on Nasdaq under the symbol “BGMS” and is expected to remain listed following the closing of the Transaction. The stock has experienced significant price decline over the past two years, with the high sales price falling from $959.92 in Q2 2024 to $1.66 in Q1 2026. The closing price on June 3, 2026, the last trading day prior to announcement, was $1.06 per share. As of September 1, 2026, there were eight registered holders of record.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9" w:name="ta_016"/>
      <w:bookmarkEnd w:id="19"/>
      <w:r>
        <w:rPr>
          <w:rFonts w:ascii="Times New Roman;Times;Serif" w:hAnsi="Times New Roman;Times;Serif"/>
          <w:b/>
          <w:i w:val="false"/>
          <w:caps w:val="false"/>
          <w:smallCaps w:val="false"/>
          <w:sz w:val="20"/>
        </w:rPr>
        <w:t xml:space="preserve">Risk Factors </w:t>
      </w:r>
      <w:r>
        <w:rPr>
          <w:rFonts w:ascii="Times New Roman;Times;Serif" w:hAnsi="Times New Roman;Times;Serif"/>
          <w:b w:val="false"/>
          <w:i w:val="false"/>
          <w:caps w:val="false"/>
          <w:smallCaps w:val="false"/>
          <w:sz w:val="20"/>
        </w:rPr>
        <w:t>(see page 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BGMS and Future NRG are subject to various risks associated with their businesses and their industries. In addition, the Transaction, including the possibility that the Transaction may not be completed, poses a number of risks to each company and its respective securityholders, including the following risks: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Exchange Shares may be adjusted prior to the Closing upon mutual agreement of the Parties to the Business Combination Agreement based on the market price of Parent Common Stock so the Transaction consideration at the closing may have a greater or lesser value than at the time the Business Combination Agreement was signed;</w:t>
            </w:r>
          </w:p>
        </w:tc>
      </w:tr>
    </w:tbl>
    <w:p>
      <w:pPr>
        <w:pStyle w:val="TextBody"/>
        <w:bidi w:val="0"/>
        <w:spacing w:before="0" w:after="0"/>
        <w:ind w:left="734" w:right="0" w:hanging="54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complete the Transaction may result in harm to the common stock price of BGMS and future business and operations of each of the Parties;</w:t>
            </w:r>
          </w:p>
        </w:tc>
      </w:tr>
    </w:tbl>
    <w:p>
      <w:pPr>
        <w:pStyle w:val="TextBody"/>
        <w:bidi w:val="0"/>
        <w:spacing w:before="0" w:after="0"/>
        <w:ind w:left="734" w:right="0" w:hanging="547"/>
        <w:jc w:val="both"/>
        <w:rPr>
          <w:caps w:val="false"/>
          <w:smallCaps w:val="false"/>
        </w:rPr>
      </w:pPr>
      <w:r>
        <w:rPr>
          <w:caps w:val="false"/>
          <w:smallCaps w:val="false"/>
        </w:rPr>
        <w:t> </w:t>
      </w:r>
    </w:p>
    <w:p>
      <w:pPr>
        <w:pStyle w:val="TextBody"/>
        <w:bidi w:val="0"/>
        <w:spacing w:before="0" w:after="0"/>
        <w:ind w:left="734" w:right="0" w:hanging="547"/>
        <w:jc w:val="both"/>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75"/>
        <w:gridCol w:w="170"/>
        <w:gridCol w:w="64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conditions to the Transaction are not met, the Transaction may not occur;</w:t>
            </w:r>
          </w:p>
        </w:tc>
      </w:tr>
    </w:tbl>
    <w:p>
      <w:pPr>
        <w:pStyle w:val="TextBody"/>
        <w:bidi w:val="0"/>
        <w:spacing w:before="0" w:after="0"/>
        <w:ind w:left="734" w:right="0" w:hanging="54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may be completed even though material adverse changes may result from the announcement of the Transaction, industry-wide changes and other causes;</w:t>
            </w:r>
          </w:p>
        </w:tc>
      </w:tr>
    </w:tbl>
    <w:p>
      <w:pPr>
        <w:pStyle w:val="TextBody"/>
        <w:bidi w:val="0"/>
        <w:spacing w:before="0" w:after="0"/>
        <w:ind w:left="734" w:right="0" w:hanging="54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BGMS and Future NRG executive officers and directors have interests in the Transaction that are different from yours and that may influence them to support or approve the Transaction without regard to your interests;</w:t>
            </w:r>
          </w:p>
        </w:tc>
      </w:tr>
    </w:tbl>
    <w:p>
      <w:pPr>
        <w:pStyle w:val="TextBody"/>
        <w:bidi w:val="0"/>
        <w:spacing w:before="0" w:after="0"/>
        <w:ind w:left="734" w:right="0" w:hanging="547"/>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75"/>
        <w:gridCol w:w="170"/>
        <w:gridCol w:w="90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Parent Common Stock following the Transaction may decline as a result of the Transaction;</w:t>
            </w:r>
          </w:p>
        </w:tc>
      </w:tr>
    </w:tbl>
    <w:p>
      <w:pPr>
        <w:pStyle w:val="TextBody"/>
        <w:bidi w:val="0"/>
        <w:spacing w:before="0" w:after="0"/>
        <w:ind w:left="734" w:right="0" w:hanging="54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stockholders will have a reduced ownership and voting interest in, and will exercise less influence over the management of, the combined company as compared to their current ownership and voting interest in the respective companies following the completion of the Transaction;</w:t>
            </w:r>
          </w:p>
        </w:tc>
      </w:tr>
    </w:tbl>
    <w:p>
      <w:pPr>
        <w:pStyle w:val="TextBody"/>
        <w:bidi w:val="0"/>
        <w:spacing w:before="0" w:after="0"/>
        <w:ind w:left="734" w:right="0" w:hanging="54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the Business Combination Agreement may discourage third parties from submitting competing proposals, including proposals that may be superior to the arrangements contemplated by the Business Combination Agreement; and</w:t>
            </w:r>
          </w:p>
        </w:tc>
      </w:tr>
    </w:tbl>
    <w:p>
      <w:pPr>
        <w:pStyle w:val="TextBody"/>
        <w:bidi w:val="0"/>
        <w:spacing w:before="0" w:after="0"/>
        <w:ind w:left="734" w:right="0" w:hanging="54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Shareholders may receive consideration in the Transaction that is less than the fair market value of BGMS’ common shares and/or BGMS may pay more than the fair market value of Future NRG’s ordinary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Perfect Energy Sdn. Bhd., which holds 55% of Future NRG’s outstanding ordinary shares, is expected to beneficially own approximately 54% of the outstanding shares of Parent Common Stock, causing BGMS to be deemed a “controlled company” under Nasdaq listing rules; BGMS has no current intention to rely on available exemptions from certain Nasdaq corporate governance requirements as a result of such designation.</w:t>
            </w:r>
          </w:p>
        </w:tc>
      </w:tr>
    </w:tbl>
    <w:p>
      <w:pPr>
        <w:pStyle w:val="TextBody"/>
        <w:bidi w:val="0"/>
        <w:spacing w:before="0" w:after="0"/>
        <w:ind w:left="734" w:right="0" w:hanging="54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risks and other risks are discussed in greater detail under the section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this proxy statement/prospectus. BGMS and Future NRG both encourage you to read and consider all of these risks carefully.</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ta_017"/>
      <w:bookmarkEnd w:id="20"/>
      <w:r>
        <w:rPr>
          <w:rFonts w:ascii="Times New Roman;Times;Serif" w:hAnsi="Times New Roman;Times;Serif"/>
          <w:b/>
          <w:i w:val="false"/>
          <w:caps w:val="false"/>
          <w:smallCaps w:val="false"/>
          <w:sz w:val="20"/>
        </w:rPr>
        <w:t>SELECTED HISTORICAL AND UNAUDITED PRO FORMA COMBINED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 w:name="ta_018"/>
      <w:bookmarkEnd w:id="21"/>
      <w:r>
        <w:rPr>
          <w:rFonts w:ascii="Times New Roman;Times;Serif" w:hAnsi="Times New Roman;Times;Serif"/>
          <w:b/>
          <w:i w:val="false"/>
          <w:caps w:val="false"/>
          <w:smallCaps w:val="false"/>
          <w:sz w:val="20"/>
        </w:rPr>
        <w:t>Selected Historical Consolidated Financial Data of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our selected consolidated financial data for the periods and as of the dates indicated. We have derived the consolidated statement of operations data for the years ended December 31, 2025, 2024 and 2023 and the consolidated balance sheet data as of December 31, 2025 and 2024 from our audited consolidated financial statements included elsewhere in this registration statement. The selected statement of operations data for the years ended December 31, 2022 and 2021 are derived from our consolidated financial statements or unaudited interim condensed consolidated financial statements not included in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unaudited interim condensed consolidated financial statements have been prepared in accordance with U.S. generally accepted accounting principles on the same basis as the annual audited consolidated financial statements and, in the opinion of management, reflect all adjustments, consisting only of normal recurring adjustments, necessary for a fair statement of our financial position as of June 30, 2026 and 2025 and our results of our operations for the six months ended June 30, 2026 and 2025. The results for the six months ended June 30, 2026 are not necessarily indicative of results to be expected for the year ended December 31, 2026 any other interim periods or any future period 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historical financial data should be read in conjunction with the section entitled “</w:t>
      </w:r>
      <w:r>
        <w:rPr>
          <w:rFonts w:ascii="Times New Roman;Times;Serif" w:hAnsi="Times New Roman;Times;Serif"/>
          <w:b w:val="false"/>
          <w:i/>
          <w:caps w:val="false"/>
          <w:smallCaps w:val="false"/>
          <w:sz w:val="20"/>
        </w:rPr>
        <w:t>Management’s Discussion and Analysis of Financial Condition and Results of Operations of BGMS</w:t>
      </w:r>
      <w:r>
        <w:rPr>
          <w:rFonts w:ascii="Times New Roman;Times;Serif" w:hAnsi="Times New Roman;Times;Serif"/>
          <w:b w:val="false"/>
          <w:i w:val="false"/>
          <w:caps w:val="false"/>
          <w:smallCaps w:val="false"/>
          <w:sz w:val="20"/>
        </w:rPr>
        <w:t>” and with our audited and unaudited consolidated financial statements and their related notes, which are included elsewhere in this registration statement.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4"/>
        <w:gridCol w:w="60"/>
        <w:gridCol w:w="141"/>
        <w:gridCol w:w="993"/>
        <w:gridCol w:w="96"/>
        <w:gridCol w:w="60"/>
        <w:gridCol w:w="141"/>
        <w:gridCol w:w="811"/>
        <w:gridCol w:w="95"/>
        <w:gridCol w:w="60"/>
        <w:gridCol w:w="140"/>
        <w:gridCol w:w="980"/>
        <w:gridCol w:w="95"/>
        <w:gridCol w:w="60"/>
        <w:gridCol w:w="60"/>
        <w:gridCol w:w="755"/>
        <w:gridCol w:w="95"/>
        <w:gridCol w:w="60"/>
        <w:gridCol w:w="140"/>
        <w:gridCol w:w="935"/>
        <w:gridCol w:w="95"/>
        <w:gridCol w:w="60"/>
        <w:gridCol w:w="140"/>
        <w:gridCol w:w="935"/>
        <w:gridCol w:w="95"/>
        <w:gridCol w:w="60"/>
        <w:gridCol w:w="140"/>
        <w:gridCol w:w="935"/>
        <w:gridCol w:w="114"/>
      </w:tblGrid>
      <w:tr>
        <w:trPr/>
        <w:tc>
          <w:tcPr>
            <w:tcW w:w="18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80"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14" w:type="dxa"/>
            <w:tcBorders/>
            <w:vAlign w:val="center"/>
          </w:tcPr>
          <w:p>
            <w:pPr>
              <w:pStyle w:val="TableContents"/>
              <w:bidi w:val="0"/>
              <w:spacing w:before="0" w:after="283"/>
              <w:jc w:val="left"/>
              <w:rPr/>
            </w:pPr>
            <w:r>
              <w:rPr/>
              <w:t> </w:t>
            </w:r>
          </w:p>
        </w:tc>
      </w:tr>
      <w:tr>
        <w:trPr/>
        <w:tc>
          <w:tcPr>
            <w:tcW w:w="18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2021</w:t>
            </w:r>
          </w:p>
        </w:tc>
        <w:tc>
          <w:tcPr>
            <w:tcW w:w="114" w:type="dxa"/>
            <w:tcBorders/>
            <w:vAlign w:val="center"/>
          </w:tcPr>
          <w:p>
            <w:pPr>
              <w:pStyle w:val="TableContents"/>
              <w:bidi w:val="0"/>
              <w:spacing w:before="0" w:after="283"/>
              <w:jc w:val="left"/>
              <w:rPr/>
            </w:pPr>
            <w:r>
              <w:rPr/>
              <w:t> </w:t>
            </w:r>
          </w:p>
        </w:tc>
      </w:tr>
      <w:tr>
        <w:trPr/>
        <w:tc>
          <w:tcPr>
            <w:tcW w:w="185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242" w:type="dxa"/>
            <w:gridSpan w:val="6"/>
            <w:tcBorders/>
            <w:vAlign w:val="center"/>
          </w:tcPr>
          <w:p>
            <w:pPr>
              <w:pStyle w:val="TableContents"/>
              <w:bidi w:val="0"/>
              <w:spacing w:before="0" w:after="283"/>
              <w:jc w:val="center"/>
              <w:rPr/>
            </w:pPr>
            <w:r>
              <w:rPr/>
              <w:t>(in thousands, except share and per share amounts)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80" w:type="dxa"/>
            <w:gridSpan w:val="18"/>
            <w:tcBorders/>
            <w:vAlign w:val="center"/>
          </w:tcPr>
          <w:p>
            <w:pPr>
              <w:pStyle w:val="TableContents"/>
              <w:bidi w:val="0"/>
              <w:spacing w:before="0" w:after="283"/>
              <w:jc w:val="center"/>
              <w:rPr/>
            </w:pPr>
            <w:r>
              <w:rPr/>
              <w:t>(in thousands, except share and per share amounts)</w:t>
            </w:r>
          </w:p>
        </w:tc>
        <w:tc>
          <w:tcPr>
            <w:tcW w:w="114" w:type="dxa"/>
            <w:tcBorders/>
            <w:vAlign w:val="center"/>
          </w:tcPr>
          <w:p>
            <w:pPr>
              <w:pStyle w:val="TableContents"/>
              <w:bidi w:val="0"/>
              <w:spacing w:before="0" w:after="283"/>
              <w:jc w:val="left"/>
              <w:rPr/>
            </w:pPr>
            <w:r>
              <w:rPr/>
              <w:t> </w:t>
            </w:r>
          </w:p>
        </w:tc>
      </w:tr>
      <w:tr>
        <w:trPr/>
        <w:tc>
          <w:tcPr>
            <w:tcW w:w="1854" w:type="dxa"/>
            <w:tcBorders>
              <w:bottom w:val="single" w:sz="8" w:space="0" w:color="000000"/>
            </w:tcBorders>
            <w:tcMar>
              <w:bottom w:w="28" w:type="dxa"/>
            </w:tcMar>
            <w:vAlign w:val="center"/>
          </w:tcPr>
          <w:p>
            <w:pPr>
              <w:pStyle w:val="TableContents"/>
              <w:bidi w:val="0"/>
              <w:spacing w:before="0" w:after="283"/>
              <w:jc w:val="left"/>
              <w:rPr>
                <w:b/>
              </w:rPr>
            </w:pPr>
            <w:r>
              <w:rPr>
                <w:b/>
              </w:rPr>
              <w:t>Consolidated Statement of Operations Data:</w:t>
            </w:r>
          </w:p>
        </w:tc>
        <w:tc>
          <w:tcPr>
            <w:tcW w:w="60" w:type="dxa"/>
            <w:tcBorders/>
            <w:vAlign w:val="center"/>
          </w:tcPr>
          <w:p>
            <w:pPr>
              <w:pStyle w:val="TableContents"/>
              <w:bidi w:val="0"/>
              <w:spacing w:before="0" w:after="283"/>
              <w:jc w:val="left"/>
              <w:rPr/>
            </w:pPr>
            <w:r>
              <w:rPr/>
              <w:t> </w:t>
            </w:r>
          </w:p>
        </w:tc>
        <w:tc>
          <w:tcPr>
            <w:tcW w:w="1134" w:type="dxa"/>
            <w:gridSpan w:val="2"/>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2"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r>
      <w:tr>
        <w:trPr/>
        <w:tc>
          <w:tcPr>
            <w:tcW w:w="1854"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1854"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892</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1854"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6,655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19,155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20,274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14,928</w:t>
            </w:r>
          </w:p>
        </w:tc>
        <w:tc>
          <w:tcPr>
            <w:tcW w:w="114" w:type="dxa"/>
            <w:tcBorders/>
            <w:shd w:fill="CCEEFF" w:val="clear"/>
            <w:vAlign w:val="center"/>
          </w:tcPr>
          <w:p>
            <w:pPr>
              <w:pStyle w:val="TableContents"/>
              <w:bidi w:val="0"/>
              <w:spacing w:before="0" w:after="283"/>
              <w:jc w:val="left"/>
              <w:rPr/>
            </w:pPr>
            <w:r>
              <w:rPr/>
              <w:t> </w:t>
            </w:r>
          </w:p>
        </w:tc>
      </w:tr>
      <w:tr>
        <w:trPr/>
        <w:tc>
          <w:tcPr>
            <w:tcW w:w="1854"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886</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pPr>
            <w:r>
              <w:rPr/>
              <w:t>4,925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7,179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5,392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6,718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7,382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7,461</w:t>
            </w:r>
          </w:p>
        </w:tc>
        <w:tc>
          <w:tcPr>
            <w:tcW w:w="114" w:type="dxa"/>
            <w:tcBorders/>
            <w:shd w:fill="FFFFFF" w:val="clear"/>
            <w:vAlign w:val="center"/>
          </w:tcPr>
          <w:p>
            <w:pPr>
              <w:pStyle w:val="TableContents"/>
              <w:bidi w:val="0"/>
              <w:spacing w:before="0" w:after="283"/>
              <w:jc w:val="left"/>
              <w:rPr/>
            </w:pPr>
            <w:r>
              <w:rPr/>
              <w:t> </w:t>
            </w:r>
          </w:p>
        </w:tc>
      </w:tr>
      <w:tr>
        <w:trPr/>
        <w:tc>
          <w:tcPr>
            <w:tcW w:w="1854" w:type="dxa"/>
            <w:tcBorders/>
            <w:shd w:fill="CCEEFF" w:val="clear"/>
            <w:vAlign w:val="center"/>
          </w:tcPr>
          <w:p>
            <w:pPr>
              <w:pStyle w:val="TableContents"/>
              <w:bidi w:val="0"/>
              <w:spacing w:before="0" w:after="283"/>
              <w:jc w:val="left"/>
              <w:rPr/>
            </w:pPr>
            <w:r>
              <w:rPr/>
              <w:t>Severance costs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538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1854"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1,778</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pPr>
            <w:r>
              <w:rPr/>
              <w:t>5,463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9,174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12,047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25,873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27,656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22,389</w:t>
            </w:r>
          </w:p>
        </w:tc>
        <w:tc>
          <w:tcPr>
            <w:tcW w:w="114" w:type="dxa"/>
            <w:tcBorders/>
            <w:shd w:fill="FFFFFF" w:val="clear"/>
            <w:vAlign w:val="center"/>
          </w:tcPr>
          <w:p>
            <w:pPr>
              <w:pStyle w:val="TableContents"/>
              <w:bidi w:val="0"/>
              <w:spacing w:before="0" w:after="283"/>
              <w:jc w:val="left"/>
              <w:rPr/>
            </w:pPr>
            <w:r>
              <w:rPr/>
              <w:t> </w:t>
            </w:r>
          </w:p>
        </w:tc>
      </w:tr>
      <w:tr>
        <w:trPr/>
        <w:tc>
          <w:tcPr>
            <w:tcW w:w="1854" w:type="dxa"/>
            <w:tcBorders/>
            <w:shd w:fill="CCEEFF" w:val="clear"/>
            <w:vAlign w:val="center"/>
          </w:tcPr>
          <w:p>
            <w:pPr>
              <w:pStyle w:val="TableContents"/>
              <w:bidi w:val="0"/>
              <w:spacing w:before="0" w:after="283"/>
              <w:jc w:val="left"/>
              <w:rPr/>
            </w:pPr>
            <w:r>
              <w:rPr/>
              <w:t>Loss from continuing operations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(563</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(5,454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(8,427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(12,004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(25,453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(27,656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(22,389</w:t>
            </w:r>
          </w:p>
        </w:tc>
        <w:tc>
          <w:tcPr>
            <w:tcW w:w="114" w:type="dxa"/>
            <w:tcBorders/>
            <w:shd w:fill="CCEEFF" w:val="clear"/>
            <w:vAlign w:val="center"/>
          </w:tcPr>
          <w:p>
            <w:pPr>
              <w:pStyle w:val="TableContents"/>
              <w:bidi w:val="0"/>
              <w:spacing w:before="0" w:after="283"/>
              <w:jc w:val="left"/>
              <w:rPr/>
            </w:pPr>
            <w:r>
              <w:rPr/>
              <w:t>)</w:t>
            </w:r>
          </w:p>
        </w:tc>
      </w:tr>
      <w:tr>
        <w:trPr/>
        <w:tc>
          <w:tcPr>
            <w:tcW w:w="1854" w:type="dxa"/>
            <w:tcBorders/>
            <w:shd w:fill="FFFFFF" w:val="clear"/>
            <w:vAlign w:val="center"/>
          </w:tcPr>
          <w:p>
            <w:pPr>
              <w:pStyle w:val="TableContents"/>
              <w:bidi w:val="0"/>
              <w:spacing w:before="0" w:after="283"/>
              <w:jc w:val="left"/>
              <w:rPr/>
            </w:pPr>
            <w:r>
              <w:rPr/>
              <w:t>Net loss from continuing operations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(602</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pPr>
            <w:r>
              <w:rPr/>
              <w:t>(5,456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(11,212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(22,555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(21,198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(18,457</w:t>
            </w:r>
          </w:p>
        </w:tc>
        <w:tc>
          <w:tcPr>
            <w:tcW w:w="114" w:type="dxa"/>
            <w:tcBorders/>
            <w:shd w:fill="FFFFFF" w:val="clear"/>
            <w:vAlign w:val="center"/>
          </w:tcPr>
          <w:p>
            <w:pPr>
              <w:pStyle w:val="TableContents"/>
              <w:bidi w:val="0"/>
              <w:spacing w:before="0" w:after="283"/>
              <w:jc w:val="left"/>
              <w:rPr/>
            </w:pPr>
            <w:r>
              <w:rPr/>
              <w:t>)</w:t>
            </w:r>
          </w:p>
        </w:tc>
      </w:tr>
      <w:tr>
        <w:trPr/>
        <w:tc>
          <w:tcPr>
            <w:tcW w:w="1854" w:type="dxa"/>
            <w:tcBorders/>
            <w:shd w:fill="CCEEFF" w:val="clear"/>
            <w:vAlign w:val="center"/>
          </w:tcPr>
          <w:p>
            <w:pPr>
              <w:pStyle w:val="TableContents"/>
              <w:bidi w:val="0"/>
              <w:spacing w:before="0" w:after="283"/>
              <w:jc w:val="left"/>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1854" w:type="dxa"/>
            <w:tcBorders/>
            <w:shd w:fill="FFFFFF" w:val="clear"/>
            <w:vAlign w:val="center"/>
          </w:tcPr>
          <w:p>
            <w:pPr>
              <w:pStyle w:val="TableContents"/>
              <w:bidi w:val="0"/>
              <w:spacing w:before="0" w:after="283"/>
              <w:jc w:val="left"/>
              <w:rPr/>
            </w:pPr>
            <w:r>
              <w:rPr/>
              <w:t>Operating losses from discontinued operations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pPr>
            <w:r>
              <w:rPr/>
              <w:t>(890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1854" w:type="dxa"/>
            <w:tcBorders/>
            <w:shd w:fill="CCEEFF" w:val="clear"/>
            <w:vAlign w:val="center"/>
          </w:tcPr>
          <w:p>
            <w:pPr>
              <w:pStyle w:val="TableContents"/>
              <w:bidi w:val="0"/>
              <w:spacing w:before="0" w:after="283"/>
              <w:jc w:val="left"/>
              <w:rPr/>
            </w:pPr>
            <w:r>
              <w:rPr/>
              <w:t>Gain on deconsolidation of subsidiary</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4,947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1854" w:type="dxa"/>
            <w:tcBorders/>
            <w:shd w:fill="FFFFFF" w:val="clear"/>
            <w:vAlign w:val="center"/>
          </w:tcPr>
          <w:p>
            <w:pPr>
              <w:pStyle w:val="TableContents"/>
              <w:bidi w:val="0"/>
              <w:spacing w:before="0" w:after="283"/>
              <w:jc w:val="left"/>
              <w:rPr/>
            </w:pPr>
            <w:r>
              <w:rPr/>
              <w:t>Net income from discontinued operations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pPr>
            <w:r>
              <w:rPr/>
              <w:t>4,057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1854" w:type="dxa"/>
            <w:tcBorders/>
            <w:shd w:fill="CCEEFF" w:val="clear"/>
            <w:vAlign w:val="center"/>
          </w:tcPr>
          <w:p>
            <w:pPr>
              <w:pStyle w:val="TableContents"/>
              <w:bidi w:val="0"/>
              <w:spacing w:before="0" w:after="283"/>
              <w:jc w:val="left"/>
              <w:rPr/>
            </w:pPr>
            <w:r>
              <w:rPr/>
              <w:t>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(642</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(1,419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(14,092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(11,212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(22,756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(21,399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(18,658</w:t>
            </w:r>
          </w:p>
        </w:tc>
        <w:tc>
          <w:tcPr>
            <w:tcW w:w="114" w:type="dxa"/>
            <w:tcBorders/>
            <w:shd w:fill="CCEEFF" w:val="clear"/>
            <w:vAlign w:val="center"/>
          </w:tcPr>
          <w:p>
            <w:pPr>
              <w:pStyle w:val="TableContents"/>
              <w:bidi w:val="0"/>
              <w:spacing w:before="0" w:after="283"/>
              <w:jc w:val="left"/>
              <w:rPr/>
            </w:pPr>
            <w:r>
              <w:rPr/>
              <w:t>)</w:t>
            </w:r>
          </w:p>
        </w:tc>
      </w:tr>
      <w:tr>
        <w:trPr/>
        <w:tc>
          <w:tcPr>
            <w:tcW w:w="1854" w:type="dxa"/>
            <w:tcBorders/>
            <w:shd w:fill="FFFFFF" w:val="clear"/>
            <w:vAlign w:val="center"/>
          </w:tcPr>
          <w:p>
            <w:pPr>
              <w:pStyle w:val="TableContents"/>
              <w:bidi w:val="0"/>
              <w:spacing w:before="0" w:after="283"/>
              <w:jc w:val="left"/>
              <w:rPr/>
            </w:pPr>
            <w:r>
              <w:rPr/>
              <w:t>Net loss per share, continuing operations - basic and diluted (common stockholders)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993" w:type="dxa"/>
            <w:tcBorders/>
            <w:shd w:fill="FFFFFF" w:val="clear"/>
            <w:vAlign w:val="center"/>
          </w:tcPr>
          <w:p>
            <w:pPr>
              <w:pStyle w:val="TableContents"/>
              <w:bidi w:val="0"/>
              <w:spacing w:before="0" w:after="283"/>
              <w:jc w:val="right"/>
              <w:rPr/>
            </w:pPr>
            <w:r>
              <w:rPr/>
              <w:t>(0.12</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811" w:type="dxa"/>
            <w:tcBorders/>
            <w:shd w:fill="FFFFFF" w:val="clear"/>
            <w:vAlign w:val="center"/>
          </w:tcPr>
          <w:p>
            <w:pPr>
              <w:pStyle w:val="TableContents"/>
              <w:bidi w:val="0"/>
              <w:spacing w:before="0" w:after="283"/>
              <w:jc w:val="right"/>
              <w:rPr/>
            </w:pPr>
            <w:r>
              <w:rPr/>
              <w:t>(6.24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(6.45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(502.46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jc w:val="right"/>
              <w:rPr/>
            </w:pPr>
            <w:r>
              <w:rPr/>
              <w:t>(6,419.18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jc w:val="right"/>
              <w:rPr/>
            </w:pPr>
            <w:r>
              <w:rPr/>
              <w:t>(6,887.59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jc w:val="right"/>
              <w:rPr/>
            </w:pPr>
            <w:r>
              <w:rPr/>
              <w:t>(7,526.42</w:t>
            </w:r>
          </w:p>
        </w:tc>
        <w:tc>
          <w:tcPr>
            <w:tcW w:w="114" w:type="dxa"/>
            <w:tcBorders/>
            <w:shd w:fill="FFFFFF" w:val="clear"/>
            <w:vAlign w:val="center"/>
          </w:tcPr>
          <w:p>
            <w:pPr>
              <w:pStyle w:val="TableContents"/>
              <w:bidi w:val="0"/>
              <w:spacing w:before="0" w:after="283"/>
              <w:jc w:val="left"/>
              <w:rPr/>
            </w:pPr>
            <w:r>
              <w:rPr/>
              <w:t>)</w:t>
            </w:r>
          </w:p>
        </w:tc>
      </w:tr>
      <w:tr>
        <w:trPr/>
        <w:tc>
          <w:tcPr>
            <w:tcW w:w="1854" w:type="dxa"/>
            <w:tcBorders/>
            <w:shd w:fill="CCEEFF" w:val="clear"/>
            <w:vAlign w:val="center"/>
          </w:tcPr>
          <w:p>
            <w:pPr>
              <w:pStyle w:val="TableContents"/>
              <w:bidi w:val="0"/>
              <w:spacing w:before="0" w:after="283"/>
              <w:jc w:val="left"/>
              <w:rPr/>
            </w:pPr>
            <w:r>
              <w:rPr/>
              <w:t>Net loss per share, discontinued operations - basic and diluted (common stockholders)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993"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11" w:type="dxa"/>
            <w:tcBorders/>
            <w:shd w:fill="CCEEFF" w:val="clear"/>
            <w:vAlign w:val="center"/>
          </w:tcPr>
          <w:p>
            <w:pPr>
              <w:pStyle w:val="TableContents"/>
              <w:bidi w:val="0"/>
              <w:spacing w:before="0" w:after="283"/>
              <w:jc w:val="right"/>
              <w:rPr/>
            </w:pPr>
            <w:r>
              <w:rPr/>
              <w:t>4.62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1854" w:type="dxa"/>
            <w:tcBorders/>
            <w:shd w:fill="FFFFFF" w:val="clear"/>
            <w:vAlign w:val="center"/>
          </w:tcPr>
          <w:p>
            <w:pPr>
              <w:pStyle w:val="TableContents"/>
              <w:bidi w:val="0"/>
              <w:spacing w:before="0" w:after="283"/>
              <w:jc w:val="left"/>
              <w:rPr/>
            </w:pPr>
            <w:r>
              <w:rPr/>
              <w:t>Net loss per share - basic and diluted (redeemable common stockholders)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993"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81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jc w:val="right"/>
              <w:rPr/>
            </w:pPr>
            <w:r>
              <w:rPr/>
              <w:t>(6,538.25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1854" w:type="dxa"/>
            <w:tcBorders/>
            <w:shd w:fill="CCEEFF" w:val="clear"/>
            <w:vAlign w:val="center"/>
          </w:tcPr>
          <w:p>
            <w:pPr>
              <w:pStyle w:val="TableContents"/>
              <w:bidi w:val="0"/>
              <w:spacing w:before="0" w:after="283"/>
              <w:jc w:val="left"/>
              <w:rPr/>
            </w:pPr>
            <w:r>
              <w:rPr/>
              <w:t>Weighted-average common shares outstanding - basic and diluted (common stockholders)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5,568,424</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878,095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2,185,075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22,314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3,545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2,740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2,479</w:t>
            </w:r>
          </w:p>
        </w:tc>
        <w:tc>
          <w:tcPr>
            <w:tcW w:w="114" w:type="dxa"/>
            <w:tcBorders/>
            <w:shd w:fill="CCEEFF" w:val="clear"/>
            <w:vAlign w:val="center"/>
          </w:tcPr>
          <w:p>
            <w:pPr>
              <w:pStyle w:val="TableContents"/>
              <w:bidi w:val="0"/>
              <w:spacing w:before="0" w:after="283"/>
              <w:jc w:val="left"/>
              <w:rPr/>
            </w:pPr>
            <w:r>
              <w:rPr/>
              <w:t> </w:t>
            </w:r>
          </w:p>
        </w:tc>
      </w:tr>
      <w:tr>
        <w:trPr/>
        <w:tc>
          <w:tcPr>
            <w:tcW w:w="1854" w:type="dxa"/>
            <w:tcBorders/>
            <w:shd w:fill="FFFFFF" w:val="clear"/>
            <w:vAlign w:val="center"/>
          </w:tcPr>
          <w:p>
            <w:pPr>
              <w:pStyle w:val="TableContents"/>
              <w:bidi w:val="0"/>
              <w:spacing w:before="0" w:after="283"/>
              <w:jc w:val="left"/>
              <w:rPr/>
            </w:pPr>
            <w:r>
              <w:rPr/>
              <w:t>Weighted-average common shares outstanding - basic and diluted (redeemable common stockholders)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386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60"/>
        <w:gridCol w:w="60"/>
        <w:gridCol w:w="60"/>
        <w:gridCol w:w="875"/>
        <w:gridCol w:w="95"/>
        <w:gridCol w:w="60"/>
        <w:gridCol w:w="60"/>
        <w:gridCol w:w="875"/>
        <w:gridCol w:w="95"/>
        <w:gridCol w:w="60"/>
        <w:gridCol w:w="60"/>
        <w:gridCol w:w="875"/>
        <w:gridCol w:w="95"/>
        <w:gridCol w:w="60"/>
        <w:gridCol w:w="60"/>
        <w:gridCol w:w="875"/>
        <w:gridCol w:w="95"/>
        <w:gridCol w:w="60"/>
        <w:gridCol w:w="60"/>
        <w:gridCol w:w="875"/>
        <w:gridCol w:w="95"/>
        <w:gridCol w:w="60"/>
        <w:gridCol w:w="60"/>
        <w:gridCol w:w="875"/>
        <w:gridCol w:w="95"/>
        <w:gridCol w:w="60"/>
        <w:gridCol w:w="60"/>
        <w:gridCol w:w="875"/>
        <w:gridCol w:w="110"/>
      </w:tblGrid>
      <w:tr>
        <w:trPr/>
        <w:tc>
          <w:tcPr>
            <w:tcW w:w="2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95"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10" w:type="dxa"/>
            <w:tcBorders/>
            <w:vAlign w:val="center"/>
          </w:tcPr>
          <w:p>
            <w:pPr>
              <w:pStyle w:val="TableContents"/>
              <w:bidi w:val="0"/>
              <w:spacing w:before="0" w:after="283"/>
              <w:jc w:val="left"/>
              <w:rPr/>
            </w:pPr>
            <w:r>
              <w:rPr/>
              <w:t> </w:t>
            </w:r>
          </w:p>
        </w:tc>
      </w:tr>
      <w:tr>
        <w:trPr/>
        <w:tc>
          <w:tcPr>
            <w:tcW w:w="25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2021</w:t>
            </w:r>
          </w:p>
        </w:tc>
        <w:tc>
          <w:tcPr>
            <w:tcW w:w="110" w:type="dxa"/>
            <w:tcBorders/>
            <w:vAlign w:val="center"/>
          </w:tcPr>
          <w:p>
            <w:pPr>
              <w:pStyle w:val="TableContents"/>
              <w:bidi w:val="0"/>
              <w:spacing w:before="0" w:after="283"/>
              <w:jc w:val="left"/>
              <w:rPr/>
            </w:pPr>
            <w:r>
              <w:rPr/>
              <w:t> </w:t>
            </w:r>
          </w:p>
        </w:tc>
      </w:tr>
      <w:tr>
        <w:trPr/>
        <w:tc>
          <w:tcPr>
            <w:tcW w:w="2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5" w:type="dxa"/>
            <w:gridSpan w:val="6"/>
            <w:tcBorders/>
            <w:vAlign w:val="center"/>
          </w:tcPr>
          <w:p>
            <w:pPr>
              <w:pStyle w:val="TableContents"/>
              <w:bidi w:val="0"/>
              <w:spacing w:before="0" w:after="283"/>
              <w:jc w:val="center"/>
              <w:rPr/>
            </w:pPr>
            <w:r>
              <w:rPr/>
              <w:t>(in thousands)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95" w:type="dxa"/>
            <w:gridSpan w:val="18"/>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left"/>
              <w:rPr/>
            </w:pPr>
            <w:r>
              <w:rPr/>
              <w:t> </w:t>
            </w:r>
          </w:p>
        </w:tc>
      </w:tr>
      <w:tr>
        <w:trPr/>
        <w:tc>
          <w:tcPr>
            <w:tcW w:w="2560" w:type="dxa"/>
            <w:tcBorders/>
            <w:shd w:fill="CCEEFF" w:val="clear"/>
            <w:vAlign w:val="center"/>
          </w:tcPr>
          <w:p>
            <w:pPr>
              <w:pStyle w:val="TableContents"/>
              <w:bidi w:val="0"/>
              <w:spacing w:before="0" w:after="283"/>
              <w:jc w:val="left"/>
              <w:rPr>
                <w:b/>
                <w:u w:val="single"/>
              </w:rPr>
            </w:pPr>
            <w:r>
              <w:rPr>
                <w:b/>
                <w:u w:val="single"/>
              </w:rPr>
              <w:t>Consolidated Balance Sheet Data: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560"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3,790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4,275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3,505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3,378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18,345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36,559</w:t>
            </w:r>
          </w:p>
        </w:tc>
        <w:tc>
          <w:tcPr>
            <w:tcW w:w="110" w:type="dxa"/>
            <w:tcBorders/>
            <w:shd w:fill="FFFFFF" w:val="clear"/>
            <w:vAlign w:val="center"/>
          </w:tcPr>
          <w:p>
            <w:pPr>
              <w:pStyle w:val="TableContents"/>
              <w:bidi w:val="0"/>
              <w:spacing w:before="0" w:after="283"/>
              <w:jc w:val="left"/>
              <w:rPr/>
            </w:pPr>
            <w:r>
              <w:rPr/>
              <w:t> </w:t>
            </w:r>
          </w:p>
        </w:tc>
      </w:tr>
      <w:tr>
        <w:trPr/>
        <w:tc>
          <w:tcPr>
            <w:tcW w:w="2560" w:type="dxa"/>
            <w:tcBorders/>
            <w:shd w:fill="CCEEFF" w:val="clear"/>
            <w:vAlign w:val="center"/>
          </w:tcPr>
          <w:p>
            <w:pPr>
              <w:pStyle w:val="TableContents"/>
              <w:bidi w:val="0"/>
              <w:spacing w:before="0" w:after="283"/>
              <w:jc w:val="left"/>
              <w:rPr/>
            </w:pPr>
            <w:r>
              <w:rPr/>
              <w:t>Working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5,277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3.623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4,924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16,900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35,529</w:t>
            </w:r>
          </w:p>
        </w:tc>
        <w:tc>
          <w:tcPr>
            <w:tcW w:w="110" w:type="dxa"/>
            <w:tcBorders/>
            <w:shd w:fill="CCEEFF" w:val="clear"/>
            <w:vAlign w:val="center"/>
          </w:tcPr>
          <w:p>
            <w:pPr>
              <w:pStyle w:val="TableContents"/>
              <w:bidi w:val="0"/>
              <w:spacing w:before="0" w:after="283"/>
              <w:jc w:val="left"/>
              <w:rPr/>
            </w:pPr>
            <w:r>
              <w:rPr/>
              <w:t> </w:t>
            </w:r>
          </w:p>
        </w:tc>
      </w:tr>
      <w:tr>
        <w:trPr/>
        <w:tc>
          <w:tcPr>
            <w:tcW w:w="2560"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7,854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4,401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8,185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4,094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8,805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28,050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43,136</w:t>
            </w:r>
          </w:p>
        </w:tc>
        <w:tc>
          <w:tcPr>
            <w:tcW w:w="110" w:type="dxa"/>
            <w:tcBorders/>
            <w:shd w:fill="FFFFFF" w:val="clear"/>
            <w:vAlign w:val="center"/>
          </w:tcPr>
          <w:p>
            <w:pPr>
              <w:pStyle w:val="TableContents"/>
              <w:bidi w:val="0"/>
              <w:spacing w:before="0" w:after="283"/>
              <w:jc w:val="left"/>
              <w:rPr/>
            </w:pPr>
            <w:r>
              <w:rPr/>
              <w:t> </w:t>
            </w:r>
          </w:p>
        </w:tc>
      </w:tr>
      <w:tr>
        <w:trPr/>
        <w:tc>
          <w:tcPr>
            <w:tcW w:w="2560" w:type="dxa"/>
            <w:tcBorders/>
            <w:shd w:fill="CCEEFF" w:val="clear"/>
            <w:vAlign w:val="center"/>
          </w:tcPr>
          <w:p>
            <w:pPr>
              <w:pStyle w:val="TableContents"/>
              <w:bidi w:val="0"/>
              <w:spacing w:before="0" w:after="283"/>
              <w:jc w:val="left"/>
              <w:rPr/>
            </w:pPr>
            <w:r>
              <w:rPr/>
              <w:t>Additional paid-in-capital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462,166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445,405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461,287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438,202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429,796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422,981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422,960</w:t>
            </w:r>
          </w:p>
        </w:tc>
        <w:tc>
          <w:tcPr>
            <w:tcW w:w="110" w:type="dxa"/>
            <w:tcBorders/>
            <w:shd w:fill="CCEEFF" w:val="clear"/>
            <w:vAlign w:val="center"/>
          </w:tcPr>
          <w:p>
            <w:pPr>
              <w:pStyle w:val="TableContents"/>
              <w:bidi w:val="0"/>
              <w:spacing w:before="0" w:after="283"/>
              <w:jc w:val="left"/>
              <w:rPr/>
            </w:pPr>
            <w:r>
              <w:rPr/>
              <w:t> </w:t>
            </w:r>
          </w:p>
        </w:tc>
      </w:tr>
      <w:tr>
        <w:trPr/>
        <w:tc>
          <w:tcPr>
            <w:tcW w:w="2560"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(455,013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(441,779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(454,411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(439,494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(428,282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(405,727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(384,529</w:t>
            </w:r>
          </w:p>
        </w:tc>
        <w:tc>
          <w:tcPr>
            <w:tcW w:w="110" w:type="dxa"/>
            <w:tcBorders/>
            <w:shd w:fill="FFFFFF" w:val="clear"/>
            <w:vAlign w:val="center"/>
          </w:tcPr>
          <w:p>
            <w:pPr>
              <w:pStyle w:val="TableContents"/>
              <w:bidi w:val="0"/>
              <w:spacing w:before="0" w:after="283"/>
              <w:jc w:val="left"/>
              <w:rPr/>
            </w:pPr>
            <w:r>
              <w:rPr/>
              <w:t>)</w:t>
            </w:r>
          </w:p>
        </w:tc>
      </w:tr>
      <w:tr>
        <w:trPr/>
        <w:tc>
          <w:tcPr>
            <w:tcW w:w="2560" w:type="dxa"/>
            <w:tcBorders/>
            <w:shd w:fill="CCEEFF" w:val="clear"/>
            <w:vAlign w:val="center"/>
          </w:tcPr>
          <w:p>
            <w:pPr>
              <w:pStyle w:val="TableContents"/>
              <w:bidi w:val="0"/>
              <w:spacing w:before="0" w:after="283"/>
              <w:jc w:val="left"/>
              <w:rPr/>
            </w:pPr>
            <w:r>
              <w:rPr/>
              <w:t>Total stockholders’ equity (deficit)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3,631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6,842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15,939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37,693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 w:name="ta_019"/>
      <w:bookmarkEnd w:id="22"/>
      <w:r>
        <w:rPr>
          <w:rFonts w:ascii="Times New Roman;Times;Serif" w:hAnsi="Times New Roman;Times;Serif"/>
          <w:b/>
          <w:i w:val="false"/>
          <w:caps w:val="false"/>
          <w:smallCaps w:val="false"/>
          <w:sz w:val="20"/>
        </w:rPr>
        <w:t>Comparative Historical and Unaudited Pro Forma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below reflects the historical net loss and book value per share of BGMS common stock and the historical net loss and book value per share of the Company ordinary shares in comparison with the unaudited pro forma net loss and book value per share after giving effect to the Transaction on a pro forma basis. The pro forma amounts are presented for illustrative purposes only and are not necessarily indicative of what the financial position, results of operations or per share information of the company would have been if BGMS and Future NRG had effected the Transaction as of or for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the information below in conjunction with the audited and unaudited consolidated financial statements of each of BGMS and the Company included in this registration statement and the related notes and the unaudited pro forma condensed combined financial information and notes related to such financial statements included elsewhere in this registration statement.</w:t>
      </w:r>
    </w:p>
    <w:p>
      <w:pPr>
        <w:pStyle w:val="TextBody"/>
        <w:bidi w:val="0"/>
        <w:spacing w:before="0" w:after="0"/>
        <w:ind w:left="0" w:right="0" w:hanging="0"/>
        <w:jc w:val="both"/>
        <w:rPr>
          <w:caps w:val="false"/>
          <w:smallCaps w:val="false"/>
        </w:rPr>
      </w:pPr>
      <w:r>
        <w:rPr>
          <w:caps w:val="false"/>
          <w:smallCaps w:val="false"/>
        </w:rPr>
        <w:t> </w:t>
      </w:r>
    </w:p>
    <w:tbl>
      <w:tblPr>
        <w:tblW w:w="10148" w:type="dxa"/>
        <w:jc w:val="left"/>
        <w:tblInd w:w="0" w:type="dxa"/>
        <w:tblLayout w:type="fixed"/>
        <w:tblCellMar>
          <w:top w:w="0" w:type="dxa"/>
          <w:left w:w="0" w:type="dxa"/>
          <w:bottom w:w="0" w:type="dxa"/>
          <w:right w:w="0" w:type="dxa"/>
        </w:tblCellMar>
      </w:tblPr>
      <w:tblGrid>
        <w:gridCol w:w="6635"/>
        <w:gridCol w:w="60"/>
        <w:gridCol w:w="331"/>
        <w:gridCol w:w="1218"/>
        <w:gridCol w:w="95"/>
        <w:gridCol w:w="60"/>
        <w:gridCol w:w="350"/>
        <w:gridCol w:w="1289"/>
        <w:gridCol w:w="110"/>
      </w:tblGrid>
      <w:tr>
        <w:trPr/>
        <w:tc>
          <w:tcPr>
            <w:tcW w:w="6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Six</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Months Ended</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June 30,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110"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3" w:type="dxa"/>
            <w:gridSpan w:val="6"/>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635" w:type="dxa"/>
            <w:tcBorders/>
            <w:shd w:fill="CCEEFF" w:val="clear"/>
            <w:vAlign w:val="center"/>
          </w:tcPr>
          <w:p>
            <w:pPr>
              <w:pStyle w:val="TableContents"/>
              <w:bidi w:val="0"/>
              <w:spacing w:before="0" w:after="283"/>
              <w:jc w:val="both"/>
              <w:rPr>
                <w:b/>
              </w:rPr>
            </w:pPr>
            <w:r>
              <w:rPr>
                <w:b/>
              </w:rPr>
              <w:t>BGMS Historical Per Common Share Data:</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635" w:type="dxa"/>
            <w:tcBorders/>
            <w:shd w:fill="FFFFFF" w:val="clear"/>
            <w:vAlign w:val="center"/>
          </w:tcPr>
          <w:p>
            <w:pPr>
              <w:pStyle w:val="TableContents"/>
              <w:bidi w:val="0"/>
              <w:spacing w:before="0" w:after="283"/>
              <w:jc w:val="both"/>
              <w:rPr/>
            </w:pPr>
            <w:r>
              <w:rPr/>
              <w:t>Basic and diluted net loss per share</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w:t>
            </w:r>
          </w:p>
        </w:tc>
        <w:tc>
          <w:tcPr>
            <w:tcW w:w="1218" w:type="dxa"/>
            <w:tcBorders/>
            <w:shd w:fill="FFFFFF" w:val="clear"/>
            <w:vAlign w:val="center"/>
          </w:tcPr>
          <w:p>
            <w:pPr>
              <w:pStyle w:val="TableContents"/>
              <w:bidi w:val="0"/>
              <w:spacing w:before="0" w:after="283"/>
              <w:jc w:val="right"/>
              <w:rPr/>
            </w:pPr>
            <w:r>
              <w:rPr/>
              <w:t>(0.12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w:t>
            </w:r>
          </w:p>
        </w:tc>
        <w:tc>
          <w:tcPr>
            <w:tcW w:w="1289" w:type="dxa"/>
            <w:tcBorders/>
            <w:shd w:fill="FFFFFF" w:val="clear"/>
            <w:vAlign w:val="center"/>
          </w:tcPr>
          <w:p>
            <w:pPr>
              <w:pStyle w:val="TableContents"/>
              <w:bidi w:val="0"/>
              <w:spacing w:before="0" w:after="283"/>
              <w:jc w:val="right"/>
              <w:rPr/>
            </w:pPr>
            <w:r>
              <w:rPr/>
              <w:t>(6.45</w:t>
            </w:r>
          </w:p>
        </w:tc>
        <w:tc>
          <w:tcPr>
            <w:tcW w:w="110" w:type="dxa"/>
            <w:tcBorders/>
            <w:shd w:fill="FFFFFF" w:val="clear"/>
            <w:vAlign w:val="center"/>
          </w:tcPr>
          <w:p>
            <w:pPr>
              <w:pStyle w:val="TableContents"/>
              <w:bidi w:val="0"/>
              <w:spacing w:before="0" w:after="283"/>
              <w:jc w:val="left"/>
              <w:rPr/>
            </w:pPr>
            <w:r>
              <w:rPr/>
              <w:t>)</w:t>
            </w:r>
          </w:p>
        </w:tc>
      </w:tr>
      <w:tr>
        <w:trPr/>
        <w:tc>
          <w:tcPr>
            <w:tcW w:w="6635" w:type="dxa"/>
            <w:tcBorders/>
            <w:shd w:fill="CCEEFF" w:val="clear"/>
            <w:vAlign w:val="center"/>
          </w:tcPr>
          <w:p>
            <w:pPr>
              <w:pStyle w:val="TableContents"/>
              <w:bidi w:val="0"/>
              <w:spacing w:before="0" w:after="283"/>
              <w:jc w:val="both"/>
              <w:rPr/>
            </w:pPr>
            <w:r>
              <w:rPr/>
              <w:t>Book value per share</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w:t>
            </w:r>
          </w:p>
        </w:tc>
        <w:tc>
          <w:tcPr>
            <w:tcW w:w="1218" w:type="dxa"/>
            <w:tcBorders/>
            <w:shd w:fill="CCEEFF" w:val="clear"/>
            <w:vAlign w:val="center"/>
          </w:tcPr>
          <w:p>
            <w:pPr>
              <w:pStyle w:val="TableContents"/>
              <w:bidi w:val="0"/>
              <w:spacing w:before="0" w:after="283"/>
              <w:jc w:val="right"/>
              <w:rPr/>
            </w:pPr>
            <w:r>
              <w:rPr/>
              <w:t>1.08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w:t>
            </w:r>
          </w:p>
        </w:tc>
        <w:tc>
          <w:tcPr>
            <w:tcW w:w="1289" w:type="dxa"/>
            <w:tcBorders/>
            <w:shd w:fill="CCEEFF" w:val="clear"/>
            <w:vAlign w:val="center"/>
          </w:tcPr>
          <w:p>
            <w:pPr>
              <w:pStyle w:val="TableContents"/>
              <w:bidi w:val="0"/>
              <w:spacing w:before="0" w:after="283"/>
              <w:jc w:val="right"/>
              <w:rPr/>
            </w:pPr>
            <w:r>
              <w:rPr/>
              <w:t>1.27</w:t>
            </w:r>
          </w:p>
        </w:tc>
        <w:tc>
          <w:tcPr>
            <w:tcW w:w="110" w:type="dxa"/>
            <w:tcBorders/>
            <w:shd w:fill="CCEEFF" w:val="clear"/>
            <w:vAlign w:val="center"/>
          </w:tcPr>
          <w:p>
            <w:pPr>
              <w:pStyle w:val="TableContents"/>
              <w:bidi w:val="0"/>
              <w:spacing w:before="0" w:after="283"/>
              <w:jc w:val="left"/>
              <w:rPr/>
            </w:pPr>
            <w:r>
              <w:rPr/>
              <w:t> </w:t>
            </w:r>
          </w:p>
        </w:tc>
      </w:tr>
      <w:tr>
        <w:trPr/>
        <w:tc>
          <w:tcPr>
            <w:tcW w:w="6635" w:type="dxa"/>
            <w:tcBorders/>
            <w:shd w:fill="FFFFFF" w:val="clear"/>
            <w:vAlign w:val="center"/>
          </w:tcPr>
          <w:p>
            <w:pPr>
              <w:pStyle w:val="TableContents"/>
              <w:bidi w:val="0"/>
              <w:spacing w:before="0" w:after="283"/>
              <w:jc w:val="both"/>
              <w:rPr>
                <w:b/>
              </w:rPr>
            </w:pPr>
            <w:r>
              <w:rPr>
                <w:b/>
              </w:rPr>
              <w:t>Selling Shareholders Historical Per Common Share Data:</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635" w:type="dxa"/>
            <w:tcBorders/>
            <w:shd w:fill="CCEEFF" w:val="clear"/>
            <w:vAlign w:val="center"/>
          </w:tcPr>
          <w:p>
            <w:pPr>
              <w:pStyle w:val="TableContents"/>
              <w:bidi w:val="0"/>
              <w:spacing w:before="0" w:after="283"/>
              <w:jc w:val="both"/>
              <w:rPr/>
            </w:pPr>
            <w:r>
              <w:rPr/>
              <w:t>Basic and diluted net loss per share</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w:t>
            </w:r>
          </w:p>
        </w:tc>
        <w:tc>
          <w:tcPr>
            <w:tcW w:w="1218" w:type="dxa"/>
            <w:tcBorders/>
            <w:shd w:fill="CCEEFF" w:val="clear"/>
            <w:vAlign w:val="center"/>
          </w:tcPr>
          <w:p>
            <w:pPr>
              <w:pStyle w:val="TableContents"/>
              <w:bidi w:val="0"/>
              <w:spacing w:before="0" w:after="283"/>
              <w:jc w:val="right"/>
              <w:rPr/>
            </w:pPr>
            <w:r>
              <w:rPr/>
              <w:t>(0.00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w:t>
            </w:r>
          </w:p>
        </w:tc>
        <w:tc>
          <w:tcPr>
            <w:tcW w:w="1289" w:type="dxa"/>
            <w:tcBorders/>
            <w:shd w:fill="CCEEFF" w:val="clear"/>
            <w:vAlign w:val="center"/>
          </w:tcPr>
          <w:p>
            <w:pPr>
              <w:pStyle w:val="TableContents"/>
              <w:bidi w:val="0"/>
              <w:spacing w:before="0" w:after="283"/>
              <w:jc w:val="right"/>
              <w:rPr/>
            </w:pPr>
            <w:r>
              <w:rPr/>
              <w:t>0.09</w:t>
            </w:r>
          </w:p>
        </w:tc>
        <w:tc>
          <w:tcPr>
            <w:tcW w:w="110" w:type="dxa"/>
            <w:tcBorders/>
            <w:shd w:fill="CCEEFF" w:val="clear"/>
            <w:vAlign w:val="center"/>
          </w:tcPr>
          <w:p>
            <w:pPr>
              <w:pStyle w:val="TableContents"/>
              <w:bidi w:val="0"/>
              <w:spacing w:before="0" w:after="283"/>
              <w:jc w:val="left"/>
              <w:rPr/>
            </w:pPr>
            <w:r>
              <w:rPr/>
              <w:t> </w:t>
            </w:r>
          </w:p>
        </w:tc>
      </w:tr>
      <w:tr>
        <w:trPr/>
        <w:tc>
          <w:tcPr>
            <w:tcW w:w="6635" w:type="dxa"/>
            <w:tcBorders/>
            <w:shd w:fill="FFFFFF" w:val="clear"/>
            <w:vAlign w:val="center"/>
          </w:tcPr>
          <w:p>
            <w:pPr>
              <w:pStyle w:val="TableContents"/>
              <w:bidi w:val="0"/>
              <w:spacing w:before="0" w:after="283"/>
              <w:jc w:val="both"/>
              <w:rPr/>
            </w:pPr>
            <w:r>
              <w:rPr/>
              <w:t>Book value per share</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w:t>
            </w:r>
          </w:p>
        </w:tc>
        <w:tc>
          <w:tcPr>
            <w:tcW w:w="1218" w:type="dxa"/>
            <w:tcBorders/>
            <w:shd w:fill="FFFFFF" w:val="clear"/>
            <w:vAlign w:val="center"/>
          </w:tcPr>
          <w:p>
            <w:pPr>
              <w:pStyle w:val="TableContents"/>
              <w:bidi w:val="0"/>
              <w:spacing w:before="0" w:after="283"/>
              <w:jc w:val="right"/>
              <w:rPr/>
            </w:pPr>
            <w:r>
              <w:rPr/>
              <w:t>0.15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w:t>
            </w:r>
          </w:p>
        </w:tc>
        <w:tc>
          <w:tcPr>
            <w:tcW w:w="1289" w:type="dxa"/>
            <w:tcBorders/>
            <w:shd w:fill="FFFFFF" w:val="clear"/>
            <w:vAlign w:val="center"/>
          </w:tcPr>
          <w:p>
            <w:pPr>
              <w:pStyle w:val="TableContents"/>
              <w:bidi w:val="0"/>
              <w:spacing w:before="0" w:after="283"/>
              <w:jc w:val="right"/>
              <w:rPr/>
            </w:pPr>
            <w:r>
              <w:rPr/>
              <w:t>0.16</w:t>
            </w:r>
          </w:p>
        </w:tc>
        <w:tc>
          <w:tcPr>
            <w:tcW w:w="110" w:type="dxa"/>
            <w:tcBorders/>
            <w:shd w:fill="FFFFFF" w:val="clear"/>
            <w:vAlign w:val="center"/>
          </w:tcPr>
          <w:p>
            <w:pPr>
              <w:pStyle w:val="TableContents"/>
              <w:bidi w:val="0"/>
              <w:spacing w:before="0" w:after="283"/>
              <w:jc w:val="left"/>
              <w:rPr/>
            </w:pPr>
            <w:r>
              <w:rPr/>
              <w:t> </w:t>
            </w:r>
          </w:p>
        </w:tc>
      </w:tr>
      <w:tr>
        <w:trPr/>
        <w:tc>
          <w:tcPr>
            <w:tcW w:w="6635" w:type="dxa"/>
            <w:tcBorders/>
            <w:shd w:fill="CCEEFF" w:val="clear"/>
            <w:vAlign w:val="center"/>
          </w:tcPr>
          <w:p>
            <w:pPr>
              <w:pStyle w:val="TableContents"/>
              <w:bidi w:val="0"/>
              <w:spacing w:before="0" w:after="283"/>
              <w:jc w:val="both"/>
              <w:rPr>
                <w:b/>
              </w:rPr>
            </w:pPr>
            <w:r>
              <w:rPr>
                <w:b/>
              </w:rPr>
              <w:t>BGMS and Future NRG Combined Unaudited Pro Forma Data:</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635" w:type="dxa"/>
            <w:tcBorders/>
            <w:shd w:fill="FFFFFF" w:val="clear"/>
            <w:vAlign w:val="center"/>
          </w:tcPr>
          <w:p>
            <w:pPr>
              <w:pStyle w:val="TableContents"/>
              <w:bidi w:val="0"/>
              <w:spacing w:before="0" w:after="283"/>
              <w:jc w:val="both"/>
              <w:rPr/>
            </w:pPr>
            <w:r>
              <w:rPr/>
              <w:t>Basic and diluted net loss per share</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w:t>
            </w:r>
          </w:p>
        </w:tc>
        <w:tc>
          <w:tcPr>
            <w:tcW w:w="1218" w:type="dxa"/>
            <w:tcBorders/>
            <w:shd w:fill="FFFFFF" w:val="clear"/>
            <w:vAlign w:val="center"/>
          </w:tcPr>
          <w:p>
            <w:pPr>
              <w:pStyle w:val="TableContents"/>
              <w:bidi w:val="0"/>
              <w:spacing w:before="0" w:after="283"/>
              <w:jc w:val="right"/>
              <w:rPr/>
            </w:pPr>
            <w:r>
              <w:rPr/>
              <w:t>(0.03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w:t>
            </w:r>
          </w:p>
        </w:tc>
        <w:tc>
          <w:tcPr>
            <w:tcW w:w="1289" w:type="dxa"/>
            <w:tcBorders/>
            <w:shd w:fill="FFFFFF" w:val="clear"/>
            <w:vAlign w:val="center"/>
          </w:tcPr>
          <w:p>
            <w:pPr>
              <w:pStyle w:val="TableContents"/>
              <w:bidi w:val="0"/>
              <w:spacing w:before="0" w:after="283"/>
              <w:jc w:val="right"/>
              <w:rPr/>
            </w:pPr>
            <w:r>
              <w:rPr/>
              <w:t>(5.31</w:t>
            </w:r>
          </w:p>
        </w:tc>
        <w:tc>
          <w:tcPr>
            <w:tcW w:w="110" w:type="dxa"/>
            <w:tcBorders/>
            <w:shd w:fill="FFFFFF" w:val="clear"/>
            <w:vAlign w:val="center"/>
          </w:tcPr>
          <w:p>
            <w:pPr>
              <w:pStyle w:val="TableContents"/>
              <w:bidi w:val="0"/>
              <w:spacing w:before="0" w:after="283"/>
              <w:jc w:val="left"/>
              <w:rPr/>
            </w:pPr>
            <w:r>
              <w:rPr/>
              <w:t>)</w:t>
            </w:r>
          </w:p>
        </w:tc>
      </w:tr>
      <w:tr>
        <w:trPr/>
        <w:tc>
          <w:tcPr>
            <w:tcW w:w="6635" w:type="dxa"/>
            <w:tcBorders/>
            <w:shd w:fill="CCEEFF" w:val="clear"/>
            <w:vAlign w:val="center"/>
          </w:tcPr>
          <w:p>
            <w:pPr>
              <w:pStyle w:val="TableContents"/>
              <w:bidi w:val="0"/>
              <w:spacing w:before="0" w:after="283"/>
              <w:jc w:val="both"/>
              <w:rPr/>
            </w:pPr>
            <w:r>
              <w:rPr/>
              <w:t>Book value per share</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w:t>
            </w:r>
          </w:p>
        </w:tc>
        <w:tc>
          <w:tcPr>
            <w:tcW w:w="1218" w:type="dxa"/>
            <w:tcBorders/>
            <w:shd w:fill="CCEEFF" w:val="clear"/>
            <w:vAlign w:val="center"/>
          </w:tcPr>
          <w:p>
            <w:pPr>
              <w:pStyle w:val="TableContents"/>
              <w:bidi w:val="0"/>
              <w:spacing w:before="0" w:after="283"/>
              <w:jc w:val="right"/>
              <w:rPr/>
            </w:pPr>
            <w:r>
              <w:rPr/>
              <w:t>0.30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w:t>
            </w:r>
          </w:p>
        </w:tc>
        <w:tc>
          <w:tcPr>
            <w:tcW w:w="1289" w:type="dxa"/>
            <w:tcBorders/>
            <w:shd w:fill="CCEEFF" w:val="clear"/>
            <w:vAlign w:val="center"/>
          </w:tcPr>
          <w:p>
            <w:pPr>
              <w:pStyle w:val="TableContents"/>
              <w:bidi w:val="0"/>
              <w:spacing w:before="0" w:after="283"/>
              <w:jc w:val="right"/>
              <w:rPr/>
            </w:pPr>
            <w:r>
              <w:rPr/>
              <w:t>0.34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ta_020"/>
      <w:bookmarkEnd w:id="23"/>
      <w:r>
        <w:rPr>
          <w:rFonts w:ascii="Times New Roman;Times;Serif" w:hAnsi="Times New Roman;Times;Serif"/>
          <w:b/>
          <w:i w:val="false"/>
          <w:caps w:val="false"/>
          <w:smallCaps w:val="false"/>
          <w:sz w:val="20"/>
        </w:rPr>
        <w:t>UNAUDITED PRO FORMA CONDENSED COMBINED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(“BGMS” or “Parent”), Future NRG Sdn. Bhd., a Malaysian private limited company (the “Company” or “Future NRG Sdn. Bhd.”) and all of the shareholders of Future NRG (the “Selling Shareholders”), which is the beneficial owner of all of the ordinary shares (the “Company Ordinary Shares” or “Shares” and each, a “Share”) of Future NRG entered into a Business Combination Agreement dated as of June 4, 2026 (collectively, the “Business Combination Agreement”) (“Selling Shareholders” and “Parent” are sometimes referred to herein as the “Parties” or each, a “Party”). The Parties thereto intend to effect a voluntary share exchange between Parent and Selling Shareholders (the “Exchange”), in which the Company will become a wholly-owned subsidiary of Parent, in accordance with the terms of the Business Combination Agreement and the rules under Delaware General Corporation Law (the “DGCL”) and the Malaysian Companies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and in accordance with the DGCL, at the Closing (as hereinafter defined), Selling Shareholders shall convey, assign, and transfer all of their right, title and interest to the Company Ordinary Shares to Parent. The Shares transferred to Parent at the Closing shall constitute one hundred (100%) percent of the issued and outstanding capital shares of the Company. As consideration for its acquisition of the Shares and without any action on the part of any Party or the holders of securities of Parent or the Company, each Share issued and outstanding immediately prior to the date and time of the filing of the Malaysia Form of Transfer or at such later date or time as may be agreed by the Company and Parent in writing and specified in the Malaysia Form of Transfer in accordance with relevant provisions of the Malaysian Companies Act (the “Effective Time”) shall be converted into, and the holder thereof shall be entitled to receive a number of Parent Common Stock equal to the quotient of (i) the Transaction Consideration Shares (as defined below) divided by (ii) the total number of Shares issued and outstanding immediately prior to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amount of Parent Common Stock (the “Exchange Shares”) shall be issued to the Selling Shareholders by issuance of book-entry shares representing the Exchange Shares in accordance with the applicable provisions of the DGCL, and the Transfer Agent shall be instructed to update the register of stockholders of Parent. Transaction Consideration Shares means that number of Parent Common Stock equal to (x) the quotient of Aggregate Transaction Consideration Value divided </w:t>
      </w:r>
      <w:r>
        <w:rPr>
          <w:rFonts w:ascii="Times New Roman;Times;Serif" w:hAnsi="Times New Roman;Times;Serif"/>
          <w:b w:val="false"/>
          <w:i/>
          <w:caps w:val="false"/>
          <w:smallCaps w:val="false"/>
          <w:sz w:val="20"/>
        </w:rPr>
        <w:t>by</w:t>
      </w:r>
      <w:r>
        <w:rPr>
          <w:rFonts w:ascii="Times New Roman;Times;Serif" w:hAnsi="Times New Roman;Times;Serif"/>
          <w:b w:val="false"/>
          <w:i w:val="false"/>
          <w:caps w:val="false"/>
          <w:smallCaps w:val="false"/>
          <w:sz w:val="20"/>
        </w:rPr>
        <w:t xml:space="preserve"> (y) thirty (30) day VWAP immediately prior to the date on which the closing occurs and the transactions contemplated in the Business Combination Agreement become effective (the “Closing Date”). “Aggregate Transaction Consideration Value” means $2,000,000,000.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the closing of the Exchange (the “Closing”) shall take place no later than three business days after the date on which the conditions to Closing set forth in the Business Combination Agreement shall have been satisfied or, to the extent permitted thereunder, waived by the appropriate Party (other than those conditions that by their nature are to be satisfied at the Closing, but subject to the satisfaction or, to the extent permitted hereunder, waiver of all such conditions) or at such other time, date or location as the parties hereto agree. The date on which the Closing actually occurs and the transactions contemplated in the Business Combination Agreement become effective is hereinafter referred to as the “Closing Date.” At the time of the Closing, Parent, Selling Shareholders and the Company shall deliver the certificates and other documents and instruments required to be delivered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statements give effect to the exchange of all of the outstanding ordinary shares of the Company for newly-issued shares of common stock of BGMS in the Transaction, pursuant to the Business Combination Agreement between the parties, and were prepared in accordance with the regulations of the Securities and Exchange Commission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unaudited pro forma condensed combined financial statements, Future NRG was determined to be the accounting acquirer based upon the terms of the Transaction and other factors. Notably, the Selling Shareholders’ security holders will own approximately over 99.0% of the combined company, immediately following the closing of the Transaction.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unaudited pro forma condensed combined financial statements, the Transaction will be recorded as a reverse acquisition under accounting principles generally accepted in the United States, or “U.S. GAAP”. Although BGMS is the legal acquirer of 100% of the outstanding equity interests of the Company, BGMS is considered the accounting acquiree under U.S. GAAP. The assets and liabilities assumed of BGMS will be initially measured at their fair values as of the acquisition date and goodwill will be determined as the excess of the fair value of the consideration effectively transferred over the net amount of BGMS’s recognized identifiable assets and liabilities. BGMS and Future NRG have determined a preliminary estimation of goodwill as described in Note 2 to the unaudited pro forma condensed combined financial statements. A final determination of the goodwill (or negative goodwill) recognized will be based on the estimated net tangible and intangible assets and liabilities of BGMS that exist, and the calculation of the consideration effectively transferred, as of the date of completion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as of June 30, 2026 gives effect to the Transaction as if it took place on June 30, 2026 and combines the historical balance sheets of BGMS and the Company as of such date. The unaudited pro forma condensed combined statements of operations for the six months ended June 30, 2026 and for the year ended December 31, 2025 gives effect to the Transaction as if it took place as of January 1, 2025, and combines the historical results of BGMS and the Company for each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is based on the assumptions and adjustments that are described in the accompanying notes. The unaudited pro forma condensed combined financial statements and pro forma adjustments have been prepared based on preliminary estimates of fair value of assets acquired and liabilities assumed. Differences between these preliminary estimates and the final acquisition accounting are likely to occur and these differences could be material as compared to the accompanying unaudited pro forma condensed combined financial statements and the combined companies’ future results of operations and financial position. The actual amounts recorded as of the completion of the Transaction may also differ materially from the information presented in these unaudited condensed combined pro forma financial statements as a result of, among other factors, the amount of capital raised by the Company between entering the Business Combination Agreement and closing of the Transaction; the amount of cash used in BGMS’ operations between the signing of the Business Combination Agreement and the closing of the Transaction; the timing of closing of the Transaction; changes in the fair value of BGMS common stock; and other changes in the BGMS assets and liabilities that occur prior to the completion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does not give effect to the potential impact of current financial conditions, regulatory matters, operating efficiencies or other savings or expenses that may be associated with the integration of the two companies, if any. The unaudited pro forma condensed combined financial information is preliminary and has been prepared for informational purposes only and is not necessarily indicative of the financial position or results of operations in future periods or the results that actually would have been realized had BGMS and Future NRG been a combined company during the specified periods. The actual results reported in periods following the transaction are expected to differ significantly from those reflected in the unaudited pro forma condensed combined financial information presented herein for a number of reasons, including, but not limited to, the disposal of Future NRG’s former subsidiary, Solid Orient Holdings Sdn. Bhd. and actual differences from the assumptions used to prepare the pro forma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including the notes thereto, should be read in conjunction with the separate BGMS management and Company historical financial statements, and their respective management’s discussion and analysis of financial condition and results of operations included elsewhere in this registration statement.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Pro Forma Combined Balance Sheet as of June 30, 2026</w:t>
      </w:r>
    </w:p>
    <w:p>
      <w:pPr>
        <w:pStyle w:val="TextBody"/>
        <w:bidi w:val="0"/>
        <w:spacing w:before="0" w:after="0"/>
        <w:ind w:left="108"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84"/>
        <w:gridCol w:w="60"/>
        <w:gridCol w:w="104"/>
        <w:gridCol w:w="941"/>
        <w:gridCol w:w="80"/>
        <w:gridCol w:w="60"/>
        <w:gridCol w:w="180"/>
        <w:gridCol w:w="2173"/>
        <w:gridCol w:w="80"/>
        <w:gridCol w:w="60"/>
        <w:gridCol w:w="144"/>
        <w:gridCol w:w="1842"/>
        <w:gridCol w:w="80"/>
        <w:gridCol w:w="60"/>
        <w:gridCol w:w="89"/>
        <w:gridCol w:w="869"/>
        <w:gridCol w:w="99"/>
      </w:tblGrid>
      <w:tr>
        <w:trPr/>
        <w:tc>
          <w:tcPr>
            <w:tcW w:w="32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5" w:type="dxa"/>
            <w:gridSpan w:val="2"/>
            <w:tcBorders/>
            <w:vAlign w:val="center"/>
          </w:tcPr>
          <w:p>
            <w:pPr>
              <w:pStyle w:val="TableContents"/>
              <w:bidi w:val="0"/>
              <w:spacing w:before="0" w:after="283"/>
              <w:jc w:val="center"/>
              <w:rPr>
                <w:b/>
                <w:sz w:val="20"/>
              </w:rPr>
            </w:pPr>
            <w:r>
              <w:rPr>
                <w:b/>
                <w:sz w:val="20"/>
              </w:rPr>
              <w:t>Future NRG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3" w:type="dxa"/>
            <w:gridSpan w:val="2"/>
            <w:tcBorders/>
            <w:vAlign w:val="center"/>
          </w:tcPr>
          <w:p>
            <w:pPr>
              <w:pStyle w:val="TableContents"/>
              <w:bidi w:val="0"/>
              <w:spacing w:before="0" w:after="283"/>
              <w:jc w:val="center"/>
              <w:rPr>
                <w:b/>
                <w:sz w:val="20"/>
              </w:rPr>
            </w:pPr>
            <w:r>
              <w:rPr>
                <w:b/>
                <w:sz w:val="20"/>
              </w:rPr>
              <w:t>Bio Green Med Solution, Inc.</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6" w:type="dxa"/>
            <w:gridSpan w:val="2"/>
            <w:tcBorders/>
            <w:vAlign w:val="center"/>
          </w:tcPr>
          <w:p>
            <w:pPr>
              <w:pStyle w:val="TableContents"/>
              <w:bidi w:val="0"/>
              <w:spacing w:before="0" w:after="283"/>
              <w:jc w:val="center"/>
              <w:rPr>
                <w:b/>
                <w:sz w:val="20"/>
              </w:rPr>
            </w:pPr>
            <w:r>
              <w:rPr>
                <w:b/>
                <w:sz w:val="20"/>
              </w:rPr>
              <w:t>Transaction Accounting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8" w:type="dxa"/>
            <w:gridSpan w:val="2"/>
            <w:tcBorders/>
            <w:vAlign w:val="center"/>
          </w:tcPr>
          <w:p>
            <w:pPr>
              <w:pStyle w:val="TableContents"/>
              <w:bidi w:val="0"/>
              <w:spacing w:before="0" w:after="283"/>
              <w:jc w:val="center"/>
              <w:rPr>
                <w:b/>
                <w:sz w:val="20"/>
              </w:rPr>
            </w:pPr>
            <w:r>
              <w:rPr>
                <w:b/>
                <w:sz w:val="20"/>
              </w:rPr>
              <w:t>Pro Forma</w:t>
            </w:r>
          </w:p>
        </w:tc>
        <w:tc>
          <w:tcPr>
            <w:tcW w:w="99" w:type="dxa"/>
            <w:tcBorders/>
            <w:vAlign w:val="center"/>
          </w:tcPr>
          <w:p>
            <w:pPr>
              <w:pStyle w:val="TableContents"/>
              <w:bidi w:val="0"/>
              <w:spacing w:before="0" w:after="283"/>
              <w:jc w:val="left"/>
              <w:rPr/>
            </w:pPr>
            <w:r>
              <w:rPr/>
              <w:t> </w:t>
            </w:r>
          </w:p>
        </w:tc>
      </w:tr>
      <w:tr>
        <w:trPr/>
        <w:tc>
          <w:tcPr>
            <w:tcW w:w="32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(Historical)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3"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(Historical)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Adjustments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Combined</w:t>
            </w:r>
          </w:p>
        </w:tc>
        <w:tc>
          <w:tcPr>
            <w:tcW w:w="99" w:type="dxa"/>
            <w:tcBorders/>
            <w:vAlign w:val="center"/>
          </w:tcPr>
          <w:p>
            <w:pPr>
              <w:pStyle w:val="TableContents"/>
              <w:bidi w:val="0"/>
              <w:spacing w:before="0" w:after="283"/>
              <w:jc w:val="left"/>
              <w:rPr/>
            </w:pPr>
            <w:r>
              <w:rPr/>
              <w:t> </w:t>
            </w:r>
          </w:p>
        </w:tc>
      </w:tr>
      <w:tr>
        <w:trPr/>
        <w:tc>
          <w:tcPr>
            <w:tcW w:w="32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62" w:type="dxa"/>
            <w:gridSpan w:val="14"/>
            <w:tcBorders/>
            <w:vAlign w:val="center"/>
          </w:tcPr>
          <w:p>
            <w:pPr>
              <w:pStyle w:val="TableContents"/>
              <w:bidi w:val="0"/>
              <w:spacing w:before="0" w:after="283"/>
              <w:jc w:val="center"/>
              <w:rPr>
                <w:b/>
                <w:sz w:val="20"/>
              </w:rPr>
            </w:pPr>
            <w:r>
              <w:rPr>
                <w:b/>
                <w:sz w:val="20"/>
              </w:rPr>
              <w:t>(in thousands)</w:t>
            </w:r>
          </w:p>
        </w:tc>
        <w:tc>
          <w:tcPr>
            <w:tcW w:w="99" w:type="dxa"/>
            <w:tcBorders/>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b/>
                <w:sz w:val="20"/>
              </w:rPr>
            </w:pPr>
            <w:r>
              <w:rPr>
                <w:b/>
                <w:sz w:val="20"/>
              </w:rPr>
              <w:t>Current Assets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21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84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sz w:val="20"/>
              </w:rPr>
            </w:pPr>
            <w:r>
              <w:rPr>
                <w:sz w:val="20"/>
              </w:rPr>
              <w:t>Cash and cash equivalents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sz w:val="20"/>
              </w:rPr>
            </w:pPr>
            <w:r>
              <w:rPr>
                <w:sz w:val="20"/>
              </w:rPr>
              <w:t>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173" w:type="dxa"/>
            <w:tcBorders/>
            <w:shd w:fill="FFFFFF" w:val="clear"/>
            <w:vAlign w:val="center"/>
          </w:tcPr>
          <w:p>
            <w:pPr>
              <w:pStyle w:val="TableContents"/>
              <w:bidi w:val="0"/>
              <w:spacing w:before="0" w:after="283"/>
              <w:jc w:val="right"/>
              <w:rPr>
                <w:sz w:val="20"/>
              </w:rPr>
            </w:pPr>
            <w:r>
              <w:rPr>
                <w:sz w:val="20"/>
              </w:rPr>
              <w:t>3,790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sz w:val="20"/>
              </w:rPr>
            </w:pPr>
            <w:r>
              <w:rPr>
                <w:sz w:val="20"/>
              </w:rPr>
              <w:t>3,817</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sz w:val="20"/>
              </w:rPr>
            </w:pPr>
            <w:r>
              <w:rPr>
                <w:sz w:val="20"/>
              </w:rPr>
              <w:t>Inventories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sz w:val="20"/>
              </w:rPr>
            </w:pPr>
            <w:r>
              <w:rPr>
                <w:sz w:val="20"/>
              </w:rPr>
              <w:t>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2173" w:type="dxa"/>
            <w:tcBorders/>
            <w:shd w:fill="CCEEFF" w:val="clear"/>
            <w:vAlign w:val="center"/>
          </w:tcPr>
          <w:p>
            <w:pPr>
              <w:pStyle w:val="TableContents"/>
              <w:bidi w:val="0"/>
              <w:spacing w:before="0" w:after="283"/>
              <w:jc w:val="right"/>
              <w:rPr>
                <w:sz w:val="20"/>
              </w:rPr>
            </w:pPr>
            <w:r>
              <w:rPr>
                <w:sz w:val="20"/>
              </w:rPr>
              <w:t>972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84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sz w:val="20"/>
              </w:rPr>
            </w:pPr>
            <w:r>
              <w:rPr>
                <w:sz w:val="20"/>
              </w:rPr>
              <w:t>1,050</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sz w:val="20"/>
              </w:rPr>
            </w:pPr>
            <w:r>
              <w:rPr>
                <w:sz w:val="20"/>
              </w:rPr>
              <w:t>Accounts receivables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sz w:val="20"/>
              </w:rPr>
            </w:pPr>
            <w:r>
              <w:rPr>
                <w:sz w:val="20"/>
              </w:rPr>
              <w:t>293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173" w:type="dxa"/>
            <w:tcBorders/>
            <w:shd w:fill="FFFFFF" w:val="clear"/>
            <w:vAlign w:val="center"/>
          </w:tcPr>
          <w:p>
            <w:pPr>
              <w:pStyle w:val="TableContents"/>
              <w:bidi w:val="0"/>
              <w:spacing w:before="0" w:after="283"/>
              <w:jc w:val="right"/>
              <w:rPr>
                <w:sz w:val="20"/>
              </w:rPr>
            </w:pPr>
            <w:r>
              <w:rPr>
                <w:sz w:val="20"/>
              </w:rPr>
              <w:t>1,074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sz w:val="20"/>
              </w:rPr>
            </w:pPr>
            <w:r>
              <w:rPr>
                <w:sz w:val="20"/>
              </w:rPr>
              <w:t>1,367</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sz w:val="20"/>
              </w:rPr>
            </w:pPr>
            <w:r>
              <w:rPr>
                <w:sz w:val="20"/>
              </w:rPr>
              <w:t>Prepaid &amp; other current assets</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7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4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134</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sz w:val="20"/>
              </w:rPr>
            </w:pPr>
            <w:r>
              <w:rPr>
                <w:sz w:val="20"/>
              </w:rPr>
              <w:t>399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173" w:type="dxa"/>
            <w:tcBorders/>
            <w:shd w:fill="FFFFFF" w:val="clear"/>
            <w:vAlign w:val="center"/>
          </w:tcPr>
          <w:p>
            <w:pPr>
              <w:pStyle w:val="TableContents"/>
              <w:bidi w:val="0"/>
              <w:spacing w:before="0" w:after="283"/>
              <w:jc w:val="right"/>
              <w:rPr>
                <w:sz w:val="20"/>
              </w:rPr>
            </w:pPr>
            <w:r>
              <w:rPr>
                <w:sz w:val="20"/>
              </w:rPr>
              <w:t>5,969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sz w:val="20"/>
              </w:rPr>
            </w:pPr>
            <w:r>
              <w:rPr>
                <w:sz w:val="20"/>
              </w:rPr>
              <w:t>6,368</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21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84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b/>
                <w:sz w:val="20"/>
              </w:rPr>
            </w:pPr>
            <w:r>
              <w:rPr>
                <w:b/>
                <w:sz w:val="20"/>
              </w:rPr>
              <w:t>Investments And Other Assets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1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sz w:val="20"/>
              </w:rPr>
            </w:pPr>
            <w:r>
              <w:rPr>
                <w:sz w:val="20"/>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sz w:val="20"/>
              </w:rPr>
            </w:pPr>
            <w:r>
              <w:rPr>
                <w:sz w:val="20"/>
              </w:rPr>
              <w:t>4,404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2173" w:type="dxa"/>
            <w:tcBorders/>
            <w:shd w:fill="CCEEFF" w:val="clear"/>
            <w:vAlign w:val="center"/>
          </w:tcPr>
          <w:p>
            <w:pPr>
              <w:pStyle w:val="TableContents"/>
              <w:bidi w:val="0"/>
              <w:spacing w:before="0" w:after="283"/>
              <w:jc w:val="right"/>
              <w:rPr>
                <w:sz w:val="20"/>
              </w:rPr>
            </w:pPr>
            <w:r>
              <w:rPr>
                <w:sz w:val="20"/>
              </w:rPr>
              <w:t>136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84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sz w:val="20"/>
              </w:rPr>
            </w:pPr>
            <w:r>
              <w:rPr>
                <w:sz w:val="20"/>
              </w:rPr>
              <w:t>4,540</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sz w:val="20"/>
              </w:rPr>
            </w:pPr>
            <w:r>
              <w:rPr>
                <w:sz w:val="20"/>
              </w:rPr>
              <w:t>ROU Asset</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173" w:type="dxa"/>
            <w:tcBorders/>
            <w:shd w:fill="FFFFFF" w:val="clear"/>
            <w:vAlign w:val="center"/>
          </w:tcPr>
          <w:p>
            <w:pPr>
              <w:pStyle w:val="TableContents"/>
              <w:bidi w:val="0"/>
              <w:spacing w:before="0" w:after="283"/>
              <w:jc w:val="right"/>
              <w:rPr>
                <w:sz w:val="20"/>
              </w:rPr>
            </w:pPr>
            <w:r>
              <w:rPr>
                <w:sz w:val="20"/>
              </w:rPr>
              <w:t>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sz w:val="20"/>
              </w:rPr>
            </w:pPr>
            <w:r>
              <w:rPr>
                <w:sz w:val="20"/>
              </w:rPr>
              <w:t>7</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sz w:val="20"/>
              </w:rPr>
            </w:pPr>
            <w:r>
              <w:rPr>
                <w:sz w:val="20"/>
              </w:rPr>
              <w:t>Goodwill</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2173" w:type="dxa"/>
            <w:tcBorders/>
            <w:shd w:fill="CCEEFF" w:val="clear"/>
            <w:vAlign w:val="center"/>
          </w:tcPr>
          <w:p>
            <w:pPr>
              <w:pStyle w:val="TableContents"/>
              <w:bidi w:val="0"/>
              <w:spacing w:before="0" w:after="283"/>
              <w:jc w:val="right"/>
              <w:rPr>
                <w:sz w:val="20"/>
              </w:rPr>
            </w:pPr>
            <w:r>
              <w:rPr>
                <w:sz w:val="20"/>
              </w:rPr>
              <w:t>1,570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842" w:type="dxa"/>
            <w:tcBorders/>
            <w:shd w:fill="CCEEFF" w:val="clear"/>
            <w:vAlign w:val="center"/>
          </w:tcPr>
          <w:p>
            <w:pPr>
              <w:pStyle w:val="TableContents"/>
              <w:bidi w:val="0"/>
              <w:spacing w:before="0" w:after="283"/>
              <w:jc w:val="right"/>
              <w:rPr>
                <w:sz w:val="20"/>
              </w:rPr>
            </w:pPr>
            <w:r>
              <w:rPr>
                <w:sz w:val="20"/>
              </w:rPr>
              <w:t>(1,133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sz w:val="20"/>
              </w:rPr>
            </w:pPr>
            <w:r>
              <w:rPr>
                <w:sz w:val="20"/>
              </w:rPr>
              <w:t>437</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sz w:val="20"/>
              </w:rPr>
            </w:pPr>
            <w:r>
              <w:rPr>
                <w:sz w:val="20"/>
              </w:rPr>
              <w:t>Non-current deposits</w:t>
            </w:r>
          </w:p>
        </w:tc>
        <w:tc>
          <w:tcPr>
            <w:tcW w:w="60" w:type="dxa"/>
            <w:tcBorders/>
            <w:shd w:fill="FFFFFF" w:val="clear"/>
            <w:vAlign w:val="center"/>
          </w:tcPr>
          <w:p>
            <w:pPr>
              <w:pStyle w:val="TableContents"/>
              <w:bidi w:val="0"/>
              <w:spacing w:before="0" w:after="283"/>
              <w:jc w:val="left"/>
              <w:rPr/>
            </w:pPr>
            <w:r>
              <w:rPr/>
              <w:t> </w:t>
            </w:r>
          </w:p>
        </w:tc>
        <w:tc>
          <w:tcPr>
            <w:tcW w:w="1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17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4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172</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4,404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7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1,885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4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(1,133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5,155</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1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b/>
                <w:sz w:val="20"/>
              </w:rPr>
            </w:pPr>
            <w:r>
              <w:rPr>
                <w:b/>
                <w:sz w:val="20"/>
              </w:rPr>
              <w:t>Total Assets</w:t>
            </w:r>
          </w:p>
        </w:tc>
        <w:tc>
          <w:tcPr>
            <w:tcW w:w="60" w:type="dxa"/>
            <w:tcBorders/>
            <w:shd w:fill="CCEEFF" w:val="clear"/>
            <w:vAlign w:val="center"/>
          </w:tcPr>
          <w:p>
            <w:pPr>
              <w:pStyle w:val="TableContents"/>
              <w:bidi w:val="0"/>
              <w:spacing w:before="0" w:after="283"/>
              <w:jc w:val="left"/>
              <w:rPr/>
            </w:pPr>
            <w:r>
              <w:rPr/>
              <w:t> </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41"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4,803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173"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7,854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842"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(1,133</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69"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11,523</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1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b/>
                <w:sz w:val="20"/>
              </w:rPr>
            </w:pPr>
            <w:r>
              <w:rPr>
                <w:b/>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21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84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sz w:val="20"/>
              </w:rPr>
            </w:pPr>
            <w:r>
              <w:rPr>
                <w:sz w:val="20"/>
              </w:rPr>
              <w:t>Accounts payable</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sz w:val="20"/>
              </w:rPr>
            </w:pPr>
            <w:r>
              <w:rPr>
                <w:sz w:val="20"/>
              </w:rPr>
              <w:t>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173" w:type="dxa"/>
            <w:tcBorders/>
            <w:shd w:fill="FFFFFF" w:val="clear"/>
            <w:vAlign w:val="center"/>
          </w:tcPr>
          <w:p>
            <w:pPr>
              <w:pStyle w:val="TableContents"/>
              <w:bidi w:val="0"/>
              <w:spacing w:before="0" w:after="283"/>
              <w:jc w:val="right"/>
              <w:rPr>
                <w:sz w:val="20"/>
              </w:rPr>
            </w:pPr>
            <w:r>
              <w:rPr>
                <w:sz w:val="20"/>
              </w:rPr>
              <w:t>189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sz w:val="20"/>
              </w:rPr>
            </w:pPr>
            <w:r>
              <w:rPr>
                <w:sz w:val="20"/>
              </w:rPr>
              <w:t>209</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sz w:val="20"/>
              </w:rPr>
            </w:pPr>
            <w:r>
              <w:rPr>
                <w:sz w:val="20"/>
              </w:rPr>
              <w:t>Accrued and other current liabilities</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7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4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967</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sz w:val="20"/>
              </w:rPr>
            </w:pPr>
            <w:r>
              <w:rPr>
                <w:sz w:val="20"/>
              </w:rPr>
              <w:t>484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173" w:type="dxa"/>
            <w:tcBorders/>
            <w:shd w:fill="FFFFFF" w:val="clear"/>
            <w:vAlign w:val="center"/>
          </w:tcPr>
          <w:p>
            <w:pPr>
              <w:pStyle w:val="TableContents"/>
              <w:bidi w:val="0"/>
              <w:spacing w:before="0" w:after="283"/>
              <w:jc w:val="right"/>
              <w:rPr>
                <w:sz w:val="20"/>
              </w:rPr>
            </w:pPr>
            <w:r>
              <w:rPr>
                <w:sz w:val="20"/>
              </w:rPr>
              <w:t>692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sz w:val="20"/>
              </w:rPr>
            </w:pPr>
            <w:r>
              <w:rPr>
                <w:sz w:val="20"/>
              </w:rPr>
              <w:t>1,176</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b/>
                <w:sz w:val="20"/>
              </w:rPr>
            </w:pPr>
            <w:r>
              <w:rPr>
                <w:b/>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21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84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sz w:val="20"/>
              </w:rPr>
            </w:pPr>
            <w:r>
              <w:rPr>
                <w:sz w:val="20"/>
              </w:rPr>
              <w:t>Lease liability</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173"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sz w:val="20"/>
              </w:rPr>
            </w:pPr>
            <w:r>
              <w:rPr>
                <w:sz w:val="20"/>
              </w:rPr>
              <w:t>-</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sz w:val="20"/>
              </w:rPr>
            </w:pPr>
            <w:r>
              <w:rPr>
                <w:sz w:val="20"/>
              </w:rPr>
              <w:t>Deferred income tax liability</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7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4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173" w:type="dxa"/>
            <w:tcBorders/>
            <w:shd w:fill="FFFFFF" w:val="clear"/>
            <w:vAlign w:val="center"/>
          </w:tcPr>
          <w:p>
            <w:pPr>
              <w:pStyle w:val="TableContents"/>
              <w:bidi w:val="0"/>
              <w:spacing w:before="0" w:after="283"/>
              <w:jc w:val="right"/>
              <w:rPr>
                <w:sz w:val="20"/>
              </w:rPr>
            </w:pPr>
            <w:r>
              <w:rPr>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sz w:val="20"/>
              </w:rPr>
            </w:pPr>
            <w:r>
              <w:rPr>
                <w:sz w:val="20"/>
              </w:rPr>
              <w:t>2</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b/>
                <w:sz w:val="20"/>
              </w:rPr>
            </w:pPr>
            <w:r>
              <w:rPr>
                <w:b/>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21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84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sz w:val="20"/>
              </w:rPr>
            </w:pPr>
            <w:r>
              <w:rPr>
                <w:sz w:val="20"/>
              </w:rPr>
              <w:t>Common Stock</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sz w:val="20"/>
              </w:rPr>
            </w:pPr>
            <w:r>
              <w:rPr>
                <w:sz w:val="20"/>
              </w:rPr>
              <w:t>6,100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173" w:type="dxa"/>
            <w:tcBorders/>
            <w:shd w:fill="FFFFFF" w:val="clear"/>
            <w:vAlign w:val="center"/>
          </w:tcPr>
          <w:p>
            <w:pPr>
              <w:pStyle w:val="TableContents"/>
              <w:bidi w:val="0"/>
              <w:spacing w:before="0" w:after="283"/>
              <w:jc w:val="right"/>
              <w:rPr>
                <w:sz w:val="20"/>
              </w:rPr>
            </w:pPr>
            <w:r>
              <w:rPr>
                <w:sz w:val="20"/>
              </w:rPr>
              <w:t>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right"/>
              <w:rPr>
                <w:sz w:val="20"/>
              </w:rPr>
            </w:pPr>
            <w:r>
              <w:rPr>
                <w:sz w:val="20"/>
              </w:rPr>
              <w:t>(7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sz w:val="20"/>
              </w:rPr>
            </w:pPr>
            <w:r>
              <w:rPr>
                <w:sz w:val="20"/>
              </w:rPr>
              <w:t>6,100</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sz w:val="20"/>
              </w:rPr>
            </w:pPr>
            <w:r>
              <w:rPr>
                <w:sz w:val="20"/>
              </w:rPr>
              <w:t>Preferred Stock</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2173"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842"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sz w:val="20"/>
              </w:rPr>
            </w:pPr>
            <w:r>
              <w:rPr>
                <w:sz w:val="20"/>
              </w:rPr>
              <w:t>-</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sz w:val="20"/>
              </w:rPr>
            </w:pPr>
            <w:r>
              <w:rPr>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173" w:type="dxa"/>
            <w:tcBorders/>
            <w:shd w:fill="FFFFFF" w:val="clear"/>
            <w:vAlign w:val="center"/>
          </w:tcPr>
          <w:p>
            <w:pPr>
              <w:pStyle w:val="TableContents"/>
              <w:bidi w:val="0"/>
              <w:spacing w:before="0" w:after="283"/>
              <w:jc w:val="right"/>
              <w:rPr>
                <w:sz w:val="20"/>
              </w:rPr>
            </w:pPr>
            <w:r>
              <w:rPr>
                <w:sz w:val="20"/>
              </w:rPr>
              <w:t>462,166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right"/>
              <w:rPr>
                <w:sz w:val="20"/>
              </w:rPr>
            </w:pPr>
            <w:r>
              <w:rPr>
                <w:sz w:val="20"/>
              </w:rPr>
              <w:t>(456,139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sz w:val="20"/>
              </w:rPr>
            </w:pPr>
            <w:r>
              <w:rPr>
                <w:sz w:val="20"/>
              </w:rPr>
              <w:t>6,027</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sz w:val="20"/>
              </w:rPr>
            </w:pPr>
            <w:r>
              <w:rPr>
                <w:sz w:val="20"/>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sz w:val="20"/>
              </w:rPr>
            </w:pPr>
            <w:r>
              <w:rPr>
                <w:sz w:val="20"/>
              </w:rPr>
              <w:t>173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2173"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842"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sz w:val="20"/>
              </w:rPr>
            </w:pPr>
            <w:r>
              <w:rPr>
                <w:sz w:val="20"/>
              </w:rPr>
              <w:t>173</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sz w:val="20"/>
              </w:rPr>
            </w:pPr>
            <w:r>
              <w:rPr>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(1,955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17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(455,013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4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455,013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(1,955</w:t>
            </w:r>
          </w:p>
        </w:tc>
        <w:tc>
          <w:tcPr>
            <w:tcW w:w="99" w:type="dxa"/>
            <w:tcBorders/>
            <w:shd w:fill="FFFFFF" w:val="clear"/>
            <w:vAlign w:val="center"/>
          </w:tcPr>
          <w:p>
            <w:pPr>
              <w:pStyle w:val="TableContents"/>
              <w:bidi w:val="0"/>
              <w:spacing w:before="0" w:after="283"/>
              <w:jc w:val="left"/>
              <w:rPr>
                <w:sz w:val="20"/>
              </w:rPr>
            </w:pPr>
            <w:r>
              <w:rPr>
                <w:sz w:val="20"/>
              </w:rPr>
              <w:t>)</w:t>
            </w:r>
          </w:p>
        </w:tc>
      </w:tr>
      <w:tr>
        <w:trPr/>
        <w:tc>
          <w:tcPr>
            <w:tcW w:w="3284" w:type="dxa"/>
            <w:tcBorders/>
            <w:shd w:fill="CCEEFF" w:val="clear"/>
            <w:vAlign w:val="center"/>
          </w:tcPr>
          <w:p>
            <w:pPr>
              <w:pStyle w:val="TableContents"/>
              <w:bidi w:val="0"/>
              <w:spacing w:before="0" w:after="283"/>
              <w:jc w:val="left"/>
              <w:rPr>
                <w:b/>
                <w:sz w:val="20"/>
              </w:rPr>
            </w:pPr>
            <w:r>
              <w:rPr>
                <w:b/>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1"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4,319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73"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7,160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42"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(1,133</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10,346</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1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b/>
                <w:sz w:val="20"/>
              </w:rPr>
            </w:pPr>
            <w:r>
              <w:rPr>
                <w:b/>
                <w:sz w:val="20"/>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41"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4,803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173"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7,854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842"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(1,133</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69"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11,523</w:t>
            </w:r>
          </w:p>
        </w:tc>
        <w:tc>
          <w:tcPr>
            <w:tcW w:w="9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08"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Pro Forma Combined Statement of Operations for the Six Months Ended June 30,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83"/>
        <w:gridCol w:w="60"/>
        <w:gridCol w:w="125"/>
        <w:gridCol w:w="950"/>
        <w:gridCol w:w="80"/>
        <w:gridCol w:w="60"/>
        <w:gridCol w:w="135"/>
        <w:gridCol w:w="1755"/>
        <w:gridCol w:w="80"/>
        <w:gridCol w:w="60"/>
        <w:gridCol w:w="103"/>
        <w:gridCol w:w="1579"/>
        <w:gridCol w:w="267"/>
        <w:gridCol w:w="60"/>
        <w:gridCol w:w="60"/>
        <w:gridCol w:w="950"/>
        <w:gridCol w:w="98"/>
      </w:tblGrid>
      <w:tr>
        <w:trPr/>
        <w:tc>
          <w:tcPr>
            <w:tcW w:w="37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center"/>
              <w:rPr>
                <w:b/>
                <w:sz w:val="20"/>
              </w:rPr>
            </w:pPr>
            <w:r>
              <w:rPr>
                <w:b/>
                <w:sz w:val="20"/>
              </w:rPr>
              <w:t>Future NRG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0" w:type="dxa"/>
            <w:gridSpan w:val="2"/>
            <w:tcBorders/>
            <w:vAlign w:val="center"/>
          </w:tcPr>
          <w:p>
            <w:pPr>
              <w:pStyle w:val="TableContents"/>
              <w:bidi w:val="0"/>
              <w:spacing w:before="0" w:after="283"/>
              <w:jc w:val="center"/>
              <w:rPr>
                <w:b/>
                <w:sz w:val="20"/>
              </w:rPr>
            </w:pPr>
            <w:r>
              <w:rPr>
                <w:b/>
                <w:sz w:val="20"/>
              </w:rPr>
              <w:t>Bio Green Med Solution, Inc.</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2" w:type="dxa"/>
            <w:gridSpan w:val="2"/>
            <w:tcBorders/>
            <w:vAlign w:val="center"/>
          </w:tcPr>
          <w:p>
            <w:pPr>
              <w:pStyle w:val="TableContents"/>
              <w:bidi w:val="0"/>
              <w:spacing w:before="0" w:after="283"/>
              <w:jc w:val="center"/>
              <w:rPr>
                <w:b/>
                <w:sz w:val="20"/>
              </w:rPr>
            </w:pPr>
            <w:r>
              <w:rPr>
                <w:b/>
                <w:sz w:val="20"/>
              </w:rPr>
              <w:t>Transaction Accounting</w:t>
            </w:r>
          </w:p>
        </w:tc>
        <w:tc>
          <w:tcPr>
            <w:tcW w:w="2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b/>
                <w:sz w:val="20"/>
              </w:rPr>
            </w:pPr>
            <w:r>
              <w:rPr>
                <w:b/>
                <w:sz w:val="20"/>
              </w:rPr>
              <w:t>Pro Forma</w:t>
            </w:r>
          </w:p>
        </w:tc>
        <w:tc>
          <w:tcPr>
            <w:tcW w:w="98" w:type="dxa"/>
            <w:tcBorders/>
            <w:vAlign w:val="center"/>
          </w:tcPr>
          <w:p>
            <w:pPr>
              <w:pStyle w:val="TableContents"/>
              <w:bidi w:val="0"/>
              <w:spacing w:before="0" w:after="283"/>
              <w:jc w:val="left"/>
              <w:rPr/>
            </w:pPr>
            <w:r>
              <w:rPr/>
              <w:t> </w:t>
            </w:r>
          </w:p>
        </w:tc>
      </w:tr>
      <w:tr>
        <w:trPr/>
        <w:tc>
          <w:tcPr>
            <w:tcW w:w="37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(Historical)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(Historical)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Adjustments</w:t>
            </w:r>
          </w:p>
        </w:tc>
        <w:tc>
          <w:tcPr>
            <w:tcW w:w="2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Combined</w:t>
            </w:r>
          </w:p>
        </w:tc>
        <w:tc>
          <w:tcPr>
            <w:tcW w:w="98" w:type="dxa"/>
            <w:tcBorders/>
            <w:vAlign w:val="center"/>
          </w:tcPr>
          <w:p>
            <w:pPr>
              <w:pStyle w:val="TableContents"/>
              <w:bidi w:val="0"/>
              <w:spacing w:before="0" w:after="283"/>
              <w:jc w:val="left"/>
              <w:rPr/>
            </w:pPr>
            <w:r>
              <w:rPr/>
              <w:t> </w:t>
            </w:r>
          </w:p>
        </w:tc>
      </w:tr>
      <w:tr>
        <w:trPr/>
        <w:tc>
          <w:tcPr>
            <w:tcW w:w="37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64" w:type="dxa"/>
            <w:gridSpan w:val="14"/>
            <w:tcBorders/>
            <w:vAlign w:val="center"/>
          </w:tcPr>
          <w:p>
            <w:pPr>
              <w:pStyle w:val="TableContents"/>
              <w:bidi w:val="0"/>
              <w:spacing w:before="0" w:after="283"/>
              <w:jc w:val="center"/>
              <w:rPr>
                <w:sz w:val="20"/>
              </w:rPr>
            </w:pPr>
            <w:r>
              <w:rPr>
                <w:sz w:val="20"/>
              </w:rPr>
              <w:t>(in thousands)</w:t>
            </w:r>
          </w:p>
        </w:tc>
        <w:tc>
          <w:tcPr>
            <w:tcW w:w="98" w:type="dxa"/>
            <w:tcBorders/>
            <w:vAlign w:val="center"/>
          </w:tcPr>
          <w:p>
            <w:pPr>
              <w:pStyle w:val="TableContents"/>
              <w:bidi w:val="0"/>
              <w:spacing w:before="0" w:after="283"/>
              <w:jc w:val="left"/>
              <w:rPr/>
            </w:pPr>
            <w:r>
              <w:rPr/>
              <w:t> </w:t>
            </w:r>
          </w:p>
        </w:tc>
      </w:tr>
      <w:tr>
        <w:trPr/>
        <w:tc>
          <w:tcPr>
            <w:tcW w:w="37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2" w:type="dxa"/>
            <w:gridSpan w:val="2"/>
            <w:tcBorders/>
            <w:vAlign w:val="center"/>
          </w:tcPr>
          <w:p>
            <w:pPr>
              <w:pStyle w:val="TableContents"/>
              <w:bidi w:val="0"/>
              <w:spacing w:before="0" w:after="283"/>
              <w:jc w:val="right"/>
              <w:rPr/>
            </w:pPr>
            <w:r>
              <w:rPr/>
              <w:t> </w:t>
            </w:r>
          </w:p>
        </w:tc>
        <w:tc>
          <w:tcPr>
            <w:tcW w:w="2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r>
      <w:tr>
        <w:trPr/>
        <w:tc>
          <w:tcPr>
            <w:tcW w:w="3783" w:type="dxa"/>
            <w:tcBorders/>
            <w:shd w:fill="CCEEFF" w:val="clear"/>
            <w:vAlign w:val="center"/>
          </w:tcPr>
          <w:p>
            <w:pPr>
              <w:pStyle w:val="TableContents"/>
              <w:bidi w:val="0"/>
              <w:spacing w:before="0" w:after="283"/>
              <w:jc w:val="left"/>
              <w:rPr>
                <w:b/>
                <w:sz w:val="20"/>
              </w:rPr>
            </w:pPr>
            <w:r>
              <w:rPr>
                <w:b/>
                <w:sz w:val="20"/>
              </w:rPr>
              <w:t>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 </w:t>
            </w:r>
          </w:p>
        </w:tc>
        <w:tc>
          <w:tcPr>
            <w:tcW w:w="2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3783" w:type="dxa"/>
            <w:tcBorders/>
            <w:shd w:fill="FFFFFF" w:val="clear"/>
            <w:vAlign w:val="center"/>
          </w:tcPr>
          <w:p>
            <w:pPr>
              <w:pStyle w:val="TableContents"/>
              <w:bidi w:val="0"/>
              <w:spacing w:before="0" w:after="283"/>
              <w:jc w:val="left"/>
              <w:rPr>
                <w:sz w:val="20"/>
              </w:rPr>
            </w:pPr>
            <w:r>
              <w:rPr>
                <w:sz w:val="20"/>
              </w:rPr>
              <w:t>Sales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1,487</w:t>
            </w:r>
          </w:p>
        </w:tc>
        <w:tc>
          <w:tcPr>
            <w:tcW w:w="98" w:type="dxa"/>
            <w:tcBorders/>
            <w:shd w:fill="FFFFFF" w:val="clear"/>
            <w:vAlign w:val="center"/>
          </w:tcPr>
          <w:p>
            <w:pPr>
              <w:pStyle w:val="TableContents"/>
              <w:bidi w:val="0"/>
              <w:spacing w:before="0" w:after="283"/>
              <w:jc w:val="left"/>
              <w:rPr/>
            </w:pPr>
            <w:r>
              <w:rPr/>
              <w:t> </w:t>
            </w:r>
          </w:p>
        </w:tc>
      </w:tr>
      <w:tr>
        <w:trPr/>
        <w:tc>
          <w:tcPr>
            <w:tcW w:w="3783" w:type="dxa"/>
            <w:tcBorders/>
            <w:shd w:fill="CCEEFF" w:val="clear"/>
            <w:vAlign w:val="center"/>
          </w:tcPr>
          <w:p>
            <w:pPr>
              <w:pStyle w:val="TableContents"/>
              <w:bidi w:val="0"/>
              <w:spacing w:before="0" w:after="283"/>
              <w:jc w:val="left"/>
              <w:rPr>
                <w:b/>
                <w:sz w:val="20"/>
              </w:rPr>
            </w:pPr>
            <w:r>
              <w:rPr>
                <w:b/>
                <w:sz w:val="20"/>
              </w:rPr>
              <w:t>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373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55" w:type="dxa"/>
            <w:tcBorders/>
            <w:shd w:fill="CCEEFF" w:val="clear"/>
            <w:vAlign w:val="center"/>
          </w:tcPr>
          <w:p>
            <w:pPr>
              <w:pStyle w:val="TableContents"/>
              <w:bidi w:val="0"/>
              <w:spacing w:before="0" w:after="283"/>
              <w:jc w:val="right"/>
              <w:rPr>
                <w:sz w:val="20"/>
              </w:rPr>
            </w:pPr>
            <w:r>
              <w:rPr>
                <w:sz w:val="20"/>
              </w:rPr>
              <w:t>1,114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 </w:t>
            </w:r>
          </w:p>
        </w:tc>
        <w:tc>
          <w:tcPr>
            <w:tcW w:w="2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1,487</w:t>
            </w:r>
          </w:p>
        </w:tc>
        <w:tc>
          <w:tcPr>
            <w:tcW w:w="98" w:type="dxa"/>
            <w:tcBorders/>
            <w:shd w:fill="CCEEFF" w:val="clear"/>
            <w:vAlign w:val="center"/>
          </w:tcPr>
          <w:p>
            <w:pPr>
              <w:pStyle w:val="TableContents"/>
              <w:bidi w:val="0"/>
              <w:spacing w:before="0" w:after="283"/>
              <w:jc w:val="left"/>
              <w:rPr/>
            </w:pPr>
            <w:r>
              <w:rPr/>
              <w:t> </w:t>
            </w:r>
          </w:p>
        </w:tc>
      </w:tr>
      <w:tr>
        <w:trPr/>
        <w:tc>
          <w:tcPr>
            <w:tcW w:w="37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3783" w:type="dxa"/>
            <w:tcBorders/>
            <w:shd w:fill="CCEEFF" w:val="clear"/>
            <w:vAlign w:val="center"/>
          </w:tcPr>
          <w:p>
            <w:pPr>
              <w:pStyle w:val="TableContents"/>
              <w:bidi w:val="0"/>
              <w:spacing w:before="0" w:after="283"/>
              <w:jc w:val="left"/>
              <w:rPr>
                <w:sz w:val="20"/>
              </w:rPr>
            </w:pPr>
            <w:r>
              <w:rPr>
                <w:sz w:val="20"/>
              </w:rPr>
              <w:t>Cost of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260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55" w:type="dxa"/>
            <w:tcBorders/>
            <w:shd w:fill="CCEEFF" w:val="clear"/>
            <w:vAlign w:val="center"/>
          </w:tcPr>
          <w:p>
            <w:pPr>
              <w:pStyle w:val="TableContents"/>
              <w:bidi w:val="0"/>
              <w:spacing w:before="0" w:after="283"/>
              <w:jc w:val="right"/>
              <w:rPr>
                <w:sz w:val="20"/>
              </w:rPr>
            </w:pPr>
            <w:r>
              <w:rPr>
                <w:sz w:val="20"/>
              </w:rPr>
              <w:t>892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 </w:t>
            </w:r>
          </w:p>
        </w:tc>
        <w:tc>
          <w:tcPr>
            <w:tcW w:w="2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1,152</w:t>
            </w:r>
          </w:p>
        </w:tc>
        <w:tc>
          <w:tcPr>
            <w:tcW w:w="98" w:type="dxa"/>
            <w:tcBorders/>
            <w:shd w:fill="CCEEFF" w:val="clear"/>
            <w:vAlign w:val="center"/>
          </w:tcPr>
          <w:p>
            <w:pPr>
              <w:pStyle w:val="TableContents"/>
              <w:bidi w:val="0"/>
              <w:spacing w:before="0" w:after="283"/>
              <w:jc w:val="left"/>
              <w:rPr/>
            </w:pPr>
            <w:r>
              <w:rPr/>
              <w:t> </w:t>
            </w:r>
          </w:p>
        </w:tc>
      </w:tr>
      <w:tr>
        <w:trPr/>
        <w:tc>
          <w:tcPr>
            <w:tcW w:w="3783" w:type="dxa"/>
            <w:tcBorders/>
            <w:shd w:fill="FFFFFF" w:val="clear"/>
            <w:vAlign w:val="center"/>
          </w:tcPr>
          <w:p>
            <w:pPr>
              <w:pStyle w:val="TableContents"/>
              <w:bidi w:val="0"/>
              <w:spacing w:before="0" w:after="283"/>
              <w:jc w:val="left"/>
              <w:rPr>
                <w:sz w:val="20"/>
              </w:rPr>
            </w:pPr>
            <w:r>
              <w:rPr>
                <w:sz w:val="20"/>
              </w:rPr>
              <w:t>General &amp;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2,147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3,033</w:t>
            </w:r>
          </w:p>
        </w:tc>
        <w:tc>
          <w:tcPr>
            <w:tcW w:w="98" w:type="dxa"/>
            <w:tcBorders/>
            <w:shd w:fill="FFFFFF" w:val="clear"/>
            <w:vAlign w:val="center"/>
          </w:tcPr>
          <w:p>
            <w:pPr>
              <w:pStyle w:val="TableContents"/>
              <w:bidi w:val="0"/>
              <w:spacing w:before="0" w:after="283"/>
              <w:jc w:val="left"/>
              <w:rPr/>
            </w:pPr>
            <w:r>
              <w:rPr/>
              <w:t> </w:t>
            </w:r>
          </w:p>
        </w:tc>
      </w:tr>
      <w:tr>
        <w:trPr/>
        <w:tc>
          <w:tcPr>
            <w:tcW w:w="3783" w:type="dxa"/>
            <w:tcBorders/>
            <w:shd w:fill="CCEEFF" w:val="clear"/>
            <w:vAlign w:val="center"/>
          </w:tcPr>
          <w:p>
            <w:pPr>
              <w:pStyle w:val="TableContents"/>
              <w:bidi w:val="0"/>
              <w:spacing w:before="0" w:after="283"/>
              <w:jc w:val="left"/>
              <w:rPr>
                <w:b/>
                <w:sz w:val="20"/>
              </w:rPr>
            </w:pPr>
            <w:r>
              <w:rPr>
                <w:b/>
                <w:sz w:val="20"/>
              </w:rPr>
              <w:t>Operating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(2,034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55" w:type="dxa"/>
            <w:tcBorders/>
            <w:shd w:fill="CCEEFF" w:val="clear"/>
            <w:vAlign w:val="center"/>
          </w:tcPr>
          <w:p>
            <w:pPr>
              <w:pStyle w:val="TableContents"/>
              <w:bidi w:val="0"/>
              <w:spacing w:before="0" w:after="283"/>
              <w:jc w:val="right"/>
              <w:rPr>
                <w:sz w:val="20"/>
              </w:rPr>
            </w:pPr>
            <w:r>
              <w:rPr>
                <w:sz w:val="20"/>
              </w:rPr>
              <w:t>(664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 </w:t>
            </w:r>
          </w:p>
        </w:tc>
        <w:tc>
          <w:tcPr>
            <w:tcW w:w="2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(2,698</w:t>
            </w:r>
          </w:p>
        </w:tc>
        <w:tc>
          <w:tcPr>
            <w:tcW w:w="98" w:type="dxa"/>
            <w:tcBorders/>
            <w:shd w:fill="CCEEFF" w:val="clear"/>
            <w:vAlign w:val="center"/>
          </w:tcPr>
          <w:p>
            <w:pPr>
              <w:pStyle w:val="TableContents"/>
              <w:bidi w:val="0"/>
              <w:spacing w:before="0" w:after="283"/>
              <w:jc w:val="left"/>
              <w:rPr>
                <w:sz w:val="20"/>
              </w:rPr>
            </w:pPr>
            <w:r>
              <w:rPr>
                <w:sz w:val="20"/>
              </w:rPr>
              <w:t>)</w:t>
            </w:r>
          </w:p>
        </w:tc>
      </w:tr>
      <w:tr>
        <w:trPr/>
        <w:tc>
          <w:tcPr>
            <w:tcW w:w="37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3783" w:type="dxa"/>
            <w:tcBorders/>
            <w:shd w:fill="CCEEFF" w:val="clear"/>
            <w:vAlign w:val="center"/>
          </w:tcPr>
          <w:p>
            <w:pPr>
              <w:pStyle w:val="TableContents"/>
              <w:bidi w:val="0"/>
              <w:spacing w:before="0" w:after="283"/>
              <w:jc w:val="left"/>
              <w:rPr>
                <w:sz w:val="20"/>
              </w:rPr>
            </w:pPr>
            <w:r>
              <w:rPr>
                <w:sz w:val="20"/>
              </w:rPr>
              <w:t>Other income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1,927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79"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2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2,028</w:t>
            </w:r>
          </w:p>
        </w:tc>
        <w:tc>
          <w:tcPr>
            <w:tcW w:w="98" w:type="dxa"/>
            <w:tcBorders/>
            <w:shd w:fill="CCEEFF" w:val="clear"/>
            <w:vAlign w:val="center"/>
          </w:tcPr>
          <w:p>
            <w:pPr>
              <w:pStyle w:val="TableContents"/>
              <w:bidi w:val="0"/>
              <w:spacing w:before="0" w:after="283"/>
              <w:jc w:val="left"/>
              <w:rPr/>
            </w:pPr>
            <w:r>
              <w:rPr/>
              <w:t> </w:t>
            </w:r>
          </w:p>
        </w:tc>
      </w:tr>
      <w:tr>
        <w:trPr/>
        <w:tc>
          <w:tcPr>
            <w:tcW w:w="3783" w:type="dxa"/>
            <w:tcBorders/>
            <w:shd w:fill="FFFFFF" w:val="clear"/>
            <w:vAlign w:val="center"/>
          </w:tcPr>
          <w:p>
            <w:pPr>
              <w:pStyle w:val="TableContents"/>
              <w:bidi w:val="0"/>
              <w:spacing w:before="0" w:after="283"/>
              <w:jc w:val="left"/>
              <w:rPr>
                <w:b/>
                <w:sz w:val="20"/>
              </w:rPr>
            </w:pPr>
            <w:r>
              <w:rPr>
                <w:b/>
                <w:sz w:val="20"/>
              </w:rPr>
              <w:t>Loss before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(107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55" w:type="dxa"/>
            <w:tcBorders/>
            <w:shd w:fill="FFFFFF" w:val="clear"/>
            <w:vAlign w:val="center"/>
          </w:tcPr>
          <w:p>
            <w:pPr>
              <w:pStyle w:val="TableContents"/>
              <w:bidi w:val="0"/>
              <w:spacing w:before="0" w:after="283"/>
              <w:jc w:val="right"/>
              <w:rPr>
                <w:sz w:val="20"/>
              </w:rPr>
            </w:pPr>
            <w:r>
              <w:rPr>
                <w:sz w:val="20"/>
              </w:rPr>
              <w:t>(563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(670</w:t>
            </w:r>
          </w:p>
        </w:tc>
        <w:tc>
          <w:tcPr>
            <w:tcW w:w="98" w:type="dxa"/>
            <w:tcBorders/>
            <w:shd w:fill="FFFFFF" w:val="clear"/>
            <w:vAlign w:val="center"/>
          </w:tcPr>
          <w:p>
            <w:pPr>
              <w:pStyle w:val="TableContents"/>
              <w:bidi w:val="0"/>
              <w:spacing w:before="0" w:after="283"/>
              <w:jc w:val="left"/>
              <w:rPr>
                <w:sz w:val="20"/>
              </w:rPr>
            </w:pPr>
            <w:r>
              <w:rPr>
                <w:sz w:val="20"/>
              </w:rPr>
              <w:t>)</w:t>
            </w:r>
          </w:p>
        </w:tc>
      </w:tr>
      <w:tr>
        <w:trPr/>
        <w:tc>
          <w:tcPr>
            <w:tcW w:w="37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 </w:t>
            </w:r>
          </w:p>
        </w:tc>
        <w:tc>
          <w:tcPr>
            <w:tcW w:w="2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3783" w:type="dxa"/>
            <w:tcBorders/>
            <w:shd w:fill="FFFFFF" w:val="clear"/>
            <w:vAlign w:val="center"/>
          </w:tcPr>
          <w:p>
            <w:pPr>
              <w:pStyle w:val="TableContents"/>
              <w:bidi w:val="0"/>
              <w:spacing w:before="0" w:after="283"/>
              <w:jc w:val="left"/>
              <w:rPr>
                <w:sz w:val="20"/>
              </w:rPr>
            </w:pPr>
            <w:r>
              <w:rPr>
                <w:sz w:val="20"/>
              </w:rPr>
              <w:t>Income tax provision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(39</w:t>
            </w:r>
          </w:p>
        </w:tc>
        <w:tc>
          <w:tcPr>
            <w:tcW w:w="98" w:type="dxa"/>
            <w:tcBorders/>
            <w:shd w:fill="FFFFFF" w:val="clear"/>
            <w:vAlign w:val="center"/>
          </w:tcPr>
          <w:p>
            <w:pPr>
              <w:pStyle w:val="TableContents"/>
              <w:bidi w:val="0"/>
              <w:spacing w:before="0" w:after="283"/>
              <w:jc w:val="left"/>
              <w:rPr>
                <w:sz w:val="20"/>
              </w:rPr>
            </w:pPr>
            <w:r>
              <w:rPr>
                <w:sz w:val="20"/>
              </w:rPr>
              <w:t>)</w:t>
            </w:r>
          </w:p>
        </w:tc>
      </w:tr>
      <w:tr>
        <w:trPr/>
        <w:tc>
          <w:tcPr>
            <w:tcW w:w="3783" w:type="dxa"/>
            <w:tcBorders/>
            <w:shd w:fill="CCEEFF" w:val="clear"/>
            <w:vAlign w:val="center"/>
          </w:tcPr>
          <w:p>
            <w:pPr>
              <w:pStyle w:val="TableContents"/>
              <w:bidi w:val="0"/>
              <w:spacing w:before="0" w:after="283"/>
              <w:jc w:val="left"/>
              <w:rPr>
                <w:b/>
                <w:sz w:val="20"/>
              </w:rPr>
            </w:pPr>
            <w:r>
              <w:rPr>
                <w:b/>
                <w:sz w:val="20"/>
              </w:rPr>
              <w:t>Net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(107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55" w:type="dxa"/>
            <w:tcBorders/>
            <w:shd w:fill="CCEEFF" w:val="clear"/>
            <w:vAlign w:val="center"/>
          </w:tcPr>
          <w:p>
            <w:pPr>
              <w:pStyle w:val="TableContents"/>
              <w:bidi w:val="0"/>
              <w:spacing w:before="0" w:after="283"/>
              <w:jc w:val="right"/>
              <w:rPr>
                <w:sz w:val="20"/>
              </w:rPr>
            </w:pPr>
            <w:r>
              <w:rPr>
                <w:sz w:val="20"/>
              </w:rPr>
              <w:t>(602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 </w:t>
            </w:r>
          </w:p>
        </w:tc>
        <w:tc>
          <w:tcPr>
            <w:tcW w:w="2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(709</w:t>
            </w:r>
          </w:p>
        </w:tc>
        <w:tc>
          <w:tcPr>
            <w:tcW w:w="98" w:type="dxa"/>
            <w:tcBorders/>
            <w:shd w:fill="CCEEFF" w:val="clear"/>
            <w:vAlign w:val="center"/>
          </w:tcPr>
          <w:p>
            <w:pPr>
              <w:pStyle w:val="TableContents"/>
              <w:bidi w:val="0"/>
              <w:spacing w:before="0" w:after="283"/>
              <w:jc w:val="left"/>
              <w:rPr>
                <w:sz w:val="20"/>
              </w:rPr>
            </w:pPr>
            <w:r>
              <w:rPr>
                <w:sz w:val="20"/>
              </w:rPr>
              <w:t>)</w:t>
            </w:r>
          </w:p>
        </w:tc>
      </w:tr>
      <w:tr>
        <w:trPr/>
        <w:tc>
          <w:tcPr>
            <w:tcW w:w="37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3783" w:type="dxa"/>
            <w:tcBorders/>
            <w:shd w:fill="CCEEFF" w:val="clear"/>
            <w:vAlign w:val="center"/>
          </w:tcPr>
          <w:p>
            <w:pPr>
              <w:pStyle w:val="TableContents"/>
              <w:bidi w:val="0"/>
              <w:spacing w:before="0" w:after="283"/>
              <w:jc w:val="left"/>
              <w:rPr>
                <w:b/>
                <w:sz w:val="20"/>
              </w:rPr>
            </w:pPr>
            <w:r>
              <w:rPr>
                <w:b/>
                <w:sz w:val="20"/>
              </w:rPr>
              <w:t>Basic and diluted earnings per common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 </w:t>
            </w:r>
          </w:p>
        </w:tc>
        <w:tc>
          <w:tcPr>
            <w:tcW w:w="2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3783" w:type="dxa"/>
            <w:tcBorders/>
            <w:shd w:fill="FFFFFF" w:val="clear"/>
            <w:vAlign w:val="center"/>
          </w:tcPr>
          <w:p>
            <w:pPr>
              <w:pStyle w:val="TableContents"/>
              <w:bidi w:val="0"/>
              <w:spacing w:before="0" w:after="283"/>
              <w:jc w:val="left"/>
              <w:rPr>
                <w:sz w:val="20"/>
              </w:rPr>
            </w:pPr>
            <w:r>
              <w:rPr>
                <w:sz w:val="20"/>
              </w:rPr>
              <w:t>Net loss per share, continuing operations – basic and diluted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950" w:type="dxa"/>
            <w:tcBorders/>
            <w:shd w:fill="FFFFFF" w:val="clear"/>
            <w:vAlign w:val="center"/>
          </w:tcPr>
          <w:p>
            <w:pPr>
              <w:pStyle w:val="TableContents"/>
              <w:bidi w:val="0"/>
              <w:spacing w:before="0" w:after="283"/>
              <w:jc w:val="right"/>
              <w:rPr>
                <w:sz w:val="20"/>
              </w:rPr>
            </w:pPr>
            <w:r>
              <w:rPr>
                <w:sz w:val="20"/>
              </w:rPr>
              <w:t>(0.00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55" w:type="dxa"/>
            <w:tcBorders/>
            <w:shd w:fill="FFFFFF" w:val="clear"/>
            <w:vAlign w:val="center"/>
          </w:tcPr>
          <w:p>
            <w:pPr>
              <w:pStyle w:val="TableContents"/>
              <w:bidi w:val="0"/>
              <w:spacing w:before="0" w:after="283"/>
              <w:jc w:val="right"/>
              <w:rPr>
                <w:sz w:val="20"/>
              </w:rPr>
            </w:pPr>
            <w:r>
              <w:rPr>
                <w:sz w:val="20"/>
              </w:rPr>
              <w:t>(012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sz w:val="20"/>
              </w:rPr>
            </w:pPr>
            <w:r>
              <w:rPr>
                <w:sz w:val="20"/>
              </w:rPr>
              <w:t>-</w:t>
            </w:r>
          </w:p>
        </w:tc>
        <w:tc>
          <w:tcPr>
            <w:tcW w:w="2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(0.03</w:t>
            </w:r>
          </w:p>
        </w:tc>
        <w:tc>
          <w:tcPr>
            <w:tcW w:w="98" w:type="dxa"/>
            <w:tcBorders/>
            <w:shd w:fill="FFFFFF" w:val="clear"/>
            <w:vAlign w:val="center"/>
          </w:tcPr>
          <w:p>
            <w:pPr>
              <w:pStyle w:val="TableContents"/>
              <w:bidi w:val="0"/>
              <w:spacing w:before="0" w:after="283"/>
              <w:jc w:val="left"/>
              <w:rPr>
                <w:sz w:val="20"/>
              </w:rPr>
            </w:pPr>
            <w:r>
              <w:rPr>
                <w:sz w:val="20"/>
              </w:rPr>
              <w:t>)</w:t>
            </w:r>
          </w:p>
        </w:tc>
      </w:tr>
      <w:tr>
        <w:trPr/>
        <w:tc>
          <w:tcPr>
            <w:tcW w:w="3783" w:type="dxa"/>
            <w:tcBorders/>
            <w:shd w:fill="CCEEFF" w:val="clear"/>
            <w:vAlign w:val="center"/>
          </w:tcPr>
          <w:p>
            <w:pPr>
              <w:pStyle w:val="TableContents"/>
              <w:bidi w:val="0"/>
              <w:spacing w:before="0" w:after="283"/>
              <w:jc w:val="left"/>
              <w:rPr>
                <w:sz w:val="20"/>
              </w:rPr>
            </w:pPr>
            <w:r>
              <w:rPr>
                <w:sz w:val="20"/>
              </w:rPr>
              <w:t>Weighted average common shares outstanding - basic &amp; diluted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28,000,000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55" w:type="dxa"/>
            <w:tcBorders/>
            <w:shd w:fill="CCEEFF" w:val="clear"/>
            <w:vAlign w:val="center"/>
          </w:tcPr>
          <w:p>
            <w:pPr>
              <w:pStyle w:val="TableContents"/>
              <w:bidi w:val="0"/>
              <w:spacing w:before="0" w:after="283"/>
              <w:jc w:val="right"/>
              <w:rPr>
                <w:sz w:val="20"/>
              </w:rPr>
            </w:pPr>
            <w:r>
              <w:rPr>
                <w:sz w:val="20"/>
              </w:rPr>
              <w:t>5,568,424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sz w:val="20"/>
              </w:rPr>
            </w:pPr>
            <w:r>
              <w:rPr>
                <w:sz w:val="20"/>
              </w:rPr>
              <w:t>(5,568,424</w:t>
            </w:r>
          </w:p>
        </w:tc>
        <w:tc>
          <w:tcPr>
            <w:tcW w:w="267" w:type="dxa"/>
            <w:tcBorders/>
            <w:shd w:fill="CCEEFF" w:val="clear"/>
            <w:vAlign w:val="center"/>
          </w:tcPr>
          <w:p>
            <w:pPr>
              <w:pStyle w:val="TableContents"/>
              <w:bidi w:val="0"/>
              <w:spacing w:before="0" w:after="283"/>
              <w:jc w:val="left"/>
              <w:rPr>
                <w:sz w:val="20"/>
              </w:rPr>
            </w:pPr>
            <w:r>
              <w:rPr>
                <w:sz w:val="20"/>
              </w:rPr>
              <w:t>)(a)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28,000,000</w:t>
            </w:r>
          </w:p>
        </w:tc>
        <w:tc>
          <w:tcPr>
            <w:tcW w:w="9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Pro Forma Combined Statement of Operations for the Year Ended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23"/>
        <w:gridCol w:w="60"/>
        <w:gridCol w:w="63"/>
        <w:gridCol w:w="1160"/>
        <w:gridCol w:w="95"/>
        <w:gridCol w:w="60"/>
        <w:gridCol w:w="121"/>
        <w:gridCol w:w="1692"/>
        <w:gridCol w:w="95"/>
        <w:gridCol w:w="60"/>
        <w:gridCol w:w="128"/>
        <w:gridCol w:w="1634"/>
        <w:gridCol w:w="379"/>
        <w:gridCol w:w="60"/>
        <w:gridCol w:w="60"/>
        <w:gridCol w:w="1100"/>
        <w:gridCol w:w="115"/>
      </w:tblGrid>
      <w:tr>
        <w:trPr/>
        <w:tc>
          <w:tcPr>
            <w:tcW w:w="33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3" w:type="dxa"/>
            <w:gridSpan w:val="2"/>
            <w:tcBorders/>
            <w:vAlign w:val="center"/>
          </w:tcPr>
          <w:p>
            <w:pPr>
              <w:pStyle w:val="TableContents"/>
              <w:bidi w:val="0"/>
              <w:spacing w:before="0" w:after="283"/>
              <w:jc w:val="center"/>
              <w:rPr>
                <w:b/>
              </w:rPr>
            </w:pPr>
            <w:r>
              <w:rPr>
                <w:b/>
              </w:rPr>
              <w:t>Future NRG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3" w:type="dxa"/>
            <w:gridSpan w:val="2"/>
            <w:tcBorders/>
            <w:vAlign w:val="center"/>
          </w:tcPr>
          <w:p>
            <w:pPr>
              <w:pStyle w:val="TableContents"/>
              <w:bidi w:val="0"/>
              <w:spacing w:before="0" w:after="283"/>
              <w:jc w:val="center"/>
              <w:rPr>
                <w:b/>
              </w:rPr>
            </w:pPr>
            <w:r>
              <w:rPr>
                <w:b/>
              </w:rPr>
              <w:t>Bio Green Med Solution, Inc.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2" w:type="dxa"/>
            <w:gridSpan w:val="2"/>
            <w:tcBorders/>
            <w:vAlign w:val="center"/>
          </w:tcPr>
          <w:p>
            <w:pPr>
              <w:pStyle w:val="TableContents"/>
              <w:bidi w:val="0"/>
              <w:spacing w:before="0" w:after="283"/>
              <w:jc w:val="center"/>
              <w:rPr>
                <w:b/>
              </w:rPr>
            </w:pPr>
            <w:r>
              <w:rPr>
                <w:b/>
              </w:rPr>
              <w:t>Transaction Accounting</w:t>
            </w:r>
          </w:p>
        </w:tc>
        <w:tc>
          <w:tcPr>
            <w:tcW w:w="3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Pro Forma</w:t>
            </w:r>
          </w:p>
        </w:tc>
        <w:tc>
          <w:tcPr>
            <w:tcW w:w="115" w:type="dxa"/>
            <w:tcBorders/>
            <w:vAlign w:val="center"/>
          </w:tcPr>
          <w:p>
            <w:pPr>
              <w:pStyle w:val="TableContents"/>
              <w:bidi w:val="0"/>
              <w:spacing w:before="0" w:after="283"/>
              <w:jc w:val="left"/>
              <w:rPr/>
            </w:pPr>
            <w:r>
              <w:rPr/>
              <w:t> </w:t>
            </w:r>
          </w:p>
        </w:tc>
      </w:tr>
      <w:tr>
        <w:trPr/>
        <w:tc>
          <w:tcPr>
            <w:tcW w:w="33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Adjustments</w:t>
            </w:r>
          </w:p>
        </w:tc>
        <w:tc>
          <w:tcPr>
            <w:tcW w:w="3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Combined</w:t>
            </w:r>
          </w:p>
        </w:tc>
        <w:tc>
          <w:tcPr>
            <w:tcW w:w="115" w:type="dxa"/>
            <w:tcBorders/>
            <w:vAlign w:val="center"/>
          </w:tcPr>
          <w:p>
            <w:pPr>
              <w:pStyle w:val="TableContents"/>
              <w:bidi w:val="0"/>
              <w:spacing w:before="0" w:after="283"/>
              <w:jc w:val="left"/>
              <w:rPr/>
            </w:pPr>
            <w:r>
              <w:rPr/>
              <w:t> </w:t>
            </w:r>
          </w:p>
        </w:tc>
      </w:tr>
      <w:tr>
        <w:trPr/>
        <w:tc>
          <w:tcPr>
            <w:tcW w:w="33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07" w:type="dxa"/>
            <w:gridSpan w:val="14"/>
            <w:tcBorders/>
            <w:vAlign w:val="center"/>
          </w:tcPr>
          <w:p>
            <w:pPr>
              <w:pStyle w:val="TableContents"/>
              <w:bidi w:val="0"/>
              <w:spacing w:before="0" w:after="283"/>
              <w:jc w:val="center"/>
              <w:rPr/>
            </w:pPr>
            <w:r>
              <w:rPr/>
              <w:t>(in thousands)</w:t>
            </w:r>
          </w:p>
        </w:tc>
        <w:tc>
          <w:tcPr>
            <w:tcW w:w="115" w:type="dxa"/>
            <w:tcBorders/>
            <w:vAlign w:val="center"/>
          </w:tcPr>
          <w:p>
            <w:pPr>
              <w:pStyle w:val="TableContents"/>
              <w:bidi w:val="0"/>
              <w:spacing w:before="0" w:after="283"/>
              <w:jc w:val="left"/>
              <w:rPr/>
            </w:pPr>
            <w:r>
              <w:rPr/>
              <w:t> </w:t>
            </w:r>
          </w:p>
        </w:tc>
      </w:tr>
      <w:tr>
        <w:trPr/>
        <w:tc>
          <w:tcPr>
            <w:tcW w:w="33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3"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3"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2" w:type="dxa"/>
            <w:gridSpan w:val="2"/>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pPr>
            <w:r>
              <w:rPr/>
              <w:t>Sales Revenue</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854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2" w:type="dxa"/>
            <w:tcBorders>
              <w:bottom w:val="single" w:sz="8" w:space="0" w:color="000000"/>
            </w:tcBorders>
            <w:shd w:fill="FFFFFF" w:val="clear"/>
            <w:tcMar>
              <w:bottom w:w="28" w:type="dxa"/>
            </w:tcMar>
            <w:vAlign w:val="center"/>
          </w:tcPr>
          <w:p>
            <w:pPr>
              <w:pStyle w:val="TableContents"/>
              <w:bidi w:val="0"/>
              <w:spacing w:before="0" w:after="283"/>
              <w:jc w:val="right"/>
              <w:rPr/>
            </w:pPr>
            <w:r>
              <w:rPr/>
              <w:t>747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3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1,601</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854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747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1,601</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pPr>
            <w:r>
              <w:rPr/>
              <w:t>Cost of Sales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609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1,189</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pPr>
            <w:r>
              <w:rPr/>
              <w:t>General &amp; administrative</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848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848</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pPr>
            <w:r>
              <w:rPr/>
              <w:t>382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2" w:type="dxa"/>
            <w:tcBorders>
              <w:bottom w:val="single" w:sz="8" w:space="0" w:color="000000"/>
            </w:tcBorders>
            <w:shd w:fill="CCEEFF" w:val="clear"/>
            <w:tcMar>
              <w:bottom w:w="28" w:type="dxa"/>
            </w:tcMar>
            <w:vAlign w:val="center"/>
          </w:tcPr>
          <w:p>
            <w:pPr>
              <w:pStyle w:val="TableContents"/>
              <w:bidi w:val="0"/>
              <w:spacing w:before="0" w:after="283"/>
              <w:jc w:val="right"/>
              <w:rPr/>
            </w:pPr>
            <w:r>
              <w:rPr/>
              <w:t>7,717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3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8,099</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b/>
              </w:rPr>
            </w:pPr>
            <w:r>
              <w:rPr>
                <w:b/>
              </w:rPr>
              <w:t>Operating Loss from continuing operations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(108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(8,427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(8,535</w:t>
            </w:r>
          </w:p>
        </w:tc>
        <w:tc>
          <w:tcPr>
            <w:tcW w:w="115" w:type="dxa"/>
            <w:tcBorders/>
            <w:shd w:fill="FFFFFF" w:val="clear"/>
            <w:vAlign w:val="center"/>
          </w:tcPr>
          <w:p>
            <w:pPr>
              <w:pStyle w:val="TableContents"/>
              <w:bidi w:val="0"/>
              <w:spacing w:before="0" w:after="283"/>
              <w:jc w:val="left"/>
              <w:rPr/>
            </w:pPr>
            <w:r>
              <w:rPr/>
              <w:t>)</w:t>
            </w:r>
          </w:p>
        </w:tc>
      </w:tr>
      <w:tr>
        <w:trPr/>
        <w:tc>
          <w:tcPr>
            <w:tcW w:w="33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2" w:type="dxa"/>
            <w:tcBorders>
              <w:bottom w:val="single" w:sz="8" w:space="0" w:color="000000"/>
            </w:tcBorders>
            <w:shd w:fill="FFFFFF" w:val="clear"/>
            <w:tcMar>
              <w:bottom w:w="28" w:type="dxa"/>
            </w:tcMar>
            <w:vAlign w:val="center"/>
          </w:tcPr>
          <w:p>
            <w:pPr>
              <w:pStyle w:val="TableContents"/>
              <w:bidi w:val="0"/>
              <w:spacing w:before="0" w:after="283"/>
              <w:jc w:val="right"/>
              <w:rPr/>
            </w:pPr>
            <w:r>
              <w:rPr/>
              <w:t>5,436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3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5,477</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b/>
              </w:rPr>
            </w:pPr>
            <w:r>
              <w:rPr>
                <w:b/>
              </w:rPr>
              <w:t>Loss from continuing operations, before taxes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(2,991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(3,058</w:t>
            </w:r>
          </w:p>
        </w:tc>
        <w:tc>
          <w:tcPr>
            <w:tcW w:w="115" w:type="dxa"/>
            <w:tcBorders/>
            <w:shd w:fill="CCEEFF" w:val="clear"/>
            <w:vAlign w:val="center"/>
          </w:tcPr>
          <w:p>
            <w:pPr>
              <w:pStyle w:val="TableContents"/>
              <w:bidi w:val="0"/>
              <w:spacing w:before="0" w:after="283"/>
              <w:jc w:val="left"/>
              <w:rPr/>
            </w:pPr>
            <w:r>
              <w:rPr/>
              <w:t>)</w:t>
            </w:r>
          </w:p>
        </w:tc>
      </w:tr>
      <w:tr>
        <w:trPr/>
        <w:tc>
          <w:tcPr>
            <w:tcW w:w="33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pPr>
            <w:r>
              <w:rPr/>
              <w:t>Income tax provision</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2" w:type="dxa"/>
            <w:tcBorders>
              <w:bottom w:val="single" w:sz="8" w:space="0" w:color="000000"/>
            </w:tcBorders>
            <w:shd w:fill="CCEEFF" w:val="clear"/>
            <w:tcMar>
              <w:bottom w:w="28" w:type="dxa"/>
            </w:tcM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3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(7</w:t>
            </w:r>
          </w:p>
        </w:tc>
        <w:tc>
          <w:tcPr>
            <w:tcW w:w="115" w:type="dxa"/>
            <w:tcBorders/>
            <w:shd w:fill="CCEEFF" w:val="clear"/>
            <w:vAlign w:val="center"/>
          </w:tcPr>
          <w:p>
            <w:pPr>
              <w:pStyle w:val="TableContents"/>
              <w:bidi w:val="0"/>
              <w:spacing w:before="0" w:after="283"/>
              <w:jc w:val="left"/>
              <w:rPr/>
            </w:pPr>
            <w:r>
              <w:rPr/>
              <w:t>)</w:t>
            </w:r>
          </w:p>
        </w:tc>
      </w:tr>
      <w:tr>
        <w:trPr/>
        <w:tc>
          <w:tcPr>
            <w:tcW w:w="3323" w:type="dxa"/>
            <w:tcBorders/>
            <w:shd w:fill="FFFFFF" w:val="clear"/>
            <w:vAlign w:val="center"/>
          </w:tcPr>
          <w:p>
            <w:pPr>
              <w:pStyle w:val="TableContents"/>
              <w:bidi w:val="0"/>
              <w:spacing w:before="0" w:after="283"/>
              <w:jc w:val="left"/>
              <w:rPr>
                <w:b/>
              </w:rPr>
            </w:pPr>
            <w:r>
              <w:rPr>
                <w:b/>
              </w:rPr>
              <w:t>Net loss from continuing operations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(2,998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(3,065</w:t>
            </w:r>
          </w:p>
        </w:tc>
        <w:tc>
          <w:tcPr>
            <w:tcW w:w="115" w:type="dxa"/>
            <w:tcBorders/>
            <w:shd w:fill="FFFFFF" w:val="clear"/>
            <w:vAlign w:val="center"/>
          </w:tcPr>
          <w:p>
            <w:pPr>
              <w:pStyle w:val="TableContents"/>
              <w:bidi w:val="0"/>
              <w:spacing w:before="0" w:after="283"/>
              <w:jc w:val="left"/>
              <w:rPr/>
            </w:pPr>
            <w:r>
              <w:rPr/>
              <w:t>)</w:t>
            </w:r>
          </w:p>
        </w:tc>
      </w:tr>
      <w:tr>
        <w:trPr/>
        <w:tc>
          <w:tcPr>
            <w:tcW w:w="33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b/>
              </w:rPr>
            </w:pPr>
            <w:r>
              <w:rPr>
                <w:b/>
              </w:rPr>
              <w:t>Discontinued operations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pPr>
            <w:r>
              <w:rPr/>
              <w:t>Operating income from discontinued operations</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pPr>
            <w:r>
              <w:rPr/>
              <w:t>2,558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3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2,558</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b/>
              </w:rPr>
            </w:pPr>
            <w:r>
              <w:rPr>
                <w:b/>
              </w:rPr>
              <w:t>Net income from discontinued operations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2,558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2,558</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3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2,491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(2,998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(507</w:t>
            </w:r>
          </w:p>
        </w:tc>
        <w:tc>
          <w:tcPr>
            <w:tcW w:w="115" w:type="dxa"/>
            <w:tcBorders/>
            <w:shd w:fill="FFFFFF" w:val="clear"/>
            <w:vAlign w:val="center"/>
          </w:tcPr>
          <w:p>
            <w:pPr>
              <w:pStyle w:val="TableContents"/>
              <w:bidi w:val="0"/>
              <w:spacing w:before="0" w:after="283"/>
              <w:jc w:val="left"/>
              <w:rPr/>
            </w:pPr>
            <w:r>
              <w:rPr/>
              <w:t>)</w:t>
            </w:r>
          </w:p>
        </w:tc>
      </w:tr>
      <w:tr>
        <w:trPr/>
        <w:tc>
          <w:tcPr>
            <w:tcW w:w="33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b/>
              </w:rPr>
            </w:pPr>
            <w:r>
              <w:rPr>
                <w:b/>
              </w:rPr>
              <w:t>Basic and diluted earnings per common share:</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pPr>
            <w:r>
              <w:rPr/>
              <w:t>Net loss per share, continuing operations – basic and diluted</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(6.45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(0.41</w:t>
            </w:r>
          </w:p>
        </w:tc>
        <w:tc>
          <w:tcPr>
            <w:tcW w:w="115" w:type="dxa"/>
            <w:tcBorders/>
            <w:shd w:fill="CCEEFF" w:val="clear"/>
            <w:vAlign w:val="center"/>
          </w:tcPr>
          <w:p>
            <w:pPr>
              <w:pStyle w:val="TableContents"/>
              <w:bidi w:val="0"/>
              <w:spacing w:before="0" w:after="283"/>
              <w:jc w:val="left"/>
              <w:rPr/>
            </w:pPr>
            <w:r>
              <w:rPr/>
              <w:t>)</w:t>
            </w:r>
          </w:p>
        </w:tc>
      </w:tr>
      <w:tr>
        <w:trPr/>
        <w:tc>
          <w:tcPr>
            <w:tcW w:w="3323" w:type="dxa"/>
            <w:tcBorders/>
            <w:shd w:fill="FFFFFF" w:val="clear"/>
            <w:vAlign w:val="center"/>
          </w:tcPr>
          <w:p>
            <w:pPr>
              <w:pStyle w:val="TableContents"/>
              <w:bidi w:val="0"/>
              <w:spacing w:before="0" w:after="283"/>
              <w:jc w:val="left"/>
              <w:rPr/>
            </w:pPr>
            <w:r>
              <w:rPr/>
              <w:t>Net loss per share, discontinued operations – basic and diluted</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0.09</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pPr>
            <w:r>
              <w:rPr/>
              <w:t>Weighted average common shares outstanding - basic &amp; diluted</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28,000,000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2,185,075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(2,185,075</w:t>
            </w:r>
          </w:p>
        </w:tc>
        <w:tc>
          <w:tcPr>
            <w:tcW w:w="379" w:type="dxa"/>
            <w:tcBorders/>
            <w:shd w:fill="CCEEFF" w:val="clear"/>
            <w:vAlign w:val="center"/>
          </w:tcPr>
          <w:p>
            <w:pPr>
              <w:pStyle w:val="TableContents"/>
              <w:bidi w:val="0"/>
              <w:spacing w:before="0" w:after="283"/>
              <w:jc w:val="left"/>
              <w:rPr/>
            </w:pPr>
            <w:r>
              <w:rPr/>
              <w:t>) (b)</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28,000,000</w:t>
            </w:r>
          </w:p>
        </w:tc>
        <w:tc>
          <w:tcPr>
            <w:tcW w:w="11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Pro Forma Condensed Combined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statements have been prepared using the acquisition method and pursuant to the rules and regulations of the SEC and present the pro forma financial position and results of operations of the combined company based upon historical financial information after giving effect to the transactions, the Future acquisition by Bio Green Med Solution Inc., and transactions and adjustments described in these footnotes.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method is based on ASC 805, Business Combinations (‘‘ASC 805’’) and uses the fair value concepts defined in ASC 820, Fair Value Measurements (“ASC 820”). ASC 805 requires, among other things, that most assets acquired and liabilities assumed be recognized at their fair values as of the acquisition date. In addition, ASC 805 establishes that the consideration transferred is measured at current market price at the consummation of an acquisition. Due to fluctuations in the market price of Bio Green Med Solution Inc.’s common stock, this requirement will likely result in a valuation of the actual equity consideration that is different from the valuation presented in this unaudited condensed combined pro forma financial information. Certain footnote disclosures normally included in financial statements prepared in accordance with U.S. GAAP have been condensed or omitted pursuant to such rules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statements are presented for informational purposes only. These unaudited pro forma condensed combined financial statements are not necessarily indicative of the results of operations that would have been achieved had the transaction actually taken place at the dates indicated and do not purport to be indicative of Bio Green Med Solution Inc’s future financial position or operating results. The unaudited pro forma condensed combined financial statements should be read in conjunction with the historical financial statements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Estimate of Purchase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preliminary estimate of the consideration expected to be transferred to effect the acquisition of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Preliminary allocation of purchase consideration</w:t>
      </w:r>
    </w:p>
    <w:p>
      <w:pPr>
        <w:pStyle w:val="TextBody"/>
        <w:bidi w:val="0"/>
        <w:spacing w:before="0" w:after="0"/>
        <w:ind w:left="0" w:right="0" w:hanging="0"/>
        <w:jc w:val="left"/>
        <w:rPr>
          <w:caps w:val="false"/>
          <w:smallCaps w:val="false"/>
        </w:rPr>
      </w:pPr>
      <w:r>
        <w:rPr>
          <w:caps w:val="false"/>
          <w:smallCaps w:val="false"/>
        </w:rPr>
        <w:t> </w:t>
      </w:r>
    </w:p>
    <w:tbl>
      <w:tblPr>
        <w:tblW w:w="5960" w:type="dxa"/>
        <w:jc w:val="left"/>
        <w:tblInd w:w="0" w:type="dxa"/>
        <w:tblLayout w:type="fixed"/>
        <w:tblCellMar>
          <w:top w:w="0" w:type="dxa"/>
          <w:left w:w="0" w:type="dxa"/>
          <w:bottom w:w="0" w:type="dxa"/>
          <w:right w:w="0" w:type="dxa"/>
        </w:tblCellMar>
      </w:tblPr>
      <w:tblGrid>
        <w:gridCol w:w="4835"/>
        <w:gridCol w:w="60"/>
        <w:gridCol w:w="125"/>
        <w:gridCol w:w="845"/>
        <w:gridCol w:w="95"/>
      </w:tblGrid>
      <w:tr>
        <w:trPr/>
        <w:tc>
          <w:tcPr>
            <w:tcW w:w="4835" w:type="dxa"/>
            <w:tcBorders/>
            <w:shd w:fill="CCEEFF" w:val="clear"/>
            <w:vAlign w:val="center"/>
          </w:tcPr>
          <w:p>
            <w:pPr>
              <w:pStyle w:val="TableContents"/>
              <w:bidi w:val="0"/>
              <w:spacing w:before="0" w:after="283"/>
              <w:jc w:val="left"/>
              <w:rPr>
                <w:sz w:val="20"/>
              </w:rPr>
            </w:pPr>
            <w:r>
              <w:rPr>
                <w:sz w:val="20"/>
              </w:rPr>
              <w:t>Common Stock of BGMS Shares O/S as of August 17, 2026</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6,622,794</w:t>
            </w:r>
          </w:p>
        </w:tc>
        <w:tc>
          <w:tcPr>
            <w:tcW w:w="9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sz w:val="20"/>
              </w:rPr>
            </w:pPr>
            <w:r>
              <w:rPr>
                <w:sz w:val="20"/>
              </w:rPr>
              <w:t>Stock Price as of August 17, 2026</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0.91</w:t>
            </w:r>
          </w:p>
        </w:tc>
        <w:tc>
          <w:tcPr>
            <w:tcW w:w="9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b/>
                <w:sz w:val="20"/>
              </w:rPr>
            </w:pPr>
            <w:r>
              <w:rPr>
                <w:b/>
                <w:sz w:val="20"/>
              </w:rPr>
              <w:t>Total Estimated Purchase Consideration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6,026,743</w:t>
            </w:r>
          </w:p>
        </w:tc>
        <w:tc>
          <w:tcPr>
            <w:tcW w:w="9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sz w:val="20"/>
              </w:rPr>
            </w:pPr>
            <w:r>
              <w:rPr>
                <w:sz w:val="20"/>
              </w:rPr>
              <w:t>Cash and 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3,790,000</w:t>
            </w:r>
          </w:p>
        </w:tc>
        <w:tc>
          <w:tcPr>
            <w:tcW w:w="9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sz w:val="20"/>
              </w:rPr>
            </w:pPr>
            <w:r>
              <w:rPr>
                <w:sz w:val="20"/>
              </w:rPr>
              <w:t>Inventories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971,726</w:t>
            </w:r>
          </w:p>
        </w:tc>
        <w:tc>
          <w:tcPr>
            <w:tcW w:w="9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sz w:val="20"/>
              </w:rPr>
            </w:pPr>
            <w:r>
              <w:rPr>
                <w:sz w:val="20"/>
              </w:rPr>
              <w:t>Accounts receivables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1,073,893</w:t>
            </w:r>
          </w:p>
        </w:tc>
        <w:tc>
          <w:tcPr>
            <w:tcW w:w="9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sz w:val="20"/>
              </w:rPr>
            </w:pPr>
            <w:r>
              <w:rPr>
                <w:sz w:val="20"/>
              </w:rPr>
              <w:t>Prepaid &amp;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133,381</w:t>
            </w:r>
          </w:p>
        </w:tc>
        <w:tc>
          <w:tcPr>
            <w:tcW w:w="9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sz w:val="20"/>
              </w:rPr>
            </w:pPr>
            <w:r>
              <w:rPr>
                <w:sz w:val="20"/>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136,000</w:t>
            </w:r>
          </w:p>
        </w:tc>
        <w:tc>
          <w:tcPr>
            <w:tcW w:w="9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sz w:val="20"/>
              </w:rPr>
            </w:pPr>
            <w:r>
              <w:rPr>
                <w:sz w:val="20"/>
              </w:rPr>
              <w:t>ROU Asset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7,000</w:t>
            </w:r>
          </w:p>
        </w:tc>
        <w:tc>
          <w:tcPr>
            <w:tcW w:w="9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sz w:val="20"/>
              </w:rPr>
            </w:pPr>
            <w:r>
              <w:rPr>
                <w:sz w:val="20"/>
              </w:rPr>
              <w:t>Non-current deposits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172,000</w:t>
            </w:r>
          </w:p>
        </w:tc>
        <w:tc>
          <w:tcPr>
            <w:tcW w:w="9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sz w:val="20"/>
              </w:rPr>
            </w:pPr>
            <w:r>
              <w:rPr>
                <w:sz w:val="20"/>
              </w:rPr>
              <w:t>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(189,000</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4835" w:type="dxa"/>
            <w:tcBorders/>
            <w:shd w:fill="FFFFFF" w:val="clear"/>
            <w:vAlign w:val="center"/>
          </w:tcPr>
          <w:p>
            <w:pPr>
              <w:pStyle w:val="TableContents"/>
              <w:bidi w:val="0"/>
              <w:spacing w:before="0" w:after="283"/>
              <w:jc w:val="left"/>
              <w:rPr>
                <w:sz w:val="20"/>
              </w:rPr>
            </w:pPr>
            <w:r>
              <w:rPr>
                <w:sz w:val="20"/>
              </w:rPr>
              <w:t>Accrued and other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(505,000</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4835" w:type="dxa"/>
            <w:tcBorders/>
            <w:shd w:fill="CCEEFF" w:val="clear"/>
            <w:vAlign w:val="center"/>
          </w:tcPr>
          <w:p>
            <w:pPr>
              <w:pStyle w:val="TableContents"/>
              <w:bidi w:val="0"/>
              <w:spacing w:before="0" w:after="283"/>
              <w:jc w:val="left"/>
              <w:rPr>
                <w:sz w:val="20"/>
              </w:rPr>
            </w:pPr>
            <w:r>
              <w:rPr>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436,743</w:t>
            </w:r>
          </w:p>
        </w:tc>
        <w:tc>
          <w:tcPr>
            <w:tcW w:w="9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sz w:val="20"/>
              </w:rPr>
            </w:pPr>
            <w:r>
              <w:rPr>
                <w:sz w:val="20"/>
              </w:rPr>
              <w:t>Total Estimated Fair Value of Net Assets Acquired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6,026,743</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3. Pro Forma Adjustments for the Acquisition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statements give effect to the transaction described above as if it had occurred on June 30, 2025 for purposes of the unaudited pro forma condensed combined balance sheet and January 1, 2025 for purposes of the unaudited pro forma condensed combined statements of operations. The unaudited pro forma condensed combined statements of operations do not include any material non-recurring charges that will arise as a result of the transactions described above. Adjustments in the unaudited pro forma condensed combined financial statements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adjustment reflects the elimination of the historical equity of Future and reflects the new equity structure of the combined company, including:</w:t>
            </w:r>
          </w:p>
        </w:tc>
      </w:tr>
    </w:tbl>
    <w:p>
      <w:pPr>
        <w:pStyle w:val="TextBody"/>
        <w:bidi w:val="0"/>
        <w:spacing w:before="0" w:after="0"/>
        <w:ind w:left="720" w:right="0" w:hanging="360"/>
        <w:jc w:val="both"/>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75"/>
        <w:gridCol w:w="140"/>
        <w:gridCol w:w="99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$436,743 goodwill as a result of the estimated purchase consideration exceeding the fair value of net assets.</w:t>
            </w:r>
          </w:p>
        </w:tc>
      </w:tr>
    </w:tbl>
    <w:p>
      <w:pPr>
        <w:pStyle w:val="TextBody"/>
        <w:bidi w:val="0"/>
        <w:spacing w:before="0" w:after="0"/>
        <w:ind w:left="1800" w:right="0" w:hanging="720"/>
        <w:jc w:val="both"/>
        <w:rPr>
          <w:caps w:val="false"/>
          <w:smallCaps w:val="false"/>
        </w:rPr>
      </w:pPr>
      <w:r>
        <w:rPr>
          <w:caps w:val="false"/>
          <w:smallCaps w:val="false"/>
        </w:rPr>
        <w:t> </w:t>
      </w:r>
    </w:p>
    <w:tbl>
      <w:tblPr>
        <w:tblW w:w="5055" w:type="dxa"/>
        <w:jc w:val="left"/>
        <w:tblInd w:w="0" w:type="dxa"/>
        <w:tblLayout w:type="fixed"/>
        <w:tblCellMar>
          <w:top w:w="0" w:type="dxa"/>
          <w:left w:w="0" w:type="dxa"/>
          <w:bottom w:w="0" w:type="dxa"/>
          <w:right w:w="0" w:type="dxa"/>
        </w:tblCellMar>
      </w:tblPr>
      <w:tblGrid>
        <w:gridCol w:w="3650"/>
        <w:gridCol w:w="60"/>
        <w:gridCol w:w="60"/>
        <w:gridCol w:w="1175"/>
        <w:gridCol w:w="110"/>
      </w:tblGrid>
      <w:tr>
        <w:trPr/>
        <w:tc>
          <w:tcPr>
            <w:tcW w:w="3650" w:type="dxa"/>
            <w:tcBorders/>
            <w:shd w:fill="CCEEFF" w:val="clear"/>
            <w:vAlign w:val="center"/>
          </w:tcPr>
          <w:p>
            <w:pPr>
              <w:pStyle w:val="TableContents"/>
              <w:bidi w:val="0"/>
              <w:spacing w:before="0" w:after="283"/>
              <w:jc w:val="left"/>
              <w:rPr/>
            </w:pPr>
            <w:r>
              <w:rPr/>
              <w:t>Weighted average shares Future NRG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28,000,000</w:t>
            </w:r>
          </w:p>
        </w:tc>
        <w:tc>
          <w:tcPr>
            <w:tcW w:w="11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Weighted average shares BGMS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5,568,424</w:t>
            </w:r>
          </w:p>
        </w:tc>
        <w:tc>
          <w:tcPr>
            <w:tcW w:w="11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Weighted average shares Combined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33,568,424</w:t>
            </w:r>
          </w:p>
        </w:tc>
        <w:tc>
          <w:tcPr>
            <w:tcW w:w="11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Weighted average shares Combined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33,568,424</w:t>
            </w:r>
          </w:p>
        </w:tc>
        <w:tc>
          <w:tcPr>
            <w:tcW w:w="11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Less Historical shares Future NRG</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(28,000,000</w:t>
            </w:r>
          </w:p>
        </w:tc>
        <w:tc>
          <w:tcPr>
            <w:tcW w:w="110" w:type="dxa"/>
            <w:tcBorders/>
            <w:shd w:fill="FFFFFF" w:val="clear"/>
            <w:vAlign w:val="center"/>
          </w:tcPr>
          <w:p>
            <w:pPr>
              <w:pStyle w:val="TableContents"/>
              <w:bidi w:val="0"/>
              <w:spacing w:before="0" w:after="283"/>
              <w:jc w:val="left"/>
              <w:rPr/>
            </w:pPr>
            <w:r>
              <w:rPr/>
              <w:t>)</w:t>
            </w:r>
          </w:p>
        </w:tc>
      </w:tr>
      <w:tr>
        <w:trPr/>
        <w:tc>
          <w:tcPr>
            <w:tcW w:w="3650" w:type="dxa"/>
            <w:tcBorders/>
            <w:shd w:fill="CCEEFF" w:val="clear"/>
            <w:vAlign w:val="center"/>
          </w:tcPr>
          <w:p>
            <w:pPr>
              <w:pStyle w:val="TableContents"/>
              <w:bidi w:val="0"/>
              <w:spacing w:before="0" w:after="283"/>
              <w:jc w:val="left"/>
              <w:rPr/>
            </w:pPr>
            <w:r>
              <w:rPr/>
              <w:t>Transaction Accounting Adjustment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5,568,424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adjustment reflects the elimination of the historical equity of Future and reflects the new equity structure of the combined company, including:</w:t>
            </w:r>
          </w:p>
        </w:tc>
      </w:tr>
    </w:tbl>
    <w:p>
      <w:pPr>
        <w:pStyle w:val="TextBody"/>
        <w:bidi w:val="0"/>
        <w:spacing w:before="0" w:after="0"/>
        <w:ind w:left="1800" w:right="0" w:hanging="720"/>
        <w:jc w:val="left"/>
        <w:rPr>
          <w:caps w:val="false"/>
          <w:smallCaps w:val="false"/>
        </w:rPr>
      </w:pPr>
      <w:r>
        <w:rPr>
          <w:caps w:val="false"/>
          <w:smallCaps w:val="false"/>
        </w:rPr>
        <w:t> </w:t>
      </w:r>
    </w:p>
    <w:tbl>
      <w:tblPr>
        <w:tblW w:w="5055" w:type="dxa"/>
        <w:jc w:val="left"/>
        <w:tblInd w:w="0" w:type="dxa"/>
        <w:tblLayout w:type="fixed"/>
        <w:tblCellMar>
          <w:top w:w="0" w:type="dxa"/>
          <w:left w:w="0" w:type="dxa"/>
          <w:bottom w:w="0" w:type="dxa"/>
          <w:right w:w="0" w:type="dxa"/>
        </w:tblCellMar>
      </w:tblPr>
      <w:tblGrid>
        <w:gridCol w:w="3650"/>
        <w:gridCol w:w="60"/>
        <w:gridCol w:w="60"/>
        <w:gridCol w:w="1175"/>
        <w:gridCol w:w="110"/>
      </w:tblGrid>
      <w:tr>
        <w:trPr/>
        <w:tc>
          <w:tcPr>
            <w:tcW w:w="3650" w:type="dxa"/>
            <w:tcBorders/>
            <w:shd w:fill="CCEEFF" w:val="clear"/>
            <w:vAlign w:val="center"/>
          </w:tcPr>
          <w:p>
            <w:pPr>
              <w:pStyle w:val="TableContents"/>
              <w:bidi w:val="0"/>
              <w:spacing w:before="0" w:after="283"/>
              <w:jc w:val="left"/>
              <w:rPr/>
            </w:pPr>
            <w:r>
              <w:rPr/>
              <w:t>Weighted average shares Future NRG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28,000,000</w:t>
            </w:r>
          </w:p>
        </w:tc>
        <w:tc>
          <w:tcPr>
            <w:tcW w:w="11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Weighted average shares BGMS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2,185,075</w:t>
            </w:r>
          </w:p>
        </w:tc>
        <w:tc>
          <w:tcPr>
            <w:tcW w:w="11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Weighted average shares Combined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30,185,075</w:t>
            </w:r>
          </w:p>
        </w:tc>
        <w:tc>
          <w:tcPr>
            <w:tcW w:w="11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Weighted average shares Combined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30,185,075</w:t>
            </w:r>
          </w:p>
        </w:tc>
        <w:tc>
          <w:tcPr>
            <w:tcW w:w="11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Less Historical shares Future NRG</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(28,000,000</w:t>
            </w:r>
          </w:p>
        </w:tc>
        <w:tc>
          <w:tcPr>
            <w:tcW w:w="110" w:type="dxa"/>
            <w:tcBorders/>
            <w:shd w:fill="FFFFFF" w:val="clear"/>
            <w:vAlign w:val="center"/>
          </w:tcPr>
          <w:p>
            <w:pPr>
              <w:pStyle w:val="TableContents"/>
              <w:bidi w:val="0"/>
              <w:spacing w:before="0" w:after="283"/>
              <w:jc w:val="left"/>
              <w:rPr/>
            </w:pPr>
            <w:r>
              <w:rPr/>
              <w:t>)</w:t>
            </w:r>
          </w:p>
        </w:tc>
      </w:tr>
      <w:tr>
        <w:trPr/>
        <w:tc>
          <w:tcPr>
            <w:tcW w:w="3650" w:type="dxa"/>
            <w:tcBorders/>
            <w:shd w:fill="CCEEFF" w:val="clear"/>
            <w:vAlign w:val="center"/>
          </w:tcPr>
          <w:p>
            <w:pPr>
              <w:pStyle w:val="TableContents"/>
              <w:bidi w:val="0"/>
              <w:spacing w:before="0" w:after="283"/>
              <w:jc w:val="left"/>
              <w:rPr/>
            </w:pPr>
            <w:r>
              <w:rPr/>
              <w:t>Transaction Accounting Adjustment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2,185,075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80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ta_021"/>
      <w:bookmarkEnd w:id="24"/>
      <w:r>
        <w:rPr>
          <w:rFonts w:ascii="Times New Roman;Times;Serif" w:hAnsi="Times New Roman;Times;Serif"/>
          <w:b/>
          <w:i w:val="false"/>
          <w:caps w:val="false"/>
          <w:smallCaps w:val="false"/>
          <w:sz w:val="20"/>
        </w:rPr>
        <w:t>MARKET PRICE AND DIVIDEND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 w:name="ta_022"/>
      <w:bookmarkEnd w:id="25"/>
      <w:r>
        <w:rPr>
          <w:rFonts w:ascii="Times New Roman;Times;Serif" w:hAnsi="Times New Roman;Times;Serif"/>
          <w:b/>
          <w:i w:val="false"/>
          <w:caps w:val="false"/>
          <w:smallCaps w:val="false"/>
          <w:sz w:val="20"/>
        </w:rPr>
        <w:t>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Common Stock is listed on The Nasdaq Capital Market under the symbol “BGMS.” Following the completion of the Transaction, the Parent Common Stock is expected to continue to be listed on Nasdaq under the trading symbol, “BGMS.” The following table presents, for the periods indicated, the range of high and low per share sales prices for Parent Common Stock as reported on the Nasdaq Capital Market for each of the periods set forth below, as adjusted for reverse stock splits.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71"/>
        <w:gridCol w:w="60"/>
        <w:gridCol w:w="683"/>
        <w:gridCol w:w="3341"/>
        <w:gridCol w:w="60"/>
        <w:gridCol w:w="60"/>
        <w:gridCol w:w="688"/>
        <w:gridCol w:w="3364"/>
        <w:gridCol w:w="78"/>
      </w:tblGrid>
      <w:tr>
        <w:trPr/>
        <w:tc>
          <w:tcPr>
            <w:tcW w:w="1871" w:type="dxa"/>
            <w:tcBorders>
              <w:bottom w:val="single" w:sz="8" w:space="0" w:color="000000"/>
            </w:tcBorders>
            <w:vAlign w:val="center"/>
          </w:tcPr>
          <w:p>
            <w:pPr>
              <w:pStyle w:val="TableContents"/>
              <w:bidi w:val="0"/>
              <w:spacing w:before="0" w:after="283"/>
              <w:jc w:val="center"/>
              <w:rPr>
                <w:b/>
              </w:rPr>
            </w:pPr>
            <w:r>
              <w:rPr>
                <w:b/>
              </w:rPr>
              <w:t>Quarter Ended</w:t>
            </w:r>
          </w:p>
        </w:tc>
        <w:tc>
          <w:tcPr>
            <w:tcW w:w="60" w:type="dxa"/>
            <w:tcBorders/>
            <w:tcMar>
              <w:bottom w:w="0" w:type="dxa"/>
            </w:tcMar>
            <w:vAlign w:val="center"/>
          </w:tcPr>
          <w:p>
            <w:pPr>
              <w:pStyle w:val="TableContents"/>
              <w:bidi w:val="0"/>
              <w:spacing w:before="0" w:after="283"/>
              <w:jc w:val="left"/>
              <w:rPr/>
            </w:pPr>
            <w:r>
              <w:rPr/>
              <w:t> </w:t>
            </w:r>
          </w:p>
        </w:tc>
        <w:tc>
          <w:tcPr>
            <w:tcW w:w="4024" w:type="dxa"/>
            <w:gridSpan w:val="2"/>
            <w:tcBorders>
              <w:bottom w:val="single" w:sz="8" w:space="0" w:color="000000"/>
            </w:tcBorders>
            <w:vAlign w:val="center"/>
          </w:tcPr>
          <w:p>
            <w:pPr>
              <w:pStyle w:val="TableContents"/>
              <w:bidi w:val="0"/>
              <w:spacing w:before="0" w:after="283"/>
              <w:jc w:val="center"/>
              <w:rPr>
                <w:b/>
              </w:rPr>
            </w:pPr>
            <w:r>
              <w:rPr>
                <w:b/>
              </w:rPr>
              <w:t>Low Sales Price of Parent Common 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052" w:type="dxa"/>
            <w:gridSpan w:val="2"/>
            <w:tcBorders>
              <w:bottom w:val="single" w:sz="8" w:space="0" w:color="000000"/>
            </w:tcBorders>
            <w:vAlign w:val="center"/>
          </w:tcPr>
          <w:p>
            <w:pPr>
              <w:pStyle w:val="TableContents"/>
              <w:bidi w:val="0"/>
              <w:spacing w:before="0" w:after="283"/>
              <w:jc w:val="center"/>
              <w:rPr>
                <w:b/>
              </w:rPr>
            </w:pPr>
            <w:r>
              <w:rPr>
                <w:b/>
              </w:rPr>
              <w:t>High Sales Price of Parent Common Stock</w:t>
            </w:r>
          </w:p>
        </w:tc>
        <w:tc>
          <w:tcPr>
            <w:tcW w:w="78" w:type="dxa"/>
            <w:tcBorders/>
            <w:tcMar>
              <w:bottom w:w="0" w:type="dxa"/>
            </w:tcMar>
            <w:vAlign w:val="center"/>
          </w:tcPr>
          <w:p>
            <w:pPr>
              <w:pStyle w:val="TableContents"/>
              <w:bidi w:val="0"/>
              <w:spacing w:before="0" w:after="283"/>
              <w:jc w:val="left"/>
              <w:rPr/>
            </w:pPr>
            <w:r>
              <w:rPr/>
              <w:t> </w:t>
            </w:r>
          </w:p>
        </w:tc>
      </w:tr>
      <w:tr>
        <w:trPr/>
        <w:tc>
          <w:tcPr>
            <w:tcW w:w="1871" w:type="dxa"/>
            <w:tcBorders/>
            <w:shd w:fill="CCEEFF" w:val="clear"/>
            <w:tcMar>
              <w:bottom w:w="0" w:type="dxa"/>
            </w:tcMar>
            <w:vAlign w:val="center"/>
          </w:tcPr>
          <w:p>
            <w:pPr>
              <w:pStyle w:val="TableContents"/>
              <w:bidi w:val="0"/>
              <w:spacing w:before="0" w:after="283"/>
              <w:jc w:val="center"/>
              <w:rPr/>
            </w:pPr>
            <w:r>
              <w:rPr/>
              <w:t>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3" w:type="dxa"/>
            <w:tcBorders/>
            <w:shd w:fill="CCEEFF" w:val="clear"/>
            <w:tcMar>
              <w:bottom w:w="0" w:type="dxa"/>
            </w:tcMar>
            <w:vAlign w:val="center"/>
          </w:tcPr>
          <w:p>
            <w:pPr>
              <w:pStyle w:val="TableContents"/>
              <w:bidi w:val="0"/>
              <w:spacing w:before="0" w:after="283"/>
              <w:jc w:val="left"/>
              <w:rPr/>
            </w:pPr>
            <w:r>
              <w:rPr/>
              <w:t>$</w:t>
            </w:r>
          </w:p>
        </w:tc>
        <w:tc>
          <w:tcPr>
            <w:tcW w:w="3341" w:type="dxa"/>
            <w:tcBorders/>
            <w:shd w:fill="CCEEFF" w:val="clear"/>
            <w:tcMar>
              <w:bottom w:w="0" w:type="dxa"/>
            </w:tcMar>
            <w:vAlign w:val="center"/>
          </w:tcPr>
          <w:p>
            <w:pPr>
              <w:pStyle w:val="TableContents"/>
              <w:bidi w:val="0"/>
              <w:spacing w:before="0" w:after="283"/>
              <w:jc w:val="right"/>
              <w:rPr/>
            </w:pPr>
            <w:r>
              <w:rPr/>
              <w:t>0.60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left"/>
              <w:rPr/>
            </w:pPr>
            <w:r>
              <w:rPr/>
              <w:t>$</w:t>
            </w:r>
          </w:p>
        </w:tc>
        <w:tc>
          <w:tcPr>
            <w:tcW w:w="3364" w:type="dxa"/>
            <w:tcBorders/>
            <w:shd w:fill="CCEEFF" w:val="clear"/>
            <w:tcMar>
              <w:bottom w:w="0" w:type="dxa"/>
            </w:tcMar>
            <w:vAlign w:val="center"/>
          </w:tcPr>
          <w:p>
            <w:pPr>
              <w:pStyle w:val="TableContents"/>
              <w:bidi w:val="0"/>
              <w:spacing w:before="0" w:after="283"/>
              <w:jc w:val="right"/>
              <w:rPr/>
            </w:pPr>
            <w:r>
              <w:rPr/>
              <w:t>1.50</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871" w:type="dxa"/>
            <w:tcBorders/>
            <w:shd w:fill="FFFFFF" w:val="clear"/>
            <w:tcMar>
              <w:bottom w:w="0" w:type="dxa"/>
            </w:tcMar>
            <w:vAlign w:val="center"/>
          </w:tcPr>
          <w:p>
            <w:pPr>
              <w:pStyle w:val="TableContents"/>
              <w:bidi w:val="0"/>
              <w:spacing w:before="0" w:after="283"/>
              <w:jc w:val="center"/>
              <w:rPr/>
            </w:pPr>
            <w:r>
              <w:rPr/>
              <w:t>March 31,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3" w:type="dxa"/>
            <w:tcBorders/>
            <w:shd w:fill="FFFFFF" w:val="clear"/>
            <w:tcMar>
              <w:bottom w:w="0" w:type="dxa"/>
            </w:tcMar>
            <w:vAlign w:val="center"/>
          </w:tcPr>
          <w:p>
            <w:pPr>
              <w:pStyle w:val="TableContents"/>
              <w:bidi w:val="0"/>
              <w:spacing w:before="0" w:after="283"/>
              <w:jc w:val="left"/>
              <w:rPr/>
            </w:pPr>
            <w:r>
              <w:rPr/>
              <w:t>$</w:t>
            </w:r>
          </w:p>
        </w:tc>
        <w:tc>
          <w:tcPr>
            <w:tcW w:w="3341" w:type="dxa"/>
            <w:tcBorders/>
            <w:shd w:fill="FFFFFF" w:val="clear"/>
            <w:tcMar>
              <w:bottom w:w="0" w:type="dxa"/>
            </w:tcMar>
            <w:vAlign w:val="center"/>
          </w:tcPr>
          <w:p>
            <w:pPr>
              <w:pStyle w:val="TableContents"/>
              <w:bidi w:val="0"/>
              <w:spacing w:before="0" w:after="283"/>
              <w:jc w:val="right"/>
              <w:rPr/>
            </w:pPr>
            <w:r>
              <w:rPr/>
              <w:t>0.73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8" w:type="dxa"/>
            <w:tcBorders/>
            <w:shd w:fill="FFFFFF" w:val="clear"/>
            <w:tcMar>
              <w:bottom w:w="0" w:type="dxa"/>
            </w:tcMar>
            <w:vAlign w:val="center"/>
          </w:tcPr>
          <w:p>
            <w:pPr>
              <w:pStyle w:val="TableContents"/>
              <w:bidi w:val="0"/>
              <w:spacing w:before="0" w:after="283"/>
              <w:jc w:val="left"/>
              <w:rPr/>
            </w:pPr>
            <w:r>
              <w:rPr/>
              <w:t>$</w:t>
            </w:r>
          </w:p>
        </w:tc>
        <w:tc>
          <w:tcPr>
            <w:tcW w:w="3364" w:type="dxa"/>
            <w:tcBorders/>
            <w:shd w:fill="FFFFFF" w:val="clear"/>
            <w:tcMar>
              <w:bottom w:w="0" w:type="dxa"/>
            </w:tcMar>
            <w:vAlign w:val="center"/>
          </w:tcPr>
          <w:p>
            <w:pPr>
              <w:pStyle w:val="TableContents"/>
              <w:bidi w:val="0"/>
              <w:spacing w:before="0" w:after="283"/>
              <w:jc w:val="right"/>
              <w:rPr/>
            </w:pPr>
            <w:r>
              <w:rPr/>
              <w:t>1.66</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871" w:type="dxa"/>
            <w:tcBorders/>
            <w:shd w:fill="CCEEFF" w:val="clear"/>
            <w:tcMar>
              <w:bottom w:w="0" w:type="dxa"/>
            </w:tcMar>
            <w:vAlign w:val="center"/>
          </w:tcPr>
          <w:p>
            <w:pPr>
              <w:pStyle w:val="TableContents"/>
              <w:bidi w:val="0"/>
              <w:spacing w:before="0" w:after="283"/>
              <w:jc w:val="center"/>
              <w:rPr/>
            </w:pPr>
            <w:r>
              <w:rPr/>
              <w:t>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3" w:type="dxa"/>
            <w:tcBorders/>
            <w:shd w:fill="CCEEFF" w:val="clear"/>
            <w:tcMar>
              <w:bottom w:w="0" w:type="dxa"/>
            </w:tcMar>
            <w:vAlign w:val="center"/>
          </w:tcPr>
          <w:p>
            <w:pPr>
              <w:pStyle w:val="TableContents"/>
              <w:bidi w:val="0"/>
              <w:spacing w:before="0" w:after="283"/>
              <w:jc w:val="left"/>
              <w:rPr/>
            </w:pPr>
            <w:r>
              <w:rPr/>
              <w:t>$</w:t>
            </w:r>
          </w:p>
        </w:tc>
        <w:tc>
          <w:tcPr>
            <w:tcW w:w="3341" w:type="dxa"/>
            <w:tcBorders/>
            <w:shd w:fill="CCEEFF" w:val="clear"/>
            <w:tcMar>
              <w:bottom w:w="0" w:type="dxa"/>
            </w:tcMar>
            <w:vAlign w:val="center"/>
          </w:tcPr>
          <w:p>
            <w:pPr>
              <w:pStyle w:val="TableContents"/>
              <w:bidi w:val="0"/>
              <w:spacing w:before="0" w:after="283"/>
              <w:jc w:val="right"/>
              <w:rPr/>
            </w:pPr>
            <w:r>
              <w:rPr/>
              <w:t>1.16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left"/>
              <w:rPr/>
            </w:pPr>
            <w:r>
              <w:rPr/>
              <w:t>$</w:t>
            </w:r>
          </w:p>
        </w:tc>
        <w:tc>
          <w:tcPr>
            <w:tcW w:w="3364" w:type="dxa"/>
            <w:tcBorders/>
            <w:shd w:fill="CCEEFF" w:val="clear"/>
            <w:tcMar>
              <w:bottom w:w="0" w:type="dxa"/>
            </w:tcMar>
            <w:vAlign w:val="center"/>
          </w:tcPr>
          <w:p>
            <w:pPr>
              <w:pStyle w:val="TableContents"/>
              <w:bidi w:val="0"/>
              <w:spacing w:before="0" w:after="283"/>
              <w:jc w:val="right"/>
              <w:rPr/>
            </w:pPr>
            <w:r>
              <w:rPr/>
              <w:t>6.70</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871" w:type="dxa"/>
            <w:tcBorders/>
            <w:shd w:fill="FFFFFF" w:val="clear"/>
            <w:tcMar>
              <w:bottom w:w="0" w:type="dxa"/>
            </w:tcMar>
            <w:vAlign w:val="center"/>
          </w:tcPr>
          <w:p>
            <w:pPr>
              <w:pStyle w:val="TableContents"/>
              <w:bidi w:val="0"/>
              <w:spacing w:before="0" w:after="283"/>
              <w:jc w:val="center"/>
              <w:rPr/>
            </w:pPr>
            <w:r>
              <w:rPr/>
              <w:t>September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3" w:type="dxa"/>
            <w:tcBorders/>
            <w:shd w:fill="FFFFFF" w:val="clear"/>
            <w:tcMar>
              <w:bottom w:w="0" w:type="dxa"/>
            </w:tcMar>
            <w:vAlign w:val="center"/>
          </w:tcPr>
          <w:p>
            <w:pPr>
              <w:pStyle w:val="TableContents"/>
              <w:bidi w:val="0"/>
              <w:spacing w:before="0" w:after="283"/>
              <w:jc w:val="left"/>
              <w:rPr/>
            </w:pPr>
            <w:r>
              <w:rPr/>
              <w:t>$</w:t>
            </w:r>
          </w:p>
        </w:tc>
        <w:tc>
          <w:tcPr>
            <w:tcW w:w="3341" w:type="dxa"/>
            <w:tcBorders/>
            <w:shd w:fill="FFFFFF" w:val="clear"/>
            <w:tcMar>
              <w:bottom w:w="0" w:type="dxa"/>
            </w:tcMar>
            <w:vAlign w:val="center"/>
          </w:tcPr>
          <w:p>
            <w:pPr>
              <w:pStyle w:val="TableContents"/>
              <w:bidi w:val="0"/>
              <w:spacing w:before="0" w:after="283"/>
              <w:jc w:val="right"/>
              <w:rPr/>
            </w:pPr>
            <w:r>
              <w:rPr/>
              <w:t>3.08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8" w:type="dxa"/>
            <w:tcBorders/>
            <w:shd w:fill="FFFFFF" w:val="clear"/>
            <w:tcMar>
              <w:bottom w:w="0" w:type="dxa"/>
            </w:tcMar>
            <w:vAlign w:val="center"/>
          </w:tcPr>
          <w:p>
            <w:pPr>
              <w:pStyle w:val="TableContents"/>
              <w:bidi w:val="0"/>
              <w:spacing w:before="0" w:after="283"/>
              <w:jc w:val="left"/>
              <w:rPr/>
            </w:pPr>
            <w:r>
              <w:rPr/>
              <w:t>$</w:t>
            </w:r>
          </w:p>
        </w:tc>
        <w:tc>
          <w:tcPr>
            <w:tcW w:w="3364" w:type="dxa"/>
            <w:tcBorders/>
            <w:shd w:fill="FFFFFF" w:val="clear"/>
            <w:tcMar>
              <w:bottom w:w="0" w:type="dxa"/>
            </w:tcMar>
            <w:vAlign w:val="center"/>
          </w:tcPr>
          <w:p>
            <w:pPr>
              <w:pStyle w:val="TableContents"/>
              <w:bidi w:val="0"/>
              <w:spacing w:before="0" w:after="283"/>
              <w:jc w:val="right"/>
              <w:rPr/>
            </w:pPr>
            <w:r>
              <w:rPr/>
              <w:t>19.87</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871" w:type="dxa"/>
            <w:tcBorders/>
            <w:shd w:fill="CCEEFF" w:val="clear"/>
            <w:tcMar>
              <w:bottom w:w="0" w:type="dxa"/>
            </w:tcMar>
            <w:vAlign w:val="center"/>
          </w:tcPr>
          <w:p>
            <w:pPr>
              <w:pStyle w:val="TableContents"/>
              <w:bidi w:val="0"/>
              <w:spacing w:before="0" w:after="283"/>
              <w:jc w:val="center"/>
              <w:rPr/>
            </w:pPr>
            <w:r>
              <w:rPr/>
              <w:t>June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3" w:type="dxa"/>
            <w:tcBorders/>
            <w:shd w:fill="CCEEFF" w:val="clear"/>
            <w:tcMar>
              <w:bottom w:w="0" w:type="dxa"/>
            </w:tcMar>
            <w:vAlign w:val="center"/>
          </w:tcPr>
          <w:p>
            <w:pPr>
              <w:pStyle w:val="TableContents"/>
              <w:bidi w:val="0"/>
              <w:spacing w:before="0" w:after="283"/>
              <w:jc w:val="left"/>
              <w:rPr/>
            </w:pPr>
            <w:r>
              <w:rPr/>
              <w:t>$</w:t>
            </w:r>
          </w:p>
        </w:tc>
        <w:tc>
          <w:tcPr>
            <w:tcW w:w="3341" w:type="dxa"/>
            <w:tcBorders/>
            <w:shd w:fill="CCEEFF" w:val="clear"/>
            <w:tcMar>
              <w:bottom w:w="0" w:type="dxa"/>
            </w:tcMar>
            <w:vAlign w:val="center"/>
          </w:tcPr>
          <w:p>
            <w:pPr>
              <w:pStyle w:val="TableContents"/>
              <w:bidi w:val="0"/>
              <w:spacing w:before="0" w:after="283"/>
              <w:jc w:val="right"/>
              <w:rPr/>
            </w:pPr>
            <w:r>
              <w:rPr/>
              <w:t>3.75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left"/>
              <w:rPr/>
            </w:pPr>
            <w:r>
              <w:rPr/>
              <w:t>$</w:t>
            </w:r>
          </w:p>
        </w:tc>
        <w:tc>
          <w:tcPr>
            <w:tcW w:w="3364" w:type="dxa"/>
            <w:tcBorders/>
            <w:shd w:fill="CCEEFF" w:val="clear"/>
            <w:tcMar>
              <w:bottom w:w="0" w:type="dxa"/>
            </w:tcMar>
            <w:vAlign w:val="center"/>
          </w:tcPr>
          <w:p>
            <w:pPr>
              <w:pStyle w:val="TableContents"/>
              <w:bidi w:val="0"/>
              <w:spacing w:before="0" w:after="283"/>
              <w:jc w:val="right"/>
              <w:rPr/>
            </w:pPr>
            <w:r>
              <w:rPr/>
              <w:t>100.75</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871" w:type="dxa"/>
            <w:tcBorders/>
            <w:shd w:fill="FFFFFF" w:val="clear"/>
            <w:tcMar>
              <w:bottom w:w="0" w:type="dxa"/>
            </w:tcMar>
            <w:vAlign w:val="center"/>
          </w:tcPr>
          <w:p>
            <w:pPr>
              <w:pStyle w:val="TableContents"/>
              <w:bidi w:val="0"/>
              <w:spacing w:before="0" w:after="283"/>
              <w:jc w:val="center"/>
              <w:rPr/>
            </w:pPr>
            <w:r>
              <w:rPr/>
              <w:t>March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3" w:type="dxa"/>
            <w:tcBorders/>
            <w:shd w:fill="FFFFFF" w:val="clear"/>
            <w:tcMar>
              <w:bottom w:w="0" w:type="dxa"/>
            </w:tcMar>
            <w:vAlign w:val="center"/>
          </w:tcPr>
          <w:p>
            <w:pPr>
              <w:pStyle w:val="TableContents"/>
              <w:bidi w:val="0"/>
              <w:spacing w:before="0" w:after="283"/>
              <w:jc w:val="left"/>
              <w:rPr/>
            </w:pPr>
            <w:r>
              <w:rPr/>
              <w:t>$</w:t>
            </w:r>
          </w:p>
        </w:tc>
        <w:tc>
          <w:tcPr>
            <w:tcW w:w="3341" w:type="dxa"/>
            <w:tcBorders/>
            <w:shd w:fill="FFFFFF" w:val="clear"/>
            <w:tcMar>
              <w:bottom w:w="0" w:type="dxa"/>
            </w:tcMar>
            <w:vAlign w:val="center"/>
          </w:tcPr>
          <w:p>
            <w:pPr>
              <w:pStyle w:val="TableContents"/>
              <w:bidi w:val="0"/>
              <w:spacing w:before="0" w:after="283"/>
              <w:jc w:val="right"/>
              <w:rPr/>
            </w:pPr>
            <w:r>
              <w:rPr/>
              <w:t>64.79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8" w:type="dxa"/>
            <w:tcBorders/>
            <w:shd w:fill="FFFFFF" w:val="clear"/>
            <w:tcMar>
              <w:bottom w:w="0" w:type="dxa"/>
            </w:tcMar>
            <w:vAlign w:val="center"/>
          </w:tcPr>
          <w:p>
            <w:pPr>
              <w:pStyle w:val="TableContents"/>
              <w:bidi w:val="0"/>
              <w:spacing w:before="0" w:after="283"/>
              <w:jc w:val="left"/>
              <w:rPr/>
            </w:pPr>
            <w:r>
              <w:rPr/>
              <w:t>$</w:t>
            </w:r>
          </w:p>
        </w:tc>
        <w:tc>
          <w:tcPr>
            <w:tcW w:w="3364" w:type="dxa"/>
            <w:tcBorders/>
            <w:shd w:fill="FFFFFF" w:val="clear"/>
            <w:tcMar>
              <w:bottom w:w="0" w:type="dxa"/>
            </w:tcMar>
            <w:vAlign w:val="center"/>
          </w:tcPr>
          <w:p>
            <w:pPr>
              <w:pStyle w:val="TableContents"/>
              <w:bidi w:val="0"/>
              <w:spacing w:before="0" w:after="283"/>
              <w:jc w:val="right"/>
              <w:rPr/>
            </w:pPr>
            <w:r>
              <w:rPr/>
              <w:t>213.58</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871" w:type="dxa"/>
            <w:tcBorders/>
            <w:shd w:fill="CCEEFF" w:val="clear"/>
            <w:tcMar>
              <w:bottom w:w="0" w:type="dxa"/>
            </w:tcMar>
            <w:vAlign w:val="center"/>
          </w:tcPr>
          <w:p>
            <w:pPr>
              <w:pStyle w:val="TableContents"/>
              <w:bidi w:val="0"/>
              <w:spacing w:before="0" w:after="283"/>
              <w:jc w:val="center"/>
              <w:rPr/>
            </w:pPr>
            <w:r>
              <w:rPr/>
              <w:t>December 31,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3" w:type="dxa"/>
            <w:tcBorders/>
            <w:shd w:fill="CCEEFF" w:val="clear"/>
            <w:tcMar>
              <w:bottom w:w="0" w:type="dxa"/>
            </w:tcMar>
            <w:vAlign w:val="center"/>
          </w:tcPr>
          <w:p>
            <w:pPr>
              <w:pStyle w:val="TableContents"/>
              <w:bidi w:val="0"/>
              <w:spacing w:before="0" w:after="283"/>
              <w:jc w:val="left"/>
              <w:rPr/>
            </w:pPr>
            <w:r>
              <w:rPr/>
              <w:t>$</w:t>
            </w:r>
          </w:p>
        </w:tc>
        <w:tc>
          <w:tcPr>
            <w:tcW w:w="3341" w:type="dxa"/>
            <w:tcBorders/>
            <w:shd w:fill="CCEEFF" w:val="clear"/>
            <w:tcMar>
              <w:bottom w:w="0" w:type="dxa"/>
            </w:tcMar>
            <w:vAlign w:val="center"/>
          </w:tcPr>
          <w:p>
            <w:pPr>
              <w:pStyle w:val="TableContents"/>
              <w:bidi w:val="0"/>
              <w:spacing w:before="0" w:after="283"/>
              <w:jc w:val="right"/>
              <w:rPr/>
            </w:pPr>
            <w:r>
              <w:rPr/>
              <w:t>74.42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left"/>
              <w:rPr/>
            </w:pPr>
            <w:r>
              <w:rPr/>
              <w:t>$</w:t>
            </w:r>
          </w:p>
        </w:tc>
        <w:tc>
          <w:tcPr>
            <w:tcW w:w="3364" w:type="dxa"/>
            <w:tcBorders/>
            <w:shd w:fill="CCEEFF" w:val="clear"/>
            <w:tcMar>
              <w:bottom w:w="0" w:type="dxa"/>
            </w:tcMar>
            <w:vAlign w:val="center"/>
          </w:tcPr>
          <w:p>
            <w:pPr>
              <w:pStyle w:val="TableContents"/>
              <w:bidi w:val="0"/>
              <w:spacing w:before="0" w:after="283"/>
              <w:jc w:val="right"/>
              <w:rPr/>
            </w:pPr>
            <w:r>
              <w:rPr/>
              <w:t>597.55</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871" w:type="dxa"/>
            <w:tcBorders/>
            <w:shd w:fill="FFFFFF" w:val="clear"/>
            <w:tcMar>
              <w:bottom w:w="0" w:type="dxa"/>
            </w:tcMar>
            <w:vAlign w:val="center"/>
          </w:tcPr>
          <w:p>
            <w:pPr>
              <w:pStyle w:val="TableContents"/>
              <w:bidi w:val="0"/>
              <w:spacing w:before="0" w:after="283"/>
              <w:jc w:val="center"/>
              <w:rPr/>
            </w:pPr>
            <w:r>
              <w:rPr/>
              <w:t>September 30,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3" w:type="dxa"/>
            <w:tcBorders/>
            <w:shd w:fill="FFFFFF" w:val="clear"/>
            <w:tcMar>
              <w:bottom w:w="0" w:type="dxa"/>
            </w:tcMar>
            <w:vAlign w:val="center"/>
          </w:tcPr>
          <w:p>
            <w:pPr>
              <w:pStyle w:val="TableContents"/>
              <w:bidi w:val="0"/>
              <w:spacing w:before="0" w:after="283"/>
              <w:jc w:val="left"/>
              <w:rPr/>
            </w:pPr>
            <w:r>
              <w:rPr/>
              <w:t>$</w:t>
            </w:r>
          </w:p>
        </w:tc>
        <w:tc>
          <w:tcPr>
            <w:tcW w:w="3341" w:type="dxa"/>
            <w:tcBorders/>
            <w:shd w:fill="FFFFFF" w:val="clear"/>
            <w:tcMar>
              <w:bottom w:w="0" w:type="dxa"/>
            </w:tcMar>
            <w:vAlign w:val="center"/>
          </w:tcPr>
          <w:p>
            <w:pPr>
              <w:pStyle w:val="TableContents"/>
              <w:bidi w:val="0"/>
              <w:spacing w:before="0" w:after="283"/>
              <w:jc w:val="right"/>
              <w:rPr/>
            </w:pPr>
            <w:r>
              <w:rPr/>
              <w:t>228.39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8" w:type="dxa"/>
            <w:tcBorders/>
            <w:shd w:fill="FFFFFF" w:val="clear"/>
            <w:tcMar>
              <w:bottom w:w="0" w:type="dxa"/>
            </w:tcMar>
            <w:vAlign w:val="center"/>
          </w:tcPr>
          <w:p>
            <w:pPr>
              <w:pStyle w:val="TableContents"/>
              <w:bidi w:val="0"/>
              <w:spacing w:before="0" w:after="283"/>
              <w:jc w:val="left"/>
              <w:rPr/>
            </w:pPr>
            <w:r>
              <w:rPr/>
              <w:t>$</w:t>
            </w:r>
          </w:p>
        </w:tc>
        <w:tc>
          <w:tcPr>
            <w:tcW w:w="3364" w:type="dxa"/>
            <w:tcBorders/>
            <w:shd w:fill="FFFFFF" w:val="clear"/>
            <w:tcMar>
              <w:bottom w:w="0" w:type="dxa"/>
            </w:tcMar>
            <w:vAlign w:val="center"/>
          </w:tcPr>
          <w:p>
            <w:pPr>
              <w:pStyle w:val="TableContents"/>
              <w:bidi w:val="0"/>
              <w:spacing w:before="0" w:after="283"/>
              <w:jc w:val="right"/>
              <w:rPr/>
            </w:pPr>
            <w:r>
              <w:rPr/>
              <w:t>448.76</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871" w:type="dxa"/>
            <w:tcBorders/>
            <w:shd w:fill="CCEEFF" w:val="clear"/>
            <w:tcMar>
              <w:bottom w:w="0" w:type="dxa"/>
            </w:tcMar>
            <w:vAlign w:val="center"/>
          </w:tcPr>
          <w:p>
            <w:pPr>
              <w:pStyle w:val="TableContents"/>
              <w:bidi w:val="0"/>
              <w:spacing w:before="0" w:after="283"/>
              <w:jc w:val="center"/>
              <w:rPr/>
            </w:pPr>
            <w:r>
              <w:rPr/>
              <w:t>June 30,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3" w:type="dxa"/>
            <w:tcBorders/>
            <w:shd w:fill="CCEEFF" w:val="clear"/>
            <w:tcMar>
              <w:bottom w:w="0" w:type="dxa"/>
            </w:tcMar>
            <w:vAlign w:val="center"/>
          </w:tcPr>
          <w:p>
            <w:pPr>
              <w:pStyle w:val="TableContents"/>
              <w:bidi w:val="0"/>
              <w:spacing w:before="0" w:after="283"/>
              <w:jc w:val="left"/>
              <w:rPr/>
            </w:pPr>
            <w:r>
              <w:rPr/>
              <w:t>$</w:t>
            </w:r>
          </w:p>
        </w:tc>
        <w:tc>
          <w:tcPr>
            <w:tcW w:w="3341" w:type="dxa"/>
            <w:tcBorders/>
            <w:shd w:fill="CCEEFF" w:val="clear"/>
            <w:tcMar>
              <w:bottom w:w="0" w:type="dxa"/>
            </w:tcMar>
            <w:vAlign w:val="center"/>
          </w:tcPr>
          <w:p>
            <w:pPr>
              <w:pStyle w:val="TableContents"/>
              <w:bidi w:val="0"/>
              <w:spacing w:before="0" w:after="283"/>
              <w:jc w:val="right"/>
              <w:rPr/>
            </w:pPr>
            <w:r>
              <w:rPr/>
              <w:t>311.98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left"/>
              <w:rPr/>
            </w:pPr>
            <w:r>
              <w:rPr/>
              <w:t>$</w:t>
            </w:r>
          </w:p>
        </w:tc>
        <w:tc>
          <w:tcPr>
            <w:tcW w:w="3364" w:type="dxa"/>
            <w:tcBorders/>
            <w:shd w:fill="CCEEFF" w:val="clear"/>
            <w:tcMar>
              <w:bottom w:w="0" w:type="dxa"/>
            </w:tcMar>
            <w:vAlign w:val="center"/>
          </w:tcPr>
          <w:p>
            <w:pPr>
              <w:pStyle w:val="TableContents"/>
              <w:bidi w:val="0"/>
              <w:spacing w:before="0" w:after="283"/>
              <w:jc w:val="right"/>
              <w:rPr/>
            </w:pPr>
            <w:r>
              <w:rPr/>
              <w:t>959.92</w:t>
            </w:r>
          </w:p>
        </w:tc>
        <w:tc>
          <w:tcPr>
            <w:tcW w:w="7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price of Parent Common Stock on June 3, 2026, the last trading day prior to the public announcement of the Transaction, was $1.06 per share, as reported on The Nasdaq Capital Market. Because the market price of Parent Common Stock is subject to fluctuation, the market value of the shares of Parent Common Stock that Selling Shareholders will be entitled to receive in the Transaction may increase or decrease.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19, 2026, there were eight registered holders of our common stock. This number does not include stockholders for whom shares were held in “nominee” or “street name.” For information regarding the beneficial ownership of some stockholders of Parent and Future NRG, see the section entitled “</w:t>
      </w:r>
      <w:r>
        <w:rPr>
          <w:rFonts w:ascii="Times New Roman;Times;Serif" w:hAnsi="Times New Roman;Times;Serif"/>
          <w:b w:val="false"/>
          <w:i/>
          <w:caps w:val="false"/>
          <w:smallCaps w:val="false"/>
          <w:sz w:val="20"/>
        </w:rPr>
        <w:t>Principal Stockholders of Parent</w:t>
      </w:r>
      <w:r>
        <w:rPr>
          <w:rFonts w:ascii="Times New Roman;Times;Serif" w:hAnsi="Times New Roman;Times;Serif"/>
          <w:b w:val="false"/>
          <w:i w:val="false"/>
          <w:caps w:val="false"/>
          <w:smallCaps w:val="false"/>
          <w:sz w:val="20"/>
        </w:rPr>
        <w:t>” of this proxy statement/prospectus.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ta_023"/>
      <w:bookmarkEnd w:id="26"/>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The combined company will be faced with a market environment that cannot be predicted and that involves significant risks, many of which will be beyond its control. In addition to the other information contained in this proxy statement/prospectus, you should carefully consider the material risks described below before deciding how to vote your shares of Parent Common Stock. In addition, you should read and consider the risks associated with the business of Bio Green Med Solution, Inc. because these risks may also affect the company following the Transaction—these risks can be found in Bio Green Med Solution, Inc.’s Annual Report on Form 10-K, as updated by subsequent Quarterly Reports on Form 10-Q, all of which are filed with the SEC. You should also read and consider the other information in this proxy statement/prospectus. Please see the section entitled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 w:name="ta_024"/>
      <w:bookmarkEnd w:id="27"/>
      <w:r>
        <w:rPr>
          <w:rFonts w:ascii="Times New Roman;Times;Serif" w:hAnsi="Times New Roman;Times;Serif"/>
          <w:b/>
          <w:i w:val="false"/>
          <w:caps w:val="false"/>
          <w:smallCaps w:val="false"/>
          <w:sz w:val="20"/>
        </w:rPr>
        <w:t>RISKS RELATED TO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Transaction will result in significant dilution to existing BGMS shareholders, who will collectively own approximately less than 1% of the outstanding shares of BGMS common stock following the closing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Transaction is structured as an acquisition of Future NRG by BGMS, it is effectively a change of control of BGMS through a reverse takeover, as the Selling Shareholders of Future NRG will hold a controlling interest in BGMS following the closing. Upon the closing of the acquisition of Future NRG by BGMS, the Selling Shareholders will receive shares of BGMS common stock representing more than 99% of the total outstanding shares of BGMS common stock, and existing BGMS shareholders will retain shares representing approximately less than 1% of the total outstanding shares of BGMS common stock. As a result, existing BGMS shareholders will experience immediate and substantial dilution of their ownership interest and voting power in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Transaction is structured as a reverse takeover, the Selling Shareholders of Future NRG will, collectively, control BGMS following the closing. This concentration of ownership means that existing BGMS shareholders will have minimal influence over corporate decisions, including the election of directors, approval of significant corporate transactions, amendments to BGMS’s certificate of incorporation or bylaws, and other matters requiring stockholder approval. The Selling Shareholders, by virtue of their more than 99% ownership of the outstanding BGMS common stock, will have the ability to determine the outcome of substantially all matters submitted to a vote of BGMS shareholders without the consent or cooperation of existing BGMS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significant disparity in post-Transaction ownership may adversely affect the market price of BGMS common stock. The issuance of a substantial number of shares of BGMS common stock to the Selling Shareholders in connection with the Transaction, or the perception that such issuance may occur, could depress the trading price of BGMS common stock. Existing BGMS shareholders who do not wish to remain invested following the Transaction may seek to sell their shares, and there can be no assurance that an active trading market will exist or that shares can be sold at prices acceptable to such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BGMS board of directors considered the significant dilution to existing BGMS stockholders that would result from the Transaction at multiple points during its deliberations, including at a March 25, 2026 board briefing, a June 2, 2026 board approval meeting, and in connection with its review of the Fairness Opinion. The board weighed this dilution against the strategic rationale for the Transaction, including the potential long-term value creation from Future NRG’s waste management operations and planned international expansion, the limited availability of alternative business combination candidates, and BGMS’s own limited operational scope and going-concern challenges.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BGMS shareholders should carefully consider that, following the Transaction, their economic and voting interests in BGMS will be reduced to approximately less than 1% of the outstanding common stock, and that the business, operations, and strategic direction of BGMS will be determined primarily by the Selling Shareholders. There can be no assurance that the post-Transaction business strategy, as determined by the new controlling shareholders, will result in an increase in the value of BGMS common stock or otherwise benefit existing BGMS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fairness opinion obtained by the BGMS board of directors from Strategic Capital Advisory was based on financial projections that may not be realized and on assumptions and methodologies that involve significant uncertainties.</w:t>
      </w:r>
    </w:p>
    <w:p>
      <w:pPr>
        <w:pStyle w:val="TextBody"/>
        <w:bidi w:val="0"/>
        <w:jc w:val="both"/>
        <w:rPr>
          <w:caps w:val="false"/>
          <w:smallCaps w:val="false"/>
        </w:rPr>
      </w:pPr>
      <w:r>
        <w:rPr>
          <w:caps w:val="false"/>
          <w:smallCaps w:val="false"/>
        </w:rPr>
        <w:t> </w:t>
      </w:r>
    </w:p>
    <w:p>
      <w:pPr>
        <w:pStyle w:val="TextBody"/>
        <w:bidi w:val="0"/>
        <w:jc w:val="both"/>
        <w:rPr/>
      </w:pPr>
      <w:r>
        <w:rPr/>
        <w:t>The Fairness Opinion rendered by Strategic Capital Advisory was based on the Discounted Free Cash Flow to Firm methodology, which relied on financial projections prepared by Future NRG management. These projections assume significant revenue growth from geographic expansion into countries where Future NRG has no current operations, including Vietnam, Thailand, and the Philippines. If these projections are not achieved, the actual value of Future NRG could be materially less than the $2.0 billion valuation on which the Transaction consideration was based. The BGMS board of directors did not obtain a separate, independent valuation of Future NRG. Stockholders should not place undue reliance on the Fairness Opinion or the financial projections on which it was based. See “The Transaction—Fairness Opinion of Strategic Capital Advisory Sdn. Bhd. of Future NRG Sdn. Bhd.” and Annex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complete the Transaction could harm the common stock price of Parent and future business and operations of each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Transaction is not completed, Parent and Future NRG are subject to the following risks:</w:t>
      </w:r>
    </w:p>
    <w:p>
      <w:pPr>
        <w:pStyle w:val="TextBody"/>
        <w:bidi w:val="0"/>
        <w:spacing w:before="0" w:after="0"/>
        <w:ind w:left="0" w:right="0" w:hanging="0"/>
        <w:jc w:val="both"/>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75"/>
        <w:gridCol w:w="170"/>
        <w:gridCol w:w="55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Parent Common Stock may decline and remain volatile;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to the Business Combination Agreement will have incurred significant expenses related to the Transaction, such as legal and accounting fees, many of which must be paid even if the Transaction is not completed;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Common Stock could be delisted from The Nasdaq Capital Market if it is unable to comply with the applicable Nasdaq listing requirements.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Business Combination Agreement is terminated and the board of directors of Parent or Future NRG determines to seek another business combination, there can be no assurance that either Parent or Future NRG will be able to find a partner willing to provide equivalent or more attractive consideration than the consideration to be provided by each party in the Transaction or any partner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conditions to the closing of the Transaction are not met, the Transaction may not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 Transaction and related issuance of the Exchange Shares are approved by the stockholders of Parent, specified conditions must be satisfied or waived to complete the Transaction. These conditions are set forth in the Business Combination Agreement and described in the section entitled “</w:t>
      </w:r>
      <w:r>
        <w:rPr>
          <w:rFonts w:ascii="Times New Roman;Times;Serif" w:hAnsi="Times New Roman;Times;Serif"/>
          <w:b w:val="false"/>
          <w:i/>
          <w:caps w:val="false"/>
          <w:smallCaps w:val="false"/>
          <w:sz w:val="20"/>
        </w:rPr>
        <w:t>The Business Combination Agreement—Conditions to the Completion of the Transaction</w:t>
      </w:r>
      <w:r>
        <w:rPr>
          <w:rFonts w:ascii="Times New Roman;Times;Serif" w:hAnsi="Times New Roman;Times;Serif"/>
          <w:b w:val="false"/>
          <w:i w:val="false"/>
          <w:caps w:val="false"/>
          <w:smallCaps w:val="false"/>
          <w:sz w:val="20"/>
        </w:rPr>
        <w:t>” in this proxy statement/prospectus. Parent and Future NRG cannot assure you that all of the conditions will be satisfied or waived. If the conditions are not satisfied or waived, the Transaction may not occur or will be delayed, and Parent and Future NRG each may lose some or all the intended benefits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Transaction may be completed even though material adverse changes may result from the announcement of the Transaction, industry-wide changes and other causes.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either Parent or Future NRG can refuse to complete the Transaction if there is a material adverse change affecting Parent or the Company between June 4, 2026, the date of the Business Combination Agreement, and the closing of the Transaction. However, certain types of changes do not permit either party to refuse to complete the Transaction, even if such change could be said to have a material adverse effect on Parent or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adverse change, event, development or effect arising from or relating to any of the following shall not be taken into account in determining whether there has been a Material Adverse Effect:</w:t>
      </w:r>
    </w:p>
    <w:p>
      <w:pPr>
        <w:pStyle w:val="TextBody"/>
        <w:bidi w:val="0"/>
        <w:spacing w:before="0" w:after="0"/>
        <w:ind w:left="0" w:right="0" w:hanging="0"/>
        <w:jc w:val="both"/>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60"/>
        <w:gridCol w:w="230"/>
        <w:gridCol w:w="336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3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business or economic conditions,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9"/>
        <w:gridCol w:w="9946"/>
      </w:tblGrid>
      <w:tr>
        <w:trPr/>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national or international political or social conditions, including the engagement by the United States or Malaysia in hostilities, whether or not pursuant to the declaration of a national emergency or war, or the occurrence of any military or terrorist attack upon the United States or Malaysia, respectively, or any of its territories, possessions, or diplomatic or consular offices or upon any military installation, equipment or personnel of the United States or Malaysia, respectively,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2"/>
        <w:gridCol w:w="9923"/>
      </w:tblGrid>
      <w:tr>
        <w:trPr/>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banking, or securities markets (including any disruption thereof and any decline in the price of any security or any market index),</w:t>
            </w:r>
          </w:p>
        </w:tc>
      </w:tr>
    </w:tbl>
    <w:p>
      <w:pPr>
        <w:pStyle w:val="TextBody"/>
        <w:bidi w:val="0"/>
        <w:spacing w:before="0" w:after="0"/>
        <w:ind w:left="720" w:right="0" w:hanging="360"/>
        <w:jc w:val="both"/>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60"/>
        <w:gridCol w:w="245"/>
        <w:gridCol w:w="243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24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US GAAP or IFRS,</w:t>
            </w:r>
          </w:p>
        </w:tc>
      </w:tr>
    </w:tbl>
    <w:p>
      <w:pPr>
        <w:pStyle w:val="TextBody"/>
        <w:bidi w:val="0"/>
        <w:spacing w:before="0" w:after="0"/>
        <w:ind w:left="720" w:right="0" w:hanging="360"/>
        <w:jc w:val="both"/>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60"/>
        <w:gridCol w:w="230"/>
        <w:gridCol w:w="878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8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laws, rules, regulations, orders, or other binding directives issued by any Governmental Entity, or</w:t>
            </w:r>
          </w:p>
        </w:tc>
      </w:tr>
    </w:tbl>
    <w:p>
      <w:pPr>
        <w:pStyle w:val="TextBody"/>
        <w:bidi w:val="0"/>
        <w:spacing w:before="0" w:after="0"/>
        <w:ind w:left="720" w:right="0" w:hanging="360"/>
        <w:jc w:val="both"/>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60"/>
        <w:gridCol w:w="200"/>
        <w:gridCol w:w="992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taking of any action required by the Business Combination Agreement and the other agreements contemplated hereby.</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adverse changes occur and Parent and Future NRG still complete the Transaction, the stock price of BGMS following the closing of the Transaction may suffer. This in turn may reduce the value of the Transaction to the stockholders of Parent, Future NRG or both.</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Some executive officers and directors of Parent and Future NRG have interests in the Transaction that are different from yours and that may influence them to support or approve the Transaction without regard to your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officers and directors of Parent and Future NRG are parties to arrangements that provide them with interests in the Transaction that are different from yours, including, among others, service as an officer or director of the Company following the closing of the Transaction, severance and retention benefits, the acceleration of equity award vesting, and continued indemnification. For more information regarding the interests of the Parent and Future NRG executive officers and directors in the Transaction, see the sections entitled “</w:t>
      </w:r>
      <w:r>
        <w:rPr>
          <w:rFonts w:ascii="Times New Roman;Times;Serif" w:hAnsi="Times New Roman;Times;Serif"/>
          <w:b w:val="false"/>
          <w:i/>
          <w:caps w:val="false"/>
          <w:smallCaps w:val="false"/>
          <w:sz w:val="20"/>
        </w:rPr>
        <w:t>The Transaction—Interests of the Directors and Executive Officers of Parent in the Transaction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The Transaction—Interests of the Directors and Executive Officers of Future NRG in the Transaction</w:t>
      </w:r>
      <w:r>
        <w:rPr>
          <w:rFonts w:ascii="Times New Roman;Times;Serif" w:hAnsi="Times New Roman;Times;Serif"/>
          <w:b w:val="false"/>
          <w:i w:val="false"/>
          <w:caps w:val="false"/>
          <w:smallCaps w:val="false"/>
          <w:sz w:val="20"/>
        </w:rPr>
        <w:t>” of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Parent Common Stock following the Transaction may decline as a result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Parent Common Stock may decline as a result of the Transaction for a number of reasons, including if: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react negatively to the prospects of the combined company’s business and prospects following the Closing of the Transaction;</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the Transaction on the combined company’s business and prospects following the Closing of the Transaction is not consistent with the expectations of financial or industry analysts; or</w:t>
            </w:r>
          </w:p>
        </w:tc>
      </w:tr>
    </w:tbl>
    <w:p>
      <w:pPr>
        <w:pStyle w:val="TextBody"/>
        <w:bidi w:val="0"/>
        <w:spacing w:before="0" w:after="0"/>
        <w:ind w:left="0" w:right="0" w:firstLine="1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 does not achieve the perceived benefits of the Transaction as rapidly or to the extent anticipated by stockholders or financial or industry analysts.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Parent stockholders will have a reduced ownership and voting interest in, and will exercise less influence over the management of, the combined company following the Closing of the Transaction as compared to their current ownership and voting interest in the respective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completion of the Transaction, the current stockholders of Parent will own a smaller percentage of BGMS than the ownership in their respective companies prior to the Transaction. Immediately after the Transaction, it is currently estimated that Selling Shareholders will own approximately more than 99.0% of the common stock of Parent, with Parent stockholders, whose shares of Parent Common Stock will remain outstanding after the Transaction, will own approximately less than 1.0% of the common stock of Parent, calculated on a pro forma basis including after giving effect to the Transaction. These estimates are based on the anticipated number of Transaction Consideration Shares and are subject to adjustment as provided in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five member board of directors of the combined company will initially consist of four of the current directors of Parent and, following the resignation of Mr. Kiu (Conner) Cu Seng, but who will continue to serve BGMS as its Chief Financial Officer, and Mr. Pun Kah Weng (a representative of Future NRG) will be appointed to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post-Transaction board of directors of Future NRG Sdn. Bhd. will consist of Mr Pun Kah Weng. Consequently, continuity of the management and policies of Future NRG will exist as a subsidiary of the combined company following the Closing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provisions of the Business Combination Agreement may discourage third parties from submitting competing proposals, including proposals that may be superior to the arrangements contemplated by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Business Combination Agreement prohibit each of Parent and Future NRG from soliciting competing proposals or cooperating with persons making unsolicited takeover proposals, except in limited circumstances when such party’s board of directors determines in good faith, after consultation with its independent financial advisor, if any, and outside counsel, that an unsolicited competing proposal constitutes, or would reasonably be expected to result in, a superior competing proposal and that failure to take such action would be reasonably likely to result in a breach of the fiduciary duties of the board of directors. In addition, if Parent or Future NRG terminate the Business Combination Agreement under specified circumstances, the Parties will still be obligated to pay expenses related to the Transaction, which may discourage third parties from submitting competing proposals to Parent or Future NRG or their stockholders, and may cause the respective boards of directors to be less inclined to recommend a competing proposal.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the lack of a public market for Future NRG capital shares makes it difficult to evaluate the fairness of the Transaction, Selling Shareholders may receive consideration in the Transaction that is greater than the fair market value of Future NRG’s capital shares and thus, Parent may pay more than the fair market value of Future NRG’s capital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capital shares of Future NRG is privately held. The lack of a public market for the capital shares of Future NRG makes it extremely difficult to determine its fair market value. Because the percentage of Parent equity to be issued to Selling Shareholders as consideration for 100% of the capital shares of Future NRG was determined based on negotiations between the Parties, it is possible that the value of Parent Common Stock to be received by Selling Shareholders will be greater than the fair market value of the capital shares of Future NRG, or Parent may pay more than the aggregate fair market value for Future NRG capital shares. To mitigate this risk, the parties procured the Fairness Opinion of Strategic Capital Advisory, as discussed throughout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Fairness Opinion relied on by the BGMS board of directors assumes that Future NRG will achieve substantial market share in Vietnam, Thailand and the Philippines by December 31, 2029, even though Future NRG currently operates only in Malaysia, and Future NRG may not achieve this unprecedented growth within the assumed timeframe or with the capital currently available to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Fairness Opinion, Strategic Capital Advisory relied on financial projections prepared by Future NRG’s management assuming that, by December 31, 2029, Future NRG will have acquired a market share of 10% each in Malaysia and Vietnam and 30% each in Thailand and the Philippines. However, Future NRG currently conducts its clinical and medical waste management business exclusively in Malaysia and has no operations, licenses, facilities, or historical revenue in Vietnam, Thailand, or the Philippines. Achieving the market share levels assumed in the Fairness Opinion would require Future NRG to establish, from scratch, new treatment facilities, obtain new regulatory approvals and licenses, build new customer relationships, and compete successfully against established local operators in each of these jurisdictions, all within less than four years of the anticipated Closing of the Transaction. Future NRG has no history of expanding its operations into a new country, and this planned expansion into three new countries within this timeframe would be unprecedented for Future NRG.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NRG’s management has represented that the estimated cost of constructing and commercializing each new treatment plant is approximately USD4.8 million, which would require Future NRG, either alone or together with the combined company, to raise significant additional capital that neither Future NRG nor BGMS currently possesses. Future NRG’s cash balance was only USD27,109 as of June 30, 2026, and BGMS itself has faced substantial doubt about its own ability to continue as a going concern and has limited unrestricted cash. There can be no assurance that Future NRG or the combined company will be able to raise the capital necessary to fund this expansion on acceptable terms, or at all. If Future NRG fails to achieve the market share or timing assumptions underlying the Fairness Opinion, the valuation on which the Fairness Opinion and the Purchase Consideration were based may not have reflected the fair value of Future NRG, and BGMS stockholders may have approved the issuance of Parent Common Stock in exchange for a business worth substantially less than the value implied by the Fairness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NRG was identified as a potential acquisition target through the existing relationships and professional network of BGMS’ management team rather than through a competitive process or broad solicitation specific to Future NRG, which may have limited BGMS’ ability to evaluate alternative transactions or negotiate optimal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was identified as a potential acquisition target through the existing relationships and professional network of BGMS’ management team rather than through a competitive process or broad solicitation. BGMS management’s familiarity with Future NRG originated when Mr. Hoo Swee Guan was appointed to the board of directors of Fitters Diversified Berhad (“Fitters”) on November 26, 2021, at which time Future NRG was a wholly-owned subsidiary of Fitters. Although BGMS management, with the assistance of its financial advisor, ARC Group International Limited, conducted a market survey from approximately January 2026 through February 2026 during which it held discussions with several other potential business combination candidates, those discussions did not advance beyond introductory meetings and preliminary due diligence, and no other potential target company besides Future NRG was presented to or evaluated by the BGMS board of directors in connection with the Transaction. Accordingly, while BGMS held discussions with multiple companies during its broader search for a business combination candidate, the selection of Future NRG specifically resulted from this pre-existing relationship rather than from a competitive bidding process or auction involving Future NRG.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Future NRG was not evaluated against competing bids for Future NRG specifically, BGMS cannot be certain that the terms of the Transaction, including the Purchase Consideration, are as favorable to BGMS stockholders as could have been obtained had BGMS conducted a broader competitive process specifically with respect to Future NRG. The absence of a competitive process specific to Future NRG also increases the risk that the negotiated terms reflect factors other than arm’s-length market forces, and BGMS stockholders should consider this factor, together with the interests of BGMS’ and Future NRG’s directors and officers described elsewhere in this proxy statement/prospectus, in evaluating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50% start-up valuation discount applied in the Fairness Opinion may be insufficient to account for the risks associated with Future NRG’s complete lack of operational history in Vietnam, Thailand, and the Philippines.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Fairness Opinion prepared by Strategic Capital Advisory applied a 50% “start-up” valuation discount to account for what the Fairness Opinion describes as the “extreme lack of operational history” of Future NRG in Vietnam, Thailand, and the Philippines. Future NRG currently has zero operational footprint, zero existing revenue-generating assets, no regulatory licenses, no treatment facilities, no customer contracts, and no employees in any of Vietnam, Thailand, or the Philippines. Despite this complete absence of operations, the financial projections underlying the Fairness Opinion assume that Future NRG will achieve a 10% market share in Vietnam and a 30% market share in each of Thailand and the Philippines by December 31, 2029—less than four years from the anticipated Closing.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50% start-up discount was applied to projected cash flows that themselves assume successful entry into, and rapid market penetration of, three countries in which Future NRG has never operated. The discount therefore does not eliminate the risk inherent in those projections; rather, it reduces projected cash flows by half while still assuming that Future NRG will, in fact, achieve substantial market share in all three countries within the projected timeframe. If Future NRG is unable to enter one or more of these markets, or enters them but fails to achieve the assumed market share levels within the assumed timeframe, the actual value of Future NRG could be materially less than the discounted valuation on which the Fairness Opinion and the $2.0 billion Purchase Consideration were based, even after giving effect to the 50% discount.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appropriateness of a 50% discount itself is subject to uncertainty. The academic literature on venture capital and start-up discount rates cited by Strategic Capital Advisory reports expected rates of return ranging from 50% to 100% for seed-stage and early-stage companies, and these discount rates reflect the high failure rates of early-stage enterprises. Although Strategic Capital Advisory selected a 50% discount within this range, there can be no assurance that a 50% discount adequately compensates for the risks of entering three new countries simultaneously with no existing infrastructure, regulatory approvals, or operating history in any of them. A higher discount rate would have resulted in a lower implied valuation for Future NRG, which in turn would have reduced the number of Exchange Shares issuable to the Selling Shareholders and the resulting dilution to existing BGMS stockholders.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should consider that the $2.0 billion valuation, even after the application of the 50% start-up discount, ascribes substantial value to Future NRG’s planned operations in countries where it has no current presence, and that the ultimate realization of that value depends on Future NRG’s ability to overcome significant execution, regulatory, financing, and competitive risks in each of those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Lawsuits may be filed against BGMS, Future NRG, the Selling Shareholders, or their respective directors and officers in connection with the Transaction, and an adverse judgment in such lawsuits could result in substantial costs and delay or prevent the Transaction from being completed.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class action lawsuits and derivative lawsuits are often brought against public companies that have entered into business combination agreements. Even if the lawsuits are without merit, defending against these claims can result in substantial costs, divert management’s time and attention from the operation of the business, and adversely affect the combined company’s business, financial condition, and results of operations. An adverse judgment could result in monetary damages, which could have a negative impact on the combined company’s liquidity and financial condition. Additionally, if a plaintiff is successful in obtaining an injunction prohibiting consummation of the Transaction, then that injunction may delay or prevent the Transaction from being completed, which may adversely affect the business, financial position, and results of operations of BGMS and Future NRG.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 w:name="ta_025"/>
      <w:bookmarkEnd w:id="28"/>
      <w:r>
        <w:rPr>
          <w:rFonts w:ascii="Times New Roman;Times;Serif" w:hAnsi="Times New Roman;Times;Serif"/>
          <w:b/>
          <w:i w:val="false"/>
          <w:caps w:val="false"/>
          <w:smallCaps w:val="false"/>
          <w:sz w:val="20"/>
        </w:rPr>
        <w:t>RISKS RELATED TO BIO GREEN MED 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the context requires otherwise, references in the following “Risks Related to Parent” in this proxy statement/prospectus to “BGMS,” “Parent” “we,” “us” and “our” are to Bio Green Med Solution, Inc., a Delaware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activities to evaluate and pursue strategic alternatives may not be 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ARC Group Limited, as a financial advisor to assist us in pursuing strategic alternatives, and on June 4, 2026, we announced that we had entered into the Business Combination Agreement. We continue to evaluate additional strategic alternatives in order to enhance stockholder value, and we have suspended many of our research and development activities to reduce operating expenses while we evaluate and pursue these opportunities. We have and expect to continue to devote significant time and resources to identifying and evaluating strategic alternatives, including the Transaction; however, there can be no assurance that the Transaction or other such activities will enhance stockholder value. In addition, potential strategic transactions that require stockholder approval, such as the Transaction and the related matters stockholders are being asked to approve in this proxy statement/prospectus, may not be approved by our stockholders. Further, any strategic transaction that is completed ultimately may not deliver the anticipated benefits or enhance stockholder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proposed Transaction is expected to contribute positively to the future earnings of Parent, there can be no assurance that the anticipated benefits from the proposed Transaction will be realized or that Parent will be able to generate sufficient returns from the earnings of Future NRG to offset the associated cost of acquisition incurred. In addition, any decline in economic conditions and/or change in government policies may affect the potential benefits to be derived from the proposed Transaction and the duration required for BGMS to recoup its investment. Nevertheless, the management of BGMS and the Board have exercised due care in considering the potential risks and benefits associated with the proposed Transaction and believes that the Transaction will be earnings accretive to the Parent. Any strategic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pStyle w:val="TextBody"/>
        <w:bidi w:val="0"/>
        <w:spacing w:before="0" w:after="0"/>
        <w:ind w:left="0" w:right="0" w:hanging="0"/>
        <w:jc w:val="both"/>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38"/>
        <w:gridCol w:w="17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exposure to unknown liabilities;</w:t>
            </w:r>
          </w:p>
        </w:tc>
      </w:tr>
    </w:tbl>
    <w:p>
      <w:pPr>
        <w:pStyle w:val="TextBody"/>
        <w:bidi w:val="0"/>
        <w:spacing w:before="0" w:after="0"/>
        <w:ind w:left="720" w:right="0" w:hanging="360"/>
        <w:jc w:val="both"/>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170"/>
        <w:gridCol w:w="7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incurrence of substantial debt or dilutive issuances of equity securities to pay for acquisitions;</w:t>
            </w:r>
          </w:p>
        </w:tc>
      </w:tr>
    </w:tbl>
    <w:p>
      <w:pPr>
        <w:pStyle w:val="TextBody"/>
        <w:bidi w:val="0"/>
        <w:spacing w:before="0" w:after="0"/>
        <w:ind w:left="720" w:right="0" w:hanging="360"/>
        <w:jc w:val="both"/>
        <w:rPr>
          <w:caps w:val="false"/>
          <w:smallCaps w:val="false"/>
        </w:rPr>
      </w:pPr>
      <w:r>
        <w:rPr>
          <w:caps w:val="false"/>
          <w:smallCaps w:val="false"/>
        </w:rPr>
        <w:t> </w:t>
      </w:r>
    </w:p>
    <w:tbl>
      <w:tblPr>
        <w:tblW w:w="4713" w:type="dxa"/>
        <w:jc w:val="left"/>
        <w:tblInd w:w="0" w:type="dxa"/>
        <w:tblLayout w:type="fixed"/>
        <w:tblCellMar>
          <w:top w:w="0" w:type="dxa"/>
          <w:left w:w="0" w:type="dxa"/>
          <w:bottom w:w="0" w:type="dxa"/>
          <w:right w:w="0" w:type="dxa"/>
        </w:tblCellMar>
      </w:tblPr>
      <w:tblGrid>
        <w:gridCol w:w="38"/>
        <w:gridCol w:w="170"/>
        <w:gridCol w:w="4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than expected acquisition and integration costs;</w:t>
            </w:r>
          </w:p>
        </w:tc>
      </w:tr>
    </w:tbl>
    <w:p>
      <w:pPr>
        <w:pStyle w:val="TextBody"/>
        <w:bidi w:val="0"/>
        <w:spacing w:before="0" w:after="0"/>
        <w:ind w:left="72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833" w:type="dxa"/>
        <w:jc w:val="left"/>
        <w:tblInd w:w="0" w:type="dxa"/>
        <w:tblLayout w:type="fixed"/>
        <w:tblCellMar>
          <w:top w:w="0" w:type="dxa"/>
          <w:left w:w="0" w:type="dxa"/>
          <w:bottom w:w="0" w:type="dxa"/>
          <w:right w:w="0" w:type="dxa"/>
        </w:tblCellMar>
      </w:tblPr>
      <w:tblGrid>
        <w:gridCol w:w="38"/>
        <w:gridCol w:w="170"/>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write downs of assets or goodwill or impairment charges;</w:t>
            </w:r>
          </w:p>
        </w:tc>
      </w:tr>
    </w:tbl>
    <w:p>
      <w:pPr>
        <w:pStyle w:val="TextBody"/>
        <w:bidi w:val="0"/>
        <w:spacing w:before="0" w:after="0"/>
        <w:ind w:left="720" w:right="0" w:hanging="360"/>
        <w:jc w:val="both"/>
        <w:rPr>
          <w:caps w:val="false"/>
          <w:smallCaps w:val="false"/>
        </w:rPr>
      </w:pPr>
      <w:r>
        <w:rPr>
          <w:caps w:val="false"/>
          <w:smallCaps w:val="false"/>
        </w:rPr>
        <w:t> </w:t>
      </w:r>
    </w:p>
    <w:tbl>
      <w:tblPr>
        <w:tblW w:w="2928" w:type="dxa"/>
        <w:jc w:val="left"/>
        <w:tblInd w:w="0" w:type="dxa"/>
        <w:tblLayout w:type="fixed"/>
        <w:tblCellMar>
          <w:top w:w="0" w:type="dxa"/>
          <w:left w:w="0" w:type="dxa"/>
          <w:bottom w:w="0" w:type="dxa"/>
          <w:right w:w="0" w:type="dxa"/>
        </w:tblCellMar>
      </w:tblPr>
      <w:tblGrid>
        <w:gridCol w:w="38"/>
        <w:gridCol w:w="170"/>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amortization expenses;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and cost in combining the operations and personnel of any acquired businesses with our operations and personnel;</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relationships with key suppliers or customers of any acquired businesses due to changes in management and ownership;</w:t>
            </w:r>
          </w:p>
        </w:tc>
      </w:tr>
    </w:tbl>
    <w:p>
      <w:pPr>
        <w:pStyle w:val="TextBody"/>
        <w:bidi w:val="0"/>
        <w:spacing w:before="0" w:after="0"/>
        <w:ind w:left="720" w:right="0" w:hanging="360"/>
        <w:jc w:val="both"/>
        <w:rPr>
          <w:caps w:val="false"/>
          <w:smallCaps w:val="false"/>
        </w:rPr>
      </w:pPr>
      <w:r>
        <w:rPr>
          <w:caps w:val="false"/>
          <w:smallCaps w:val="false"/>
        </w:rPr>
        <w:t> </w:t>
      </w:r>
    </w:p>
    <w:tbl>
      <w:tblPr>
        <w:tblW w:w="2703" w:type="dxa"/>
        <w:jc w:val="left"/>
        <w:tblInd w:w="0" w:type="dxa"/>
        <w:tblLayout w:type="fixed"/>
        <w:tblCellMar>
          <w:top w:w="0" w:type="dxa"/>
          <w:left w:w="0" w:type="dxa"/>
          <w:bottom w:w="0" w:type="dxa"/>
          <w:right w:w="0" w:type="dxa"/>
        </w:tblCellMar>
      </w:tblPr>
      <w:tblGrid>
        <w:gridCol w:w="38"/>
        <w:gridCol w:w="170"/>
        <w:gridCol w:w="2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sell assets; and</w:t>
            </w:r>
          </w:p>
        </w:tc>
      </w:tr>
    </w:tbl>
    <w:p>
      <w:pPr>
        <w:pStyle w:val="TextBody"/>
        <w:bidi w:val="0"/>
        <w:spacing w:before="0" w:after="0"/>
        <w:ind w:left="720" w:right="0" w:hanging="360"/>
        <w:jc w:val="both"/>
        <w:rPr>
          <w:caps w:val="false"/>
          <w:smallCaps w:val="false"/>
        </w:rPr>
      </w:pPr>
      <w:r>
        <w:rPr>
          <w:caps w:val="false"/>
          <w:smallCaps w:val="false"/>
        </w:rPr>
        <w:t> </w:t>
      </w:r>
    </w:p>
    <w:tbl>
      <w:tblPr>
        <w:tblW w:w="6798" w:type="dxa"/>
        <w:jc w:val="left"/>
        <w:tblInd w:w="0" w:type="dxa"/>
        <w:tblLayout w:type="fixed"/>
        <w:tblCellMar>
          <w:top w:w="0" w:type="dxa"/>
          <w:left w:w="0" w:type="dxa"/>
          <w:bottom w:w="0" w:type="dxa"/>
          <w:right w:w="0" w:type="dxa"/>
        </w:tblCellMar>
      </w:tblPr>
      <w:tblGrid>
        <w:gridCol w:w="38"/>
        <w:gridCol w:w="170"/>
        <w:gridCol w:w="6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retain key employees of our company or any acquired businesses.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although there can be no assurance that we will undertake or successfully complete any strategic transactions of the nature described above. Any transactions that we complete may be subject to the foregoing or other risks and could have a material adverse effect on our business,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demand for our products is impacted by a number of factors outside of our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fire safety division now incorporates our wholly-owned subsidiary, Fitters Sdn. Bhd. a Malaysia headquartered company that conducts its business in the Malaysian market. Fitters imports fire safety and protective equipment from international suppliers, including Tyco Fire &amp; Building Products Asia Pte Ltd (an affiliate of Johnson Controls International plc), and supplies, trades, and installs that equipment for customers located in Malaysia. Established in 1982, the Company has built a strong presence in the industry, providing a wide range of fire safety products, including fire equipment, foam system, fire resistant doors, personal protective equipment (“PPE”) and fire safety apparel. Our end markets experience constantly changing demand depending on a number of factors that are out of our control. The demand for our fire protection equipment is driven by the market for our products, which is characterized by rapid technological change, frequent new product introductions and enhancements, uncertain product life cycles, changing customer demands and evolving industry standards, any of which can render existing products obsolete. We believe that our future success will depend in large part on our ability to offer new and effective products in a timely manner and on a cost-effective basis. As a result of the complexities inherent in our products, major new products and product enhancements can require long development and testing periods, which may result in significant delays in the general availability of new releases or significant problems in the implementation of new releases. In addition, if we or our competitors announce or introduce new products our current or future customers may defer or cancel purchases of our products, which could materially adversely affect our business, operating results and financial condition. Our failure to offer, successfully and on a timely and cost-effective basis, new products or new product enhancements that respond to technological change, evolving industry standards or customer requirements, would have a material adverse effect on our business, operating results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performance is tied to customer demand for fire suppression equipment and materials, the decrease of which could adversely affect our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recognizes revenue from, among other things, trading and installation of fire safety materials and equipment. The demand for our fire protection equipment is driven by rapid industrialization, urbanization, and increasing safety awareness. In the December 31, 2025 financial year, our top four customers collectively accounted for 55% of the Company’s total sales, with individual contributions of approximately 36%, 7%, 6%, and 6%, respectively. Accordingly, Fitters relies on a limited number of customers from whom it generates most of its revenue. Dependence on a few customers could make it difficult to negotiate attractive prices for our products and could expose us to the risk of substantial losses if a single dominant customer stops purchasing our products. We have not entered into long-term supply contracts with either of these major customers. Therefore, there can be no assurance that we will maintain or improve our relationships with our major customers, or that we will be able to continue to supply these customers at current levels or at all. If we cannot maintain long-term relationships with these major customers, the loss of sales could have an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any of our customers fail to pay us, our profit and cash flow may be affected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our customers are slow in their payment process, their delayed payments may adversely affect our cash flow and our ability to fund our operations out of our operating cash flow. In addition, although we attempt to establish appropriate reserves for our receivables, those reserves may not prove to be adequate in view of actual levels of bad debts. The failure of our customers to pay us in a timely manner could negatively affect our working capital, which could in turn adversely affect our cash flow. Although no customer has failed to pay us even though their payments were delayed, there is no assurance that they will be able to pay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substantially dependent upon our senior management and key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highly dependent on our senior management to manage our business and operations. We also depend on our key personnel for the sales and marketing of our products. We do not maintain key man life insurance on any of our senior management or key personnel. The loss of any one of them would have a material adverse effect on our business and operations. Competition for senior management and our other key personnel is intense and the pool of suitable candidates is limited. We may be unable to locate a suitable replacement for any senior management or key personnel that we lose. In addition, if any member of our senior management or key personnel joins a competitor or forms a competing company, they may compete with us for customers, business partners and other key professionals and staff members of our company. Although each of our senior management and key personnel has signed a confidentiality and non-competition agreement in connection with his employment with us, we cannot assure you that we will be able to successfully enforce these provisions in the event of a dispute between us and any member of our senior management or key personnel.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for qualified personnel with other fire products businesses. Intense competition for these personnel could cause our compensation costs to increase, which could have a material adverse effect on our results of operations. Our future success and ability to grow our business will depend in part on the continued service of these individuals and our ability to identify, hire and retain additional qualified personnel. If we are unable to attract and retain qualified employees, we may be unable to meet our business and financial goals.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pay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our operations will result in sufficient revenues to enable us to operate at profitable levels or to generate positive cash flows. Furthermore, there is no assurance our Board of Directors will declare dividends even if we remain profitable. Dividend policy is subject to the discretion of our Board of Directors and will depend on, among other things, our earnings, financial condition, capital requirements and other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carry business interruption insurance so we could incur unrecoverable losses if our business is interrupted.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risks inherent to our business, including equipment failure, theft, natural disasters, labor disturbances, business interruptions, property damage, and product liability. We do not carry any business interruption insurance or third-party liability insurance or other insurance to cover risks associated with our business. As a result, if we suffer losses, damages or liabilities, including those caused by natural disasters or other events beyond our control and we are unable to make a claim against a third party, we will be required to bear all such losses from our own funds, which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to raise additional capital to grow our business and satisfy our anticipated future liquidity needs, and we may not be able to raise it on terms acceptable to us,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Growing and operating our business will require significant cash outlays, liquidity reserves and capital expenditures and commitments to respond to business challenges, including developing or enhancing new or existing products. As of December 31, 2025, we had cash on hand of $3.5 million and $3.8 million as of June 30, 2026. If cash on hand and cash generated from operations are not sufficient to meet our cash and liquidity needs, we may need to seek additional capital, potentially through debt or equity financing. To the extent that we raise additional capital through the sale of additional equity or convertible securities, your ownership interest may be diluted, and the terms of these securities may include liquidation or other preferences that adversely affect your rights as a stockholder. Debt financing, if available, would result in increased fixed payment obligations and a portion of our operating cash flows, if any, being dedicated to the payment of principal and interest on such indebtedness. In addition, debt financing may involve agreements that include restrictive covenants that impose operating restrictions, such as restrictions on the incurrence of additional debt, the making of certain capital expenditures or the declaration of dividends. Any additional fundraising efforts may divert our management from their day-to-day activities, which may adversely affect our ability to develop and commercialize our products. Even if we believe we have sufficient funds for our current or future operating plans, we may seek additional capital if market conditions are favorable or considering specific strategic considerations. If we are unable to obtain funding on a timely basis, we may be required to significantly curtail, delay or discontinue one or more of our operations or otherwise capitalize on our business opportunities, as desired, which could materially affect our business, operating results and prospects and cause the price of the common stock to decline.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risks from changes to trade policies, tariffs and import/export regulations by the U.S. and/or other foreign governments.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import policies, including trade restrictions, new or increased tariffs or quotas, embargoes, sanctions and counter sanctions, safeguards or customs restrictions by Malaysia, the U.S. or other foreign governments, could require us to change the way we conduct business and adversely affect our financial condition, results of operations, reputation and our relationships with customers and suppliers. Fitters imports substantially all of the fire safety equipment and components that it distributes, installs, and services from international suppliers, including suppliers located in the United States, Singapore, and elsewhere, for sale to customers located in Malaysia. Fitters does not currently generate material export sales to constitute a significant portion of our revenue. Both our sales from international operations and export sales and its business is not conducted through operations located outside of Malaysia. Because our business depends on our ability to import products from these international suppliers, our import activities are subject in varying degrees to the following risks:</w:t>
      </w:r>
    </w:p>
    <w:p>
      <w:pPr>
        <w:pStyle w:val="TextBody"/>
        <w:bidi w:val="0"/>
        <w:spacing w:before="0" w:after="0"/>
        <w:ind w:left="0" w:right="0" w:firstLine="360"/>
        <w:jc w:val="both"/>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75"/>
        <w:gridCol w:w="170"/>
        <w:gridCol w:w="70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possibility of unfavorable circumstances arising from host country laws or regulations;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exchange rate fluctuations and restrictions on currency repatriation;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negative consequences from changes to taxation policies;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 of operations from labor and political disturbances;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tariff and trade barriers and import and export licensing requirements;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insurrection or war.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or taxation of, imports under applicable Malaysian or foreign law, currency exchange regulations, or changes in trade policies of the countries in which our suppliers are located could increase the cost of, or restrict our ability to import, the fire safety equipment and components we purchase from our international suppliers for distribution in Malaysia. Because we source products from suppliers located outside of Malaysia, our business is subject to additional uncertainties beyond those we face purely as a domestic Malaysian distributor, including the possibility that foreign governments may impose or increase export restrictions, tariffs or other restrictions affecting our suppliers, or that geopolitical instability in the countries where our suppliers are located may disrupt our supply chain. We cannot predict the impact such future, largely unforeseeable events might have on our business, financial condition, results of operations and cash flow.</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profitability could be negatively impacted by price and inventory risk related to our business, including commodity price exposure.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realized margins depend on the differential of sales prices over our total supply costs. Our profitability is therefore sensitive to changes in product prices caused by changes in supply, transportation and storage capacity or other market conditions. Market, weather or other conditions beyond our control may disrupt our expected supply of product, and we may be required to obtain supply at increased prices that cannot be passed through to our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industry is very competitive and some of our products are commodities.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competition from both new entrants and existing competitors in the fire services industry. The businesses are competitive due to the presence of other local and international producers and suppliers of fire protection systems. The competitors may affect the Company’s revenue and market share, which may in turn affect the financial performance of the Company. In this respect, the competitors from the fire protection systems are constantly developing more advanced technology and product formulations in order to gain a larger market share and a competitive edge.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barriers to entry for new distributors of fire protection equipment are low as they can source products or systems that already have the relevant product certifications obtained by the respective manufacturer or supplier. As such, the competition that the Company faces face may result in, among others, reduction in the prices of the Company’s products thus affecting the Company’s profit margins, increase in the Company’s marketing activities and thus expenses, and/ or loss of business due to competitors’ offerings, which may adversely affect the Company’s business operations and financial performance. There can be no assurance that the Company will continue to compete effectively in the industries and failure to do so may adversely affect its growth prospects and financial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no assurance that our existing projects will not be delayed or terminated and there can also be no certainty that our order book will be continually maintained at such level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for the fire services division is largely dependent on the sustainability of the Company’s order book, which is in turn affected by the business and economic condition in Malaysia, as well as the Company’s ability to tender for the new projects by competing against other competitors in terms of pricing, timely delivery and quality. There is no assurance that the Company’s existing projects will not be delayed or terminated and there can also be no certainty that the Company’s order book will be continually maintained at such level in the future. The sustainability of our order book refers to the long-term viability and success of our business, which relies on fulfilling orders. A sustainable order book is characterized by consistent demand, effective operations, and adaptability to changing market conditions and relates to ensuring the business continues to receive and process orders in a way that is profitable and environmentally responsible.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maintain our relationship with, or serve, our customers at current levels. In addition, there is no assurance that any new agreement we enter into to supply or share services or facilities will have terms as favorable as those contained in current arrangements. Less favorable contract terms and conditions under any customer contract or contract for supply, purchase or shared services or facilities,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from the improper conduct of, or use of our products by, employees, agents, government contractors, or collaborators could adversely affect our reputation as well as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Unapproved or improper use of our products, or inadequate disclosure of risks or other information relating to the use of our products can lead to injury or other serious adverse events. These events could lead to recalls or safety alerts relating to our products (either voluntary or as required by governmental authorities), and could result, in certain cases, in the removal of a product from the market. A recall could result in significant costs and lost sales and customers, enforcement actions and/or investigations by state and federal governments or other enforcement bodies, as well as negative publicity and damage to our reputation that could reduce future demand for our products. Personal injuries relating to the use of our products can also result in significant product liability claims being brought against us. See “—Some of the products we produce may cause adverse health consequences or environmental impacts, which exposes us to product liability and other claims, and we may, from time to time, be the subject of indemnity claims. Indemnity and insurance coverage could be inadequate or unavailable to cover such product liability and other claims.”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ensure that our compliance controls, policies, and procedures will in every instance protect us from acts committed by our employees, agents, contractors, service providers or collaborators that would violate the laws or regulations of the jurisdictions in which we operate, including, without limitation, employment, foreign corrupt practices, trade restrictions and sanctions, environmental, competition, and privacy laws and regulations. Such improper actions could subject us to civil or criminal investigations, and monetary and injunctive penalties, and could adversely impact our reputation as well as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no guarantee that we will be able to continue purchasing products from our suppliers on a long-term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guarantee that we will be able to continue purchasing products from our current suppliers on a long-term basis. Some supply contracts are renewable or renew automatically unless notice of termination is given, however there can be no assurance that they will be renewed or that notice of termination will not be given. We also have long-term relationships with certain suppliers, but there are no assurances that such relationships, and related supply, will continue. Finding a new supplier may take a significant amount of time and resources, and once we have identified such new supplier, we would have to ensure that they meet our standards for quality control and have the necessary technical capabilities, responsiveness, high-quality service and financial stability. If we are unable to efficiently manage our supply chain and/or ensure that our products are available to meet consumer demand, our operating costs could increase and our profit margins could decrease.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of our specialty products and fire retardant products is concentrated at certain facilities of our suppliers. In the event of a significant manufacturing difficulty, disruption or delay, we may not be able to purchase products without incurring material additional costs and substantial delays. Furthermore, these risks could materially and adversely affect our business if our suppliers’ facilities are impacted by a natural disaster or other interruption at a particular location. As a result, protracted regional crises, or issues with manufacturing facilities could lead to eventual shortages of products and it could be difficult or impossible, costly and time consuming to obtain alternative sources for products. In addition, difficulties in transitioning from an existing supplier to a new supplier could create delays in component availability that would have a significant impact on our ability to fulfill orders for our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Fitters purchases SKUM and CHEMGUARD brand foam agents and foam hardware, and TYCO brand sprinklers, spray nozzles and valves, each a brand name of Johnson Controls International plc (NYSE: JCI), from Tyco Fire &amp; Building Products Asia Pte Ltd, an affiliate of Johnson Controls International plc, pursuant to non-exclusive authorized distributor letters that are valid for successive twelve-month terms. Tyco Fire &amp; Building Products Asia Pte Ltd may decline to renew or reissue these letters at any time, in its sole discretion and without cause, and the letters do not otherwise provide for a longer term or any minimum purchase, exclusivity, or indemnification commitments. If Tyco Fire &amp; Building Products Asia Pte Ltd or Johnson Controls International plc were to decline to renew Fitters’ authorized distributor status, or otherwise cease or reduce its supply of SKUM, CHEMGUARD or TYCO branded products to us, we would need to identify and qualify an alternative source of comparable foam suppression and sprinkler system products, which could take significant time and result in increased costs, and our foam systems and sprinkler systems product lines and related revenue could be adversely affected. For additional information, see “Bio Green Med Solution, Inc. Business — Material Supplier Relationships” in this proxy statement/prospectus.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may be negatively affected by labor issues and higher labor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our workforce depends on our ability to attract and retain new and existing employees. As of the date of this filing, none of our employees are covered by collective bargaining agreements and we consider our labor relations to be acceptable. However, we could experience workforce dissatisfaction which could trigger bargaining issues, employment discrimination liability issues as well as wage and benefit consequences, especially during critical operation periods. We could also experience a work stoppage or other disputes which could disrupt our operations and could harm our operating results. In addition, legislation or changes in regulations could result in labor shortages and higher labor costs. There can be no assurance that we may not experience labor issues that negatively impact our operations or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interest rate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market risks due to fluctuations in interest rates on our debt. Increases in interest rates will increase the cost of new borrowings and our interest expense. Accordingly, fluctuations in interest rates can lead to significant fluctuations in the fair value of our debt instruments. We do not use any derivative instruments to manage our interest rate risk exposure. We have not been subject to nor do we anticipate being exposed to material risks due to changes in interest rates.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Unfavorable economic and market conditions could materially and adversely affect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risks arising from adverse changes in global economic conditions. Although Fitters conducts its business in the Malaysian market, Fitters imports fire safety equipment and components from international suppliers, and long-term economic uncertainty in the countries where our suppliers are located could result in declines in revenue, profitability and cash flow due to reduced product availability, payment delays, supply chain disruptions or other factors caused by the economic challenges faced by our suppliers, and other business partners, which could negatively impact our business and could result in declines in our consolidated results of operations and cash flow.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in the Malaysian fire safety and protection product market. We expect revenue from the Malaysian market to be significant for the foreseeable future. Important factors impacting our business include the overall strength of the Malaysian economy and our customers’ confidence in both local and global macro-economic conditions; industrial and federal, state, local and municipal governmental spending in Malaysia; the strength of the residential and commercial real estate markets in Malaysia; interest rates; availability of commercial financing for our customers and end-users in Malaysia; and unemployment rates in Malaysia. A slowdown or downturn in these financial or macro-economic conditions in Malaysia could have a significant adverse effect on our business, financial condition, results of operations and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and expect to continue to experience fluctuations in revenues and operating results due to economic and business cycles, particularly within the portion of our business that provides products and services used in residential and commercial buildings. We believe our level of business activity is influenced by residential and commercial building starts and renovations, which are heavily influenced by interest rates, consumer debt levels, changes in disposable income, employment growth and consumer confidence. Credit market conditions greatly affect the ability of residential and commercial builders to obtain the necessary capital to complete and begin new projects. We closely monitor the credit worthiness of our customers, and evaluate their financial ability to pay for those products and services we provide to them. As it relates to our customers’ ability to pay for products and services, we have not experienced any significant negative impact as a result of the recent economic downturn. If market conditions worsen, it may result in a delay or cancellation of orders from our customers or potential customers and adversely affect our revenues and our ability to manage inventory levels, collect customer receivables and maintain current levels of profitability.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Global economic conditions could negatively affect our prospects for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prospects for growth may be directly affected by the general global economic conditions of the countries in which our international suppliers and their partners operate, as well as the industries in which our customer groups operate. Our business will be highly dependent on the economic and market conditions in Malaysia, where we conduct our operations and generate substantially all of our revenue, as well as in the countries from which we import our products. These conditions affect our business by reducing the demand for fire prevention products in times of economic downturn in Malaysia and increasing the price of our products in times of increasing demand or supply chain disruption affecting our international suppliers. There can be no assurance that global economic conditions will not negatively impact our liquidity, growth prospects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in political, economic and regulatory conditions in Malaysia and the United States could materially affect our financials and prospects. Political, economic and regulatory uncertainties include, amongst others, risks of war, changes in political state, changes in economic conditions, changes in governmental policies such as changes to labour laws, introduction of new rules or regulations, interest rates, tariff rates, fiscal and monetary policies and method of taxation.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operations rely on information technology and communications networks, and operations that are vulnerable to damage or disturbance from a variety of sources. Regardless of protection measures, essentially all systems are susceptible to disruption due to failure, vandalism, computer viruses, security breaches, natural disasters, power outages and other events. In addition, cybersecurity threats are evolving and include, among others, malicious software, attempts to gain unauthorized access to data, and other electronic security breaches that could lead to disruptions in our systems, unauthorized release of confidential or otherwise protected information and corruption of data. We also have a concentration of operations in certain sites, e.g., production, and shared services centers, where business interruptions could cause material damage and costs. Transport of goods from suppliers, and to customers, could also be hampered for the reasons stated above. Although we have assessed these risks, implemented controls, and performed business continuity planning, we cannot be sure that interruptions with material adverse effects will not occur.</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markets in which we operate are highly competitive, and some of our competitors have greater financial and other resources than we do.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competitive pressures faced by us could materially and adversely affect our business, results of operations and financial condition. The safety products and solutions market is highly competitive, with participants ranging in size from small companies focusing on single types of safety products, to large multinational corporations that manufacture and supply many types of safety products and solutions. Our main competitors vary by region and product. We believe that participants in this industry compete primarily on the basis of product characteristics (such as functional performance, technology, cost of ownership, comfort, design and style), price, service and delivery, integrated solutions, customer support, the ability to meet the special requirements of customers, brand name trust and recognition, purchasing options, and e-business capabilities. Some of our competitors have greater financial and other resources than we do, and our business could be adversely affected by competitors’ new product innovations, technological advances made to competing products and solutions and pricing changes made by us in response to competition from existing or new competitors. We may not be able to compete successfully against current and future competitors, and the competitive pressures faced by us could have a material adverse effect on our business, consolidated results of operations and financial condition. In addition, e-commerce is a rapidly developing area, and the execution of a successful e-business strategy involves significant time, investment and resources. If we are unable to successfully expand e-business capabilities in support of our customer needs, our brands may lose market share, which could negatively impact revenue and profitability.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compete successfully in our marketplace, it will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existing products in the fire prevention products marketplace that compete with our products. Companies may develop new products that compete with our products. Certain competitors and potential competitors have longer operating histories, substantially greater product development capabilities and financial, scientific, marketing and sales resources. Competitors and potential competitors may also develop fire prevention products that are more effective or have other potential advantages compared to our fire prevention products. Certain competitors and potential competitors have broader fire prevention product offerings and extensive customer bases, allowing them to adopt aggressive pricing policies that would enable them to gain market share. Competitive pressure could result in price reductions, reduced margins and loss of market share. We could encounter potential customers that, due to existing relationships with our competitors, are committed to fire prevention products offered by those competitors. As a result, those potential customers may not consider purchasing our fire prevention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Securities Regulations and Investment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achieve and maintain internal controls in accordance with Sections 302 and 404 of the Sarbanes-Oxley Act of 2002 could have a material adverse effect on our business and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 of the Sarbanes-Oxley Act of 2002 requires that we maintain internal control over financial reporting that meets applicable standards. As with many smaller companies with small staff, material weaknesses in our financial controls and procedures may be discovered. If we fail to maintain our internal controls or fail to implement required new or improved controls, as such control standards are modified, supplemented or amended from time to time, we may not be able to conclude on an ongoing basis that we have effective internal controls over financial reporting. Effective internal controls are necessary for us to produce reliable financial reports and are important in the prevention of financial fraud. If we cannot produce reliable financial reports or prevent fraud, our business and operating results could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incur increased costs and management resources as a result of being a public company, and we may fail to comply with public company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face and will continue to face increased legal, accounting, administrative and other costs and expenses that we would not incur as a private company. Compliance with the Sarbanes Oxley Act of 2002, as well as other rules of the SEC, the Public Company Accounting Oversight Board and Nasdaq resulted in a significant initial cost to us as well as an ongoing compliance cost. As a public company, we are subject to Section 404 of the Sarbanes Oxley Act relating to internal control over financial reporting. We have completed a formal process to evaluate our internal controls for purposes of Section 404, and we concluded that as of December 31, 2025, our internal control over financial reporting was effective. As our business grows and changes, there can be no assurances that we can maintain the effectiveness of our internal controls over financial reporting. In addition, our independent certified public accounting firm has not provided an opinion on the effectiveness of our internal controls over financial reporting for the year ended December 31, 2025 because we are a smaller reporting company. In the event our independent auditor is required to provide an opinion on such controls in the future, there is a risk that the auditor would conclude that such controls are ineffective.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internal controls over financial reporting are necessary for us to provide reliable financial reports and, together with adequate disclosure controls and procedures, are designed to prevent fraud. If we cannot provide reliable financial reports or prevent fraud, our operating results could be harmed. We have completed a formal process to evaluate our internal control over financial reporting. However, guidance from regulatory authorities in the area of internal controls continues to evolve and substantial uncertainty exists regarding our on-going ability to comply by applicable deadlines. Any failure to implement required new or improved controls, or difficulties encountered in their implementation, could harm our operating results or cause us to fail to meet our reporting obligations. Ineffective internal controls could also cause investors to lose confidence in our reported financial information, which could have a negative effect on the trading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active trading market for our common stock has not developed and it may have a volatile public trading price, thus, purchasers of our common stock could incur substantial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active public market for our common stock has not developed. Our stock can trade in small volumes, which may make the price of our stock highly volatile. The last reported price of our stock may not represent the price at which you would be able to buy or sell the stock. The market prices for securities of companies comparable to us have been highly volatile. Often, these stocks have experienced significant price and volume fluctuations for reasons that are both related and unrelated to the operating performance of the individual companies. In addition, the stock market as a whole have experienced significant recent volatility. Like our common stock, these stocks have experienced significant price and volume fluctuations for reasons unrelated to the operating performance of the individual companies. If an active market for the Company’s common stock does not develop or is not sustained, it may be difficult for stockholders to sell their shares at an attractive price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us, if they change their recommendations regarding our stock adversely or if our operating results do not meet their expectations, our stock price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is influenced by the research and reports that industry or securities analysts publish about us. If analysts do not publish research reports or one or more of these analysts who were publishing research cease coverage of us or fail to regularly publish reports on us, we could lose visibility in the financial markets, which in turn could cause our stock price or trading volume to decline. Moreover, if one or more of the analysts who cover us downgrade our stock or if our operating results do not meet their expectations, our stock price could decline.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facilitate our growth strategy by identifying or completing transactions with attractive acquisition candidates, which could limit our revenues and profitability. Future acquisitions may result in significant transaction expenses and may involve significant costs. We may experience integration and consolidation risks associated with future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element of our growth strategy is to selectively pursue, on an opportunistic basis, acquisitions of businesses or assets of businesses that complement our existing business and footprint. We may also consider other potential strategic transactions, including dispositions, which are also subject to claims by third parties and by the buyers under the terms of our disposition agreements. Aside from the Transaction, we have no current agreement for any acquisition of a business or assets. The success of this element of our growth strategy depends, in part, on selecting strategic acquisition candidates at attractive prices and effectively integrating their businesses into our own, including with respect to financial reporting and regulatory matters. We cannot assure you that we will be able to identify attractive acquisition candidates or complete the acquisition of any identified candidates at favorable prices and upon advantageous terms and conditions, including financing alternatives. We expect to face competition for acquisition candidates, which may limit the number of acquisition opportunities and lead to higher acquisition costs. We may not have the financial resources necessary to consummate any acquisitions or the ability to obtain the necessary funds on satisfactory terms. Any acquisitions in the future may result in significant transaction expenses and risks associated with entering new markets and dilution for our existing stockholders. We may also be subject to claims by third parties related to the operations of these businesses prior to our acquisition and by sellers under the terms of our acquisition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 in our charter documents and provisions of Delaware law may make an acquisition more difficult and could result in the entrenchment of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in Delaware. Anti-takeover provisions of Delaware law and our amended and restated certificate of incorporation and amended and restated bylaws may make a change in control or efforts to remove management more difficult. Also, under Delaware law, our Board of Directors may adopt additional anti-takeover measures. We have the authority to issue up to 5 million shares of preferred stock and to determine the terms of those shares of stock without any further action by our stockholders. If the Board of Directors exercises this power to issue preferred stock, it could be more difficult for a third party to acquire a majority of our outstanding voting stock and vote the stock they acquire to remove management or directors. Our amended and restated certificate of incorporation and amended and restated bylaws also provides staggered terms for the members of our Board of Directors. Under Section 141 of the Delaware General Corporation Law, our directors may be removed by stockholders only for cause and only by vote of the holders of a majority of voting shares then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prevent stockholders from replacing the entire board in a single proxy contest, making it more difficult for a third party to acquire control of us without the consent of our Board of Directors. These provisions could also delay the removal of management by the Board of Directors with or without cause. In addition, our directors may only be removed for cause and amended and restated bylaws limit the ability of our stockholders to call special meetings of stockholders. The existence of the foregoing provisions could limit the price that investors might be willing to pay in the future for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the event of an acquisition of our common stock, we cannot assure our common stockholders that we will be able to negotiate terms that would provide for a price equivalent to, or more favorable than, the price at which our shares of common stock may be trading at such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effect a consolidation or merger with another entity without the vote or consent of the holders of at least a majority of the shares of our preferred stock (in addition to the approval of our common stockholders), unless the preferred stock that remains outstanding and its rights, privileges and preferences are unaffected or are converted into or exchanged for preferred stock of the surviving entity having rights, preferences and limitations substantially similar, but no less favorable, to our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event a third party seeks to acquire our company or acquire control of our company by way of a merger, but the terms of such offer do not provide for our preferred stock to remain outstanding or be converted into or exchanged for preferred stock of the surviving entity having rights, preferences and limitations substantially similar, but no less favorable, to our preferred stock, the terms of the Certificate of Designations of our preferred stock provide for an adjustment to the conversion ratio of our preferred stock such that, depending on the terms of any such transaction, preferred stockholders may be entitled, by their terms, to receive up to $10.00 per share in common stock, causing our common stockholders not to receive as favorable a price as the price at which such shares may be trading at the time of any such transaction.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1, 2026, we had 135,273 shares of our 6% Convertible Exchangeable Preferred Stock issued and outstanding. If the transaction were one in which proceeds were received by us for distribution to stockholders, and the terms of the Certificate of Designations governing the preferred stock were strictly complied with, approximately $1.7 million would be paid to the preferred holders before any distribution to the common stockholders, although the form of transaction could affect how the holders of preferred stock are treated. In such an event, although such a transaction would be subject to the approval of our holders of common stock, we cannot assure our common stockholders that we will be able to negotiate terms that would provide for a price equivalent to, or more favorable than, the price at which our shares of common stock may be trading at such time. Thus, the terms of our preferred stock might hamper a third party’s acquisition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have limited ability to pay cash dividends on our preferred stock, and there is no assurance that future quarterly dividends will be declared.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may limit our ability to pay cash dividends on our preferred stock. Under Delaware law, cash dividends on our preferred stock may only be paid from surplus or, if there is no surplus, from the corporation’s net profits for the current or preceding fiscal year. Delaware law defines “surplus” as the amount by which the total assets of a corporation, after subtracting its total liabilities, exceed the corporation’s capital, as determined by its board of directors. Since we are not profitable, our ability to pay cash dividends will require the availability of an adequate surplus. Even if adequate surplus is available to pay cash dividends on our preferred stock, we may not have sufficient cash to pay dividends on the preferred stock or we may choose not to declare the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common stock may experience extreme price and volume fluctuations, which could lead to costly securities-related litigation, including securities class action litigation or securities-related investigations, which could make an investment in us less appealing.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consider an investment in our common stock to be risky, and you should invest in our common stock and preferred stock only if you can withstand a significant loss and wide fluctuations in the market value of your investment. Some factors that may cause the market price of our common stock to fluctuate, in addition to the other risks mentioned in this “Risk Factors” section and elsewhere in this registration statement, are: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technological innovations or new products or services by us or our competitors; announcements concerning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regulatory pronouncements and changes in regulatory guidelines;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industry-specific economic conditions;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to or departures of our key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our common stock by our stockholders, executives and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and limitations in trading volumes of our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financings to grow our existing business, and other business activities;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analyst research reports, recommendation and changes in recommendations, price targets, and withdrawals of coverage;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secure and maintain resources;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and events surrounding financing efforts, including debt and equity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acquisitions, partnerships, collaborations, joint ventures, new products, capital commitments, or other events by us or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and litigations related to intellectual properties, proprietary rights, and contractual obligations;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or recommendations by securities analysts;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quarterly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principles or in applicable laws, rules, regulations;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events or factors, many of which may be out of our control.</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markets have from time-to-time experienced significant price and volume fluctuations that have affected the market prices for publicly traded securities. This volatility has often been unrelated to the performance of particular companies. In the past, companies that experience volatility in the market price of their securities have often faced securities class action and derivative litigation, and as a public company, we could be subject to sanctions or investigations by Nasdaq, the SEC or other regulatory authorities. These market prices generally are not sustainable and are highly volatile. Whether or not meritorious, litigation brought against us could result in substantial costs, divert our management’s attention and resources, and harm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intend to pay cash dividends on our common stock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anticipate paying cash dividends on our common stock in the foreseeable future. Any payment of cash dividends will depend on our financial condition, results of operations, capital requirements, the outcome of the review of our strategic alternatives and other factors and will be at the discretion of our Board of Directors. Accordingly, investors will have to rely on capital appreciation, if any, to earn a return on their investment in our common stock. Furthermore, we may in the future become subject to contractual restrictions on, or prohibitions against, the payment of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persons engage in short sales of our common stock the price of our common stock may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short is a technique used by a stockholder to take advantage of an anticipated decline in the price of a security. A significant number of short sales or a large volume of other sales within a relatively short period of time can create downward pressure on the market price of a security. You could, therefore, experience a decline in the value of your investment as a result of short sales of our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Claims for indemnification by our directors and officers may reduce our available funds to satisfy successful stockholder claims against us and may reduce the amount of money available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Section 102(b)(7) of the Delaware General Corporation Law, our amended and restated certificate of incorporation limits the liability of our directors to the fullest extent permitted by law. In addition, as permitted by Section 145 of the Delaware General Corporation Law, our amended and restated certificate of incorporation and amended and restated bylaws provide that we shall indemnify, to the fullest extent authorized by the Delaware General Corporation Law, each person who is involved in any litigation or other proceeding because such person is or was a director or officer of our company or is or was serving as an officer or director of another entity at our request, against all expense, loss or liability reasonably incurred or suffered in connection therewith. Our amended and restated certificate of incorporation provides that the right to indemnification includes the right to be paid expenses incurred in defending any proceeding in advance of its final disposition, provided, however, that such advance payment will only be made upon delivery to us of an undertaking, by or on behalf of the director or officer, to repay all amounts so advanced if it is ultimately determined that such director is not entitled to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pay a proper claim for indemnification in full within 60 days after we receive a written claim for such indemnification, except in the case of a claim for an advancement of expenses, in which case such period is 20 days, our amended and restated certificate of incorporation and our amended and restated bylaws authorize the claimant to bring an action against us and prescribe what constitutes a defense to such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reasonably believed to be in, or not opposed to, the best interests of the corporation, and, with respect to any criminal action or proceeding, if he or she had no reason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court in which the action or suit was brought shall determine that the defendant is fairly and reasonably entitled to indemnity for such expenses despite such adjudication of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conferred in the amended and restated certificate of incorporation and the amended and restated bylaws are not exclusive, and we are authorized to enter into indemnification agreements with our directors, officers, employees and agents and to obtain insurance to indemnify such persons. We have entered into indemnification agreements with each of our officers and directors. The above limitations on liability and our indemnification obligations limit the personal liability of our directors and officers for monetary damages for breach of their fiduciary duty as directors by shifting the burden of such losses and expenses to us. As a result, we may need to use a significant amount of our funds to satisfy our indemnification obligations, which could severely harm our business and financial condition and limit the funds available to stockholders who may choose to bring a claim against our company.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Regulatory and 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market and sell our products and solutions is subject to existing government laws, regulations and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such laws, regulations and standards or our failure to comply with them could materially and adversely affect our results of operations. Most of the fire safety products we offer and sell are required to meet performance and test standards designed to protect the safety of people and infrastructures around the world and are required to comply with other various laws and regulations in the applicable markets where sold. Our inability to comply with these standards and regulations could result in declines in revenue, profitability and cash flow. Changes in laws, regulations, or the standards themselves, including changes resulting from the outcome of federal, national, state or provincial elections, could reduce the demand for our products thereby creating opportunities for our competitors. Regulatory approvals for our fire safety products may be delayed or denied for a variety of reasons that are outside of our control. Additionally, market anticipation of significant new standards can cause customers to accelerate or delay buying decisions.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stringent and evolving fire safety regulations in Malaysia could negatively affect our prospects for growth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stringent and evolving fire safety regulations in Malaysia. Failure to obtain, maintain, or renew required certifications from the Fire and Rescue Department of Malaysia (“BOMBA”) or other regulatory bodies could materially and adversely affect our business, results of operations, and financial condition. Our fire safety products and installations are strictly governed by the Fire Services Act 1988 (Act 341) and various subsidiary legislations. As of 2026, the regulatory environment in Malaysia has become increasingly rigorous, with the commencement of full enforcement regarding Fire Certificates (FC) for designated premises in the first quarter of 2026. Many of our fire safety installations require a Sijil Perakuan Bahan (Material Certification Certificate) issued by BOMBA. This involves meeting standards set by the Standard and Industrial Research Institute of Malaysia (SIRIM) before an approval certificate is granted. Any delay in testing, failure to meet these standards, or changes in the list of laboratories authorized by the Director General for testing could prevent us from marketing our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Starting in 2026, buildings in designated categories must hold mandatory fire drills to renew their fire certifications. If our clients fail to comply due to deficiencies in our equipment or advisory services, we may face contract terminations or reputational damage. The Occupational Safety and Health Act in Malaysia (“OSHA”), which aims to ensure the safety, health and welfare of people at work and to protect others from safety and health hazards in all workplaces throughout Malaysia. Recent amendments to OSHA have significantly increased maximum fines for breaches—ranging from RM 100,000 to RM 500,000—and introduced potential imprisonment of up to two years for company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1, 2026, a new self-regulation framework grants Fire Safety Managers authority to issue technical reports, subject to periodic BOMBA audits every 2–3 years. Any failure by our personnel to maintain “competent person” status or if our reports are found non-compliant during audits could lead to the revocation of our operating licenses. The 2025 amendment to the Fire Safety Act 1988 introduced formal requirements for Fire Risk Analysis Reports, which must now be prepared by Registered Fire Safety Consultants. If we are unable to retain such qualified professionals, our service offerings would be legally restricted. New or stricter laws and regulations may be introduced that could result in additional compliance costs and prevent or inhibit the distribution and sale of our products, which could have a significant negative impact on our ability to generate revenue and adversely impact our business, financial condition and results of operation.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Some of our products may be subject to government regulations pertaining to exportation, which may limit the markets in which we can sell some of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sales of certain of our products may be subject to U.S. laws, regulations and policies and other export laws and regulations and may be subject to first obtaining licenses, clearances or authorizations from various regulatory entities. If we are not allowed to export our products or the clearance process is burdensome, our ability to generate revenue would be adversely affected. The failure to comply with any of these regulations could adversely affect our ability to conduct our business and generate revenues, as well as increase our operating costs.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product liability or warranty claims that could require us to make significant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would be exposed to product liability claims in the event that the use of our products results, or is alleged to result, in bodily injury and/or property damage. There is a risk that we will experience product liability or warranty losses in the future or that we will incur significant costs to defend such claims. Such losses and costs may be material. While we currently have product liability insurance, our product liability insurance coverage may not be adequate for any liabilities that may ultimately be incurred or the coverage may not continue to be available on terms acceptable to us. A successful claim brought against us in excess of our available insurance coverage could require us to make significant payments or a requirement to participate in a product recall which may harm our reputation or profitability.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the subject of litigation by customers, suppliers and other third parties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our Company nor any of our subsidiaries currently is a party to any legal proceeding that, individually or in the aggregate, is material to our company as a whole. However, from time to time, we may become involved in various lawsuits and legal proceedings that arise in the ordinary course of business. The costs incurred in litigation can be substantial, regardless of the outcome. Proceedings that we believe are insignificant may develop into material proceedings and subject us to unforeseen outcomes or expenses. Additionally, the actions of certain participants in our industry may encourage legal proceedings against us or cause us to reconsider our litigation strategies. As a result, we could from time to time incur judgments, enter into settlements or revise our expectations regarding the outcome of certain matters, and such developments could harm our reputation and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Claims of injuries or potential safety issues or quality concerns could be made against our various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fire safety products and solutions are often used in high-risk and unpredictable environments and our mission, reputation and business success rely on our ability to provide safe, high quality and reliable products that earn and maintain customer trust. In the event that those using our fire safety products and solutions are injured, or if any of our fire safety products or solutions are alleged to have contributed, we could be subject to claims or suffer reputational harm even though those fire safety products or solutions are manufactured by third parties. We continue to review, update, and execute the Company’s quality management processes appropriately to meet changing market demands, technology, and fire safety product standards. Any significant claims, recalls or field actions that result in significant expense or negative publicity against us could have a material adverse effect on our business, operating results, financial condition and liquidity, including any successful claim brought against us in excess or outside of available insurance coverage.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general governmental regulation and other legal obligations, including those related to privacy, data protection and information security, and our actual or perceived failure to comply with such obligations could harm our business. Compliance with such laws could also impair our efforts to maintain and expand our customer base, and thereby decrease our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receive, store and process personal information and other data from and about customers in addition to our employees and services providers. Our handling of data is subject to a variety of laws and regulations, including regulation by various government agencies, such as the U.S. Federal Trade Commission (the “FTC”) and various state, local and foreign agencies. Our data handling also is subject to contractual obligations and industry standards.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and various state governments have adopted or proposed limitations on the collection, distribution, use, storage and security of data relating to individuals, including the use of contact information and other data for marketing, advertising and other communications with individuals and businesses. Additionally, the FTC and many state attorneys general are interpreting federal and state consumer protection laws as imposing standards for the online collection, use, dissemination and security of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foreign countries and governmental bodies, including the European Union, have laws and regulations dealing with the handling and processing of personal information obtained from their residents, which in certain cases are more restrictive than those in the United States, and we expect additional jurisdictions may enact similar regulations. Laws and regulations in these jurisdictions apply broadly to the collection, use, storage, disclosure and security of various types of data, including data that identifies or may be used to identify an individual, such as names, email addresses and in some jurisdictions, Internet Protocol addresses. Within the European Union, legislators have adopted the General Data Protection Regulation (the “GDPR”) which became effective in May 2018. The GDPR includes more stringent operational requirements for processors and controllers of personal data than previous EU data protection laws and imposes significant penalties for non-compliance.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domestic and foreign laws and regulations relating to privacy and data security are evolving, can be subject to significant change and may result in ever-increasing regulatory and public scrutiny and escalating levels of enforcement and sanctions. Interpretation of certain requirements remains unclear and may evolve, in particular for regulations that have recently been enacted. Application of laws may be inconsistent or may conflict among jurisdictions resulting in additional complexity and increased legal risk. In addition, these regulations have increased our compliance costs and may impair our ability to grow our business or offer our service in some locations, may subject us to liability for non-compliance, may require us to modify our data processing and transferring practices and policies and may strain our technical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handle credit card and other personal information. Due to the sensitive nature of such information, we have implemented procedures in an effort to preserve and protect our data and our customers’ data against loss, misuse, corruption, misappropriation caused by systems failures, unauthorized access or misuse. Notwithstanding these procedures, we could be subject to liability claims by individuals and customers whose data resides in our databases for the misuse of that information. If we fail to meet appropriate compliance levels, this could negatively impact our ability to utilize credit cards as a method of payment, and/or collect and store credit card information, which could disrupt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rules of the FTC, the Federal Communications Commission (the “FCC”) and potentially other federal agencies and state laws related to commercial electronic mail and other messages. Compliance with these provisions may limit our ability to send certain types of messages. If we were found to have violated such rules and regulations, we may face enforcement actions by the FTC or FCC or face civil penalties, either of which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or perceived failure by us to comply with laws, regulations, policies, legal or contractual obligations, industry standards, or regulatory guidance relating to privacy or data security, may result in governmental investigations and enforcement actions, litigation, fines and penalties or adverse publicity, and could cause our customers and partners to lose trust in us, which could have an adverse effect on our reputation and business. We expect that there will continue to be new proposed laws, regulations and industry standards relating to privacy, data protection, marketing, consumer communications, information security and local data residency in the United States, the European Union and other jurisdictions, and we cannot determine the impact such future laws, regulations and standards may have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various U.S. and foreign tax laws and any changes in these laws related to the taxation of businesses and resolutions of tax disputes could adversely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Congress, the Organization for Economic Co-operation and Development (“OECD”) and other government agencies in jurisdictions in which we and our affiliates invest or do business have maintained a focus on issues related to the taxation of multinational companies. The OECD has changed numerous long-standing tax principles through its base erosion and profit shifting project which could adversely impact our effective tax rate. We are subject to regular review and audit by both foreign and domestic tax authorities. While we believe our tax positions will be sustained, the final outcome of tax audits and related litigation may differ materially from the tax amounts recorded in our consolidated financial statements, which could have a material adverse effect on our consolidated results of operations, financial condition and cash flows.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history of operating losses, and we expect to incur losses for the foreseeable future. We may never become profitable. Our stock is a highly speculative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operating losses in each year since beginning operations in 1996 due to costs incurred in connection with our research and development activities and selling, general and administrative costs associated with our operations, we expect to incur significant losses for the next several years and we may never achieve profitability. As of December 31, 2025 and December 31, 2024, our accumulated deficit was $454.4 million and $439.5 million, respectively. Our net loss was $2.9 million and $11.2 million for the years ended December 31, 2025 and 2024, respectively. If we fail to become and remain profitable, or if we are unable to fund our continuing losses, particularly in light of the current economic conditions, you could lose all or part of your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substantial doubt regarding our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our cash and cash equivalents were $3.8 million, and as of December 31, 2025, our cash and cash equivalents were $3.5 million compared to $3.1 million at December 31, 2024. Based on our current operating plan, there is substantial doubt regarding our ability to continue as a going concern for a period of one year after the date that our financial statements for the year ended December 31, 2025 are issued. To meet our long-term financing requirements, we may raise funds through public or private equity offerings, debt financings or strategic alliances.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Raising additional funds by issuing equity or convertible debt securities may cause our stockholders to experience substantial dilution in their ownership interests and new investors may have rights superior to the rights of our other stockholders. To the extent equity valuations, including the trading price of our common stock, are depressed as a result of economic disruptions or other uncertainties, for example due to rising inflationary pressures, ongoing military conflicts or other factors, the potential magnitude of this dilution will increase. Raising additional funds through debt financing, if available, may involve covenants that restrict our business activities and options.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Geopolitical and macroeconomic events and conditions could adversely affect our business, operating results, financial condition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sensitive to geopolitical and security issues, including foreign policy actions taken by governments such as tariffs, sanctions, embargoes, export and import controls and other trade restrictions, which can affect the demand for our products and services, the ability to sell our products and services, and disrupt our supply chain, all of which could adversely affect our business. Global conflicts, including Russia’s invasion of Ukraine and the United States war in the Middle East, have significantly elevated global geopolitical tensions and security concerns. In addition, the U.S. Government and other nations have implemented broad economic sanctions and export controls targeting Russia and Iran, which, combined with the Ukraine and Middle East conflicts, has indirectly disrupted the global supply chain and increased pressures on certain resources. The Ukraine and Middle East conflicts also has increased the threat of malicious cyber activity from nation states and other 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Heightened levels of inflation and the potential worsening of macro-economic conditions, including slower growth or recession, changes to fiscal and monetary policy, tighter credit, higher interest rates and currency fluctuations, present a risk for us, our suppliers and the stability of the broader defense industrial base. If we are unable to successfully mitigate the impact of inflation, our profits, margins and cash flows, particularly for existing fixed-price contracts, may be adversely affected. Although we believe defense spending is more resilient to adverse macro-economic conditions than many other industrial sectors, our suppliers and other partners, many of which are more exposed to commercial markets or have fewer resources, may be adversely impacted to a more significant degree than we are by an economic downturn, which could affect their performance and have an adverse impact on our operations. In addition, macroeconomic conditions could cause budgetary pressures for our government customers resulting in reductions or delays in spending, which could adversely impact our business.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Inflation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2026, Malaysia’s inflation is projected to remain manageable, with headline inflation estimated to average between 1.3% and 2.0%. While this is slightly higher than the 1.4% average seen in 2025, it remains below the long-term historical average of 2.3%. Despite this stable outlook, several upside and downside risks persist. The primary domestic risk stems from the continued rationalization of subsidies, particularly for fuel (RON95) and electricity. While targeted aid is intended to cushion the impact, these reforms could push headline rates toward the upper end of projections (approximately 2.0%) as direct costs pass through to consumers. Malaysia remains highly exposed to trade uncertainties and geopolitical tensions. Upside risks include potential new tariffs (specifically from the U.S.) and supply chain disruptions that could increase the cost of imported goods. The introduction of a multi-tier levy for migrant workers and the second phase of civil servant wage increases in January 2026 are expected to add cost pressures in labor-intensive sectors. A weaker Ringgit could lead to “imported inflation” by making imports more expensive. Conversely, a stronger Ringgit (forecasted to reach RM4.00 per USD by late 2026) is currently serving as a buffer against these pressures. Additionally, because a substantial portion of our assets consists of cash and cash equivalents and short-term investments, high inflation could significantly reduce the value and purchasing power of these assets. We are not able to hedge our exposures to higher inflation in Malaysia.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use net operating loss and certain built-in losses to reduce future tax payments is limited by provisions of the Internal Revenue Code and may be subject to further limitation as a result of the transactions completed in connection with our initial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382 of the Internal Revenue Code of 1986, as amended, if a corporation undergoes an “ownership change” (generally defined as a greater than 50% change (by value) in its equity ownership over a three-year period), the corporation’s ability to use its pre-change net operating loss carryforwards and other pre-change tax attributes to offset its post-change income may be limited. As a result of our most recent acquisition of Fitters plus private placement and other transactions that have occurred over the past three years, we may have experienced an “ownership change.” We may also experience ownership changes in the future as a result of subsequent shifts in our stock ownership. As of December 31, 2025, we had federal and state net operating loss carryforwards of approximately $8.0 million and $21.4 million compared to December 31, 2024, we had federal and state net operating loss carryforwards of approximately $3.5 million and $16.9 million, respectively. There were no federal or state research and development credits.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under U.S. tax legislation enacted in December 2017, although the treatment of tax losses generated before December 31, 2017 has generally not changed, tax losses generated in calendar year 2018 and beyond do not expire but may only offset 80% of our taxable income, which change may require us to pay federal income taxes in future years despite generating a loss for federal income tax purposes in prior years. The CARES Act temporarily allowed 100% offsets and 5-year carrybacks for losses arising in 2018, 2019, and 2020. These temporary provisions have since expired, and the standard 80% limit was reinstated for tax years beginning after December 31, 2020. Further, net operating loss have been permanently extended or maintained by subsequent legislation, including the One Big Beautiful Bill (OBBB) Act of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the continued listing requirements of The Nasdaq Capital Market, our common stock may be delisted and the price of our common stock and our ability to access the capital markets could be negatively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for trading on the Nasdaq Capital Market (“Nasdaq”). We must satisfy Nasdaq’s continued listing requirements, including, among other things, a minimum stockholders’ equity of $2.5 million and a minimum bid price for our common stock of $1.00 per share, or risk delisting, which would have a material adverse effect on our business. In order to maintain our listing, we must also maintain continued business operations so that we are not characterized as a “public shell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delisting of our common stock from The Nasdaq Capital Market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suppliers, customers and employees and fewer business development opportunities.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25, 2025, Nasdaq notified the Company that it has regained compliance with the equity requirement in Listing Rule 5550(b)(1) (the “Equity Rule”), as required by the Nasdaq Hearing Panel’s decision dated October 22, 2024. As previously reported by the Company on Form 8-K, filed with the SEC on October 24, 2024, on October 15, 2024, the Company met with the Nasdaq Hearings Panel regarding its potential delisting from Nasdaq as a result of its non-compliance with the Equity Rule. On October 22, 2024, the Company received the Nasdaq Hearings Panel decision which granted the Company until December 24, 2024 to regain compliance with the Equity Rule. Following the Company’s regaining compliance with the Equity Rule pursuant to the February 25, 2025, the Company will be subject to a Mandatory Panel Monitor for a period of one year from February 25, 2025 pursuant to Listing Rule 5815(d)(4)(B).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2025, the “Company filed an amendment to its Certificate of Incorporation (the “May Certificate of Amendment”) to implement a one-for-sixteen reverse stock split. The effective date of the Certificate of Amendment is May 12, 2025 (the “May 12 Effective Date”). The Company’s common stock began trading on a split-adjusted basis when the market opens on the May 12 Effective Date. The Board of Directors of the Company approved the amendment to the Company’s Certificate of Incorporation primarily to meet the share bid price requirements of The Nasdaq Capital Market. The Company’s stockholders approved the Certificate of Amendment at a special meeting of its stockholders held on February 6, 2025. As a result of the reverse stock split, on the Effective Date, every sixteen shares of common stock then issued and outstanding automatically were combined into one share of common stock, with no change in par value per share. No fractional shares were outstanding following the reverse stock split, and any fractional shares that would have resulted from the reverse stock split were (a) rounded up to the nearest whole number for any shareholder who would otherwise be entitled to receive one-half or more of a fractional split-adjusted share, and (b) rounded down to the nearest whole number for any shareholder who would otherwise be entitled to receive less than one-half of a fractional split-adjusted share.</w:t>
      </w:r>
    </w:p>
    <w:p>
      <w:pPr>
        <w:pStyle w:val="TextBody"/>
        <w:bidi w:val="0"/>
        <w:spacing w:before="0" w:after="0"/>
        <w:ind w:left="14" w:right="0" w:firstLine="3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2025, the Company) filed an amendment to its Certificate of Incorporation (“July Certificate of Amendment”) to implement a one-for-fifteen reverse stock split. The effective date of the Certificate of Amendment is July 7, 2025 (the “July 7 Effective Date”). The Company’s common stock will begin trading on a split-adjusted basis when the market opens on the July 7 Effective Date. The Board of Directors of the Company approved the amendment to the Company’s July Certificate of Incorporation primarily to meet the share bid price requirements of The Nasdaq Capital Market. The Company’s stockholders approved the Certificate of Amendment by majority written consent on May 12, 2025. As a result of the reverse stock split, on the Effective Date, every fifteen shares of common stock then issued and outstanding automatically were combined into one share of common stock, with no change in par value per share. No fractional shares were outstanding following the reverse stock split, and any fractional shares that would have resulted from the reverse stock split were (a) rounded up to the nearest whole number for any shareholder who would otherwise be entitled to receive one-half or more of a fractional split-adjusted share, and (b) rounded down to the nearest whole number for any shareholder who would otherwise be entitled to receive less than one-half of a fractional split-adjusted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our compliance with the Equity Rule, we cannot be sure that our share price will continue to comply with the requirements for continued listing of our common stock on The Nasdaq Capital Market in the future, or that we will continue to comply with the other continued listing requirements. If our shares of common stock lose their status on The Nasdaq Capital Market, we believe that our shares of common stock would likely be eligible to be quoted on the inter-dealer electronic quotation and trading system operated by Pink OTC Markets Inc., commonly referred to as the Pink Sheets and now known as the OTCQB market. These markets are generally not considered to be as efficient as, and not as broad as, The Nasdaq Capital Market. Selling our shares of common stock on these markets could be more difficult because smaller quantities of shares would likely be bought and sold, and transactions could be delayed. In addition, in the event our shares of common stock are delisted, broker-dealers have certain regulatory burdens imposed upon them, which may discourage broker-dealers from effecting transactions in our common stock, further limiting the liquidity of our common stock. These factors could result in lower prices and larger spreads in the bid and ask prices for our common stock.</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Compliance with the United States securities laws and regulations is likely to make it more difficult and expensive for us to obtain directors’ and officers’ liability insurance and to attract and retain qualified members of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the Sarbanes-Oxley Act and the rules and regulations subsequently implemented by the SEC and the Public Company Accounting Oversight Board to continue to impose significant compliance burdens and costs on the operations of the business. Those rules and regulations may make it more difficult and expensive for us to maintain director and officer liability insurance, and we may be required to accept reduced coverage or incur substantially higher costs to maintain coverage. These rules and regulations could also make it more difficult for us to attract and retain qualified members of our board of directors, particularly to serve on our audit committee, and executive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insurance policies are expensive and only protect us from some business risks, which will leave us exposed to significant uninsured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carry insurance for all categories of risk that our business may encounter. We do not know, however, if we will be able to maintain insurance with adequate levels of coverage. Any significant uninsured liability may require us to pay substantial amounts, which would adversely affect our financial position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could be adversely affected by significant movements in foreign currency exchange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fluctuations in foreign currency exchange rates, which causes foreign currency risk related to the fluctuation in fair value or future cash flows of a financial instrument as a result of changes in foreign exchange rates. Fitters has transactional currency exposures arising from sales or purchases that are denominated in a currency other than the respective functional currencies of Group entities. Approximately 0% in 2025 and 0.01% in 2024 of Fitters’ sales are denominated in foreign currencies whilst almost 83% (2024: 80%) of costs are denominated in the respective functional currencies of Fitters entities. Fitters’ trade receivable and trade payable balances at the reporting date have similar exposures. Fitters did not hold any cash and/or cash equivalents denominated in foreign currencies for working capital purpose. Any significant change in the value of currencies of the countries in which we do business relative to the value of the Malaysian Ringgit (MYR), could affect our ability to sell products competitively and control our cost structure, which could have a material adverse effect on our business, financial condition, results of operations and cash flow.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Security incidents, loss of data and other disruptions could compromise sensitive information related to our business or prevent us from accessing critical information and expose us to liability, which could adversely affect our business and our reputation. Our business and operations would suffer in the event of system failures.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our business, we collect and store sensitive data, intellectual property and proprietary business information owned or controlled by ourselves or our customers. This data encompasses a wide variety of business-critical information including research and development information, commercial information, and business and financial information. We face four primary risks related to protecting this critical information: loss of access; unauthorized disclosure; unauthorized modification; and inadequate monitoring of our controls over the first three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utilize information technology, or IT, systems and networks to process, transmit and store electronic information in connection with our business activities. The secure processing, storage, maintenance, and transmission of this critical information is vital to our operations and business strategy, and we devote significant resources to protecting such information. As use of digital technologies has increased, cyber incidents, including deliberate attacks and attempts to gain unauthorized access to computer systems and networks, have increased in frequency and sophistication. These threats pose a risk to the security of our systems and networks and the confidentiality, availability and integrity of our data. There can be no assurance that we will be successful in preventing cybersecurity incidents or successfully mitigating their effects.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implementation of security measures, our internal and cloud-based computer systems and those of our contractors and consultants are vulnerable to damage from such cybersecurity incidents, including computer viruses, social engineering, unauthorized access, natural disasters, terrorism, war and telecommunication and electrical failures. Such an event could adversely impact our business and operations, and could result in financial, legal, operational or reputational harm to us, loss of competitive advantage or loss of consumer confidence.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 w:name="ak_001"/>
      <w:bookmarkEnd w:id="29"/>
      <w:r>
        <w:rPr>
          <w:rFonts w:ascii="Times New Roman;Times;Serif" w:hAnsi="Times New Roman;Times;Serif"/>
          <w:b/>
          <w:i w:val="false"/>
          <w:caps w:val="false"/>
          <w:smallCaps w:val="false"/>
          <w:sz w:val="20"/>
        </w:rPr>
        <w:t>RISKS RELATED TO FUTURE NRG SDN. BHD.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References in the following passage to “we,” “us,” “our,” “Future,” “Future NRG.” and the “Company”, under this heading “Risks Related to Future NRG Sdn. Bhd. Business,” refer to Future NRG Sdn. Bhd.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performance is tied to customer demand for waste material treatment, the decrease of which could adversely affect Future NRG Sdn. Bhd.’s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 currently recognizes revenue from, is derived primarily from provision of medical waste collection and recycling services to mostly clinic operators. Revenue is recognized when services are performed, which generally occurs upon the collection and transportation of waste or over the contractual service period. Contracts with customers typically have short durations and payment terms ranging from 30 to 60 days. The Company recognizes accounts receivable when the right to consideration becomes unconditional. Growing demand for ecofriendly and cost-effective waste management solutions is boosting the market demand as is rising government effort for efficient waste disposal systems and to improve the waste management infrastructure. Moreover, increasing environmental concerns about the waste generation along with the high demand for sustainable waste management practices is likely to propel the market growth. However, high cost for implementing waste management solutions will hinder the waste management industry in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 is materially dependent on a single major customer, which accounted for approximately 70% of its revenue in 2025. While this agreement was successfully renewed on May 1, 2026, the loss of, or any material disruption to, this relationship would severely harm our business and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one customer accounted for approximately 70% of Future NRG Sdn. Bhd.’s total revenue (and approximately 71% for the year ended December 31, 2024). On May 1, 2026, the Company successfully executed a definitive renewal agreement with this customer, stabilizing its primary revenue stream. However, there can be no assurance that the customer will maintain its historical volumes of scheduled waste sent to our Sendayan ozone treatment facility or that we will be able to easily renew this agreement upon its eventual expiration. Future NRG Sdn. Bhd. has not entered into a long-term fallback agreement with any other customer that could replace this revenue baseline. The loss of this customer, a significant drop in their waste management needs, or a future dispute over pricing terms would have an immediate, material adverse effect on our financial condition, cash flows, and our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customer is contractually or otherwise obligated to continue using the Company’s services beyond the applicable service arrangements. The loss of this customer, or a significant reduction in the level of services provided to this customer, could have a material adverse effect on the Company’s business, financial position, results of operations, and cash flows. The Company’s ability to maintain its operating performance is therefore dependent, in part, on its continued relationships with these customers and its ability to replace such revenue if necessary. We have not entered into long-term supply contracts with either of these major customers. Therefore, there can be no assurance that we will maintain or improve our relationships with our major customers, or that we will be able to continue to supply these customers at current levels or at all. If we cannot maintain long-term relationships with these major customers, the loss of sales could have an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any of our customers fail to pay us, our profit and cash flow may be affected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our customers are slow in their payment process, their delayed payments may adversely affect our cash flow and our ability to fund our operations out of our operating cash flow. In addition, although we attempt to establish appropriate reserves for our receivables, those reserves may not prove to be adequate in view of actual levels of bad debts. The failure of our customers to pay us in a timely manner could negatively affect our working capital, which could in turn adversely affect our cash flow. Although no customer has failed to pay us even though their payments were delayed, there is no assurance that they will be able to pay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Historical financial results do not include significant amounts of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historical financial results do not include significant amounts of compensation at the Future NRG level. Although the lack of salaries and bonuses was appropriate for a company wholly-owned by public company, in the future, we will compensate our employees and executives at market levels of compensation as determined by the board of directors and as a result our expenses will be increased in the future.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require financing in the future and our operations could be curtailed if we are unable to obtain required additional financing when needed.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need to obtain additional debt or equity financing to fund future capital expenditures. While we do not anticipate seeking additional financing in the immediate future, any additional equity may result in dilution to the holders of our outstanding capital shares. Additional debt financing may include conditions that would restrict our freedom to operate our business, such as conditions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our ability to pay dividends or require us to seek consent for the payment of dividends;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our vulnerability to general adverse economic and industry conditions;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us to dedicate a portion of our cash flow from operations to payments on our debt, thereby reducing the availability of our cash flow to fund capital expenditures, working capital and other general corporate purposes;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our flexibility in planning for, or reacting to, changes in our business and our industry.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guarantee that we will be able to obtain any additional financing on terms that are acceptable to us,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guarantee that we will be able to obtain any additional financing on terms that are acceptable to us,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disruptions in the capital and credit markets may adversely affect our business, including the availability and cost of short-term funds for liquidity requirements, which could adversely affect our results of operations, cash flows and financial condition. In the last two years, the global economy has experienced a contraction, which has affected the availability of business and consumer credit. We may need to rely on the credit markets, particularly for short-term borrowings from banks in Malaysia or the United States, as well as the capital markets, to meet our financial commitments and short-term liquidity needs if internal funds are not available from our operations. Disruptions in the credit and capital markets, as have been experienced since mid-2008, could adversely affect our ability to draw on such short-term bank facilities. Our access to funds under such credit facilities is dependent on the ability of the banks that are parties to those facilities to meet their funding commitments, which may be dependent on governmental economic policies. Those banks may not be able to meet their funding commitments to us if they experience shortages of capital and liquidity or if they experience excessive volumes of borrowing requests from us and other borrowers within a short period of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disruptions in the credit and capital markets, similar to those that have been experienced since mid-2008, could result from uncertainty, changing or increased regulation, reduced alternatives or failures of financial institutions and could adversely affect our access to liquidity needed for our business. Any disruption could require us to take measures to conserve cash until the markets stabilize or until alternative credit arrangements or other funding for our business needs can be arranged. Such measures could include deferring capital expenditures, and reducing or eliminating discretionary uses of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market disruptions could cause broader economic downturns, which may lead to lower demand for our products and increased likelihood that our customers will be unable to pay for our products. Further, insolvencies or similar events by customers may cause us to incur bad debt expense at levels higher than historically experienced. These events would adversely impact our results of operations, cash flows and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senior management lacks significant experience complying with laws applicable to operating as a wholly-owned subsidiary of a U.S.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completion of this Transaction, the directors of Future NRG have no experience applicable to operating as a wholly-owned subsidiary of a U.S. public company. As a result of the Transaction, Future NRG will become subject to laws, regulations and obligations of the United States as a wholly-owned subsidiary of BGMS that do not currently apply to it, and our senior management currently has no experience in complying with such laws, regulations and obligations. These obligations can be burdensome and complicated, and failure to comply with such obligations could have a material adverse effect on Future NRG’s profitability. In addition, we expect that the process of learning about such new obligations as a wholly-owned subsidiary of a public company in the United States will require senior management to devote time and resources to such efforts that might otherwise be spent on the operation of the medical waste management.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NRG is substantially dependent upon our senior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highly dependent on our senior management to manage our business and operations. We also depend on our key personnel for the sales and marketing of our waste management services. We do not maintain key man life insurance on any of our senior management or key personnel. The loss of any one of them would have a material adverse effect on our business and operations. Competition for senior management and our other key personnel is intense and the pool of suitable candidates is limited. We may be unable to locate a suitable replacement for any senior management or key personnel that we lose. In addition, if any member of our senior management or key personnel joins a competitor or forms a competing company, they may compete with us for customers, business partners and other key professionals and staff members of our company. Although each of our senior management and key personnel has signed a confidentiality and non-competition agreement in connection with his employment with us, we cannot assure you that we will be able to successfully enforce these provisions in the event of a dispute between us and any member of our senior management or key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for qualified personnel with other waste management businesses. Intense competition for these personnel could cause our compensation costs to increase, which could have a material adverse effect on our results of operations. Our future success and ability to grow our business will depend in part on the continued service of these individuals and our ability to identify, hire and retain additional qualified personnel. If we are unable to attract and retain qualified employees, we may be unable to meet our business and financial goals.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pay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our operations will result in sufficient revenues to enable us to operate at profitable levels or to generate positive cash flows. Furthermore, there is no assurance our Board of Directors will declare dividends even if we remain profitable. Dividend policy is subject to the discretion of our Board of Directors and will depend on, among other things, our earnings, financial condition, capital requirements and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carry business interruption insurance so we could incur unrecoverable losses if our business is interrupted.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risks inherent to our business, including equipment failure, theft, natural disasters, labor disturbances, business interruptions, property damage and liability. We do not carry any business interruption insurance or third-party liability insurance or other insurance to cover risks associated with our business. As a result, if we suffer losses, damages or liabilities, including those caused by natural disasters or other events beyond our control and we are unable to make a claim again a third party, we will be required to bear all such losses from our own funds, which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profitability is sensitive to general economic conditions and global supply chain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could be adversely affected by conditions in Malaysia, the U.S. and global economies. The Malaysian, U.S. and global financial markets are susceptible to adverse geopolitical and macroeconomic developments, including rising inflation rates, the continuing adverse impact of the COVID-19 outbreak, the imposition of tariffs, the Ukrainian/Russian and United States Middle East conflicts and related sanctions, bank failures, and economic uncertainties related to these conditions. While the COVID-19 outbreak has abated, many of the consequences of the COVID-19 outbreak continue to cause disruption and increased costs for businesses. We believe there continue to be, among other things, supply chain disruptions that are causing delays in the delivery of equipment and inventory and staffing shortages.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inflation rates, particularly in the United States, have increased to levels not seen in years, and increased inflation may result in increases in our operating costs (including our labor costs), reduced liquidity and limits on our ability to access credit or otherwise raise capital on acceptable terms, if at all. In response to rising inflation, the U.S. Federal Reserve has raised, and may again raise, interest rates, which, coupled with reduced government spending and volatility in financial markets, may have the effect of further increasing economic uncertainty and heightening these risks. Further, financial markets around the world experienced volatility following the invasion of Ukraine by Russia in February 2022, the eruption of the Israeli/Palestinian conflict in October 2023 and the United States Middle East conflict in 2026, including as a result of economic sanctions and export controls against Russia and Iran, and countermeasures taken by Russia and Iran.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economic and social impact of these sanctions and countermeasures, in addition to the ongoing military conflicts in Ukraine and the Middle East, which could conceivably expand, remains uncertain; however, both the conflicts and related sanctions have resulted and could continue to result in disruptions to trade, commerce, pricing stability, credit availability, and/or supply chain continuity, in both Europe and globally, and has introduced significant uncertainty into global markets. While we do not currently operate in Russia, Ukraine or the Middle East, as the adverse effects of these conflicts continue to develop, our business and results of operations may be adversely affected. Any of the foregoing could harm our business. Any resulting financial impact cannot be reasonably estimated at this time but may materially affect our business and financial condition. The extent to which the foregoing impacts our results will depend on future developments, which are highly uncertain and cannot be predicted.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may be negatively affected by labor issues and higher labor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our workforce depends on our ability to attract and retain new and existing employees. As of the date of this proxy statement/prospectus, none of our employees are covered by collective bargaining agreements and we consider our labor relations to be acceptable. However, we could experience workforce dissatisfaction which could trigger bargaining issues, employment discrimination liability issues as well as wage and benefit consequences, especially during critical operation periods. We could also experience a work stoppage or other disputes which could disrupt our operations and could harm our operating results. In addition, legislation or changes in regulations could result in labor shortages and higher labor costs. There can be no assurance that we may not experience labor issues that negatively impact our operations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Global economic conditions could negatively affect our prospects for growth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prospects for growth and operating results will be directly affected by the general global economic conditions of the countries in which our international suppliers and their partners operate, as well as the industries in which our customer groups in Malaysia operate. Our business will be highly dependent on the economic and market conditions in Malaysia, where we conduct our operations and generate substantially all of our revenue, as well as in the countries from which we import our products. These conditions affect our business by reducing the demand for fire prevention products in times of economic downturn in Malaysia and increasing the price of our products in times of increasing demand or supply chain disruption affecting our international suppliers. There can be no assurance that global economic conditions will not negatively impact our liquidity, growth prospects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in political, economic and regulatory conditions in Malaysia and the United States could materially affect our financials and prospects. Political, economic and regulatory uncertainties include, amongst others, risks of war, changes in political state, changes in economic conditions, changes in governmental policies such as changes to labour laws, introduction of new rules or regulations, interest rates, tariff rates, fiscal and monetary policies and method of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operations rely on information technology and communications networks, and operations that are vulnerable to damage or disturbance from a variety of sources. Regardless of protection measures, essentially all systems are susceptible to disruption due to failure, vandalism, computer viruses, security breaches, natural disasters, power outages and other events. In addition, cybersecurity threats are evolving and include, among others, malicious software, attempts to gain unauthorized access to data, and other electronic security breaches that could lead to disruptions in our systems, unauthorized release of confidential or otherwise protected information and corruption of data. We also have a concentration of operations in certain sites, e.g., production, and shared services centers, where business interruptions could cause material damage and costs. Transport of goods from suppliers, and to customers, could also be hampered for the reasons stated above. Although we have assessed these risks, implemented controls, and performed business continuity planning, we cannot be sure that interruptions with material adverse effects will not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execute our financial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capital-intensive industry and the amount we spend on capital expenditures may exceed current expectations, which could require us to obtain additional funding for our operations or impair our ability to grow our business. Our financial strategy is dependent on our ability to generate sufficient cash flow to reinvest in our existing business, fund internal growth, acquire other businesses, pay dividends, reduce indebtedness and minimize borrowings, and take other actions to enhance shareholder value. We cannot assure you that we will be successful in executing our pricing programs, that we will generate sufficient cash flow to execute our financial strategy, that we will be able to pay cash dividends at our present rate, that we will be able to increase the amount of such dividends.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remain competitive and to grow and expand our operations largely depends on our cash flow from operations and access to capital. If our operations are unable to offset the impact of inflation and business growth, it may be necessary to increase the amount we spend. Additionally, if we make acquisitions or further expand our operations, the amount we expend on capital expenditures will increase. Our cash needs also will increase if the expenditures increase above our current estimates, which may occur over a long period due to changes in federal, state or local government requirements and other factors beyond our control. Increases in expenditures would negatively impact our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market risks due to fluctuations in interest rates on our debt. Increases in interest rates will increase the cost of new borrowings and our interest expense. Accordingly, fluctuations in interest rates can lead to significant fluctuations in the fair value of our debt instruments. We do not use any derivative instruments to manage our interest rate risk exposure. We have not been subject to nor do we anticipate being exposed to material risks due to changes in interest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Exchange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the Malaysian Ringgit against the U.S. dollar and other currencies may fluctuate and is affected by, among other things, changes in Malaysian and global political and economic conditions. Historically, Bank Negara Malaysia (“BNM”) is mandated by law to promote monetary stability conducive to the sustainable growth of the Malaysian economy. As an open economy, the Ringgit is affected by both domestic and global developments. Domestically, stronger economic prospects will attract more demand for the Ringgit while global developments including interest rate differential and terms of trade will affect demand as well; the Ringgit exchange rate is based on how much foreign investors, businesses and individuals demand the Ringgit in the foreign exchange market, for a given supply. We do not believe that Malaysia currently have any significant direct foreign exchange risk and have not hedged our exposure to foreign currency exchange risk. All of our revenues and expenses are denominated in Ringgit. Fluctuations in the exchange rate will also affect the relative value of any dividend we pay to investors outside Malaysia and earnings from, and the value of, any foreign currency-denominated investments we may make in the future. In addition, as the net proceeds from this offering will be denominated in U.S. dollars, fluctuations in the exchange rate between the U.S. dollar and the Ringgit will affect the relative purchasing power of these proceeds if they are not converted into Ringgit in a timely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Inflation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Malaysia’s Consumer Price Index (“CPI”) has experienced moderate increases in recent periods. According to Bank Negara Malaysia, the headline CPI increased approximately 2.3% and core CPI increased approximately 2.8% in 2025, driven by factors including moderating global input costs and steady domestic demand. Although we have not been materially affected by inflation since our inception, we may be unable to predict or control future inflationary pressures, and higher rates of inflation could adversely affect our business, financial condition, and results of operations. For example, inflation may increase certain of our operating costs and expenses, including personnel expenses, real estate leasing expenses, travel expenses, and general office operating expenses, without a corresponding increase in our revenues. Additionally, because a substantial portion of our assets consists of cash and cash equivalents and short-term investments, sustained or elevated inflation could significantly reduce the value and purchasing power of these assets. We currently do not employ hedging strategies to mitigate our exposure to inflationary pressures in Malaysia, and there can be no assurance that we will be able to do so on favorable terms, or at all,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litigation or governmental proceedings could result in material adverse consequences, including judgments or settlements.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lawsuits, regulatory inquiries, and governmental and other legal proceedings arising out of the ordinary course of our business. Many of these matters raise difficult and complicated factual and legal issues and are subject to uncertainties and complexities. The timing of the final resolutions to lawsuits, regulatory inquiries, and governmental and other legal proceedings is uncertain. Additionally, the possible outcomes or resolutions to these matters could include adverse judgments or settlements, either of which could require substantial payments, adversely affecting our consolidated financial condition, results of operations and cash flows.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additional foreign government regulation in the future that may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business expands outside of the current jurisdictions of Malaysia, further Future NRG’s intent to diversify geographically to Thailand, Philippine and Vietnam, of which it currently has no presence or any business dealings in the respective countries, our operations would be subject to the laws of the countries where we do business, including permitting and compliance requirements that address the similar risks, as well as international legal requirements such as those applicable to our industry. Depending on the country or region, these laws could be more or less stringent. Compliance with these requirements will cause our business to incur costs, and failure to comply with these requirements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manage our growth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strategy places significant demands on our financial, operational and management resources. To continue our growth, we may need to add administrative and other personnel, and will need to make additional investments in operations and systems. We cannot assure you that we will be able to find and train qualified personnel, or do so on a timely basis, or expand our operations and systems to the extent, and in the time,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execute our acquisition 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execute our growth strategy depends in part on our ability to identify and acquire desirable acquisition candidates as well as our ability to successfully consolidate acquired operations into our business. The consolidation of our operations with those of acquired companies may present significant challenges to our management. In addition, competition among our competitors for acquisition candidates may prevent us from acquiring certain acquisition candidates. As such, we cannot assure you that:</w:t>
      </w:r>
    </w:p>
    <w:p>
      <w:pPr>
        <w:pStyle w:val="TextBody"/>
        <w:bidi w:val="0"/>
        <w:spacing w:before="0" w:after="0"/>
        <w:ind w:left="0" w:right="0" w:hanging="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75"/>
        <w:gridCol w:w="230"/>
        <w:gridCol w:w="51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desirable acquisition candidates exist or will be identified;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51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able to acquire any of the candidates identified;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51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effectively consolidate companies we acquire;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51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acquisitions will be profitable or accretive to our earnings.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aforementioned factors force us to alter our growth strategy, our growth prospects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Businesses we acquire may have undisclosed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pursuing any future acquisition strategy, our due diligence investigations of the acquisition candidates may fail to discover certain undisclosed liabilities of the acquisition candidates. If we acquire a company having undisclosed liabilities such as environmental, remediation or contractual, as a successor owner we may be responsible for such undisclosed liabilities. We expect to try to minimize our exposure to such liabilities by conducting due diligence, by obtaining indemnification from each of the sellers of the acquired companies, by deferring payment of a portion of the purchase price as security for the indemnification and by acquiring only specified assets. However, we cannot assure you that we will be able to obtain indemnification or that any indemnification obtained will be enforceable, collectible or sufficient in amount, scope or duration to fully offset any undisclosed liabilities arising from our acquisitions.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compete successfully in our markets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provides waste management services into competitive markets. We believe the principal points of competition in our markets are performance, reliability and innovation, application expertise, brand reputation, timeliness of services, and effectiveness of our services and price. Maintaining and improving our competitive position will require continued investment by us in manufacturing, research and development, engineering, marketing, customer service and support, and our customer networks. We may not be successful in maintaining our competitive position. Our competitors may develop superior waste management services or may develop more efficient or effective methods of providing services or may adapt more quickly than we do to new technologies or evolving customer requirements. Pricing pressures also could cause us to adjust the prices of our services to stay competitive. We may not be able to compete successfully with our existing or new competitors. Failure to continue competing successfully could adversely affect our business, financial condition, results of operations and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our effective tax rates may adversely affect our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our services in Malaysia presently and plan to continue to grow globally in the future. Domestic income tax is calculated at the Malaysian statutory income tax rate of 24% of the estimated assessable profit for the financial year. Taxation for other jurisdictions will be calculated at the rates prevailing in the respective jurisdictions. Given the intended global nature of our business, a number of factors may increase our future effective tax rates, including:</w:t>
      </w:r>
    </w:p>
    <w:p>
      <w:pPr>
        <w:pStyle w:val="TextBody"/>
        <w:bidi w:val="0"/>
        <w:spacing w:before="0" w:after="0"/>
        <w:ind w:left="0" w:right="0" w:hanging="0"/>
        <w:jc w:val="both"/>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75"/>
        <w:gridCol w:w="170"/>
        <w:gridCol w:w="93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jurisdictions in which profits are determined to be earned and taxed;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3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sustainability of historical income tax rates in the jurisdictions in which we conduct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3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resolution of issues arising from tax audits with various tax authorities;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3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valuation of our deferred tax assets and liabilities, and changes in deferred tax valuation allowances.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significant increase in our future effective tax rates could reduce net income for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the U.S. Foreign Corrupt Practices Act or other applicable anti-corruption legislation could result in fines, criminal penalties and an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number of countries throughout the world, including countries known to have a reputation for corruption. We are committed to doing business in accordance with applicable anti-corruption laws. We are subject, however, to the risk that we, our affiliated entities or our or their respective officers, directors, employees and agents may take action determined to be in violation of such anti-corruption laws, including the U.S. Foreign Corrupt Practices Act of 1977, the U.K. Bribery Act of 2010 and others. Any such violation could result in substantial fines, sanctions, civil and/or criminal penalties, and curtailment of operations in certain jurisdictions, and might adversely affect our business, results of operations or financial condition. In addition, actual or alleged violations could damage our reputation and ability to do business. Furthermore, detecting, investigating, and resolving actual or alleged violations is expensive and can consume significant time and attention of our senior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results of operations and financial condition may be adversely affected by global economic and financial market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in Malaysia and expect revenue from this market to be significant for the foreseeable future. Important factors impacting our businesses include the overall strength of this economy and our customers’ confidence in both local and global macro-economic conditions; industrial and local governmental spending; the strength of the residential and commercial markets; interest rates; availability of commercial financing for our customers and end-users; and unemployment rates. A slowdown or downturn in these financial or macro-economic conditions could have a significant adverse effect on our business, financial condition, results of operations and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and expect to continue to experience fluctuations in revenues and operating results due to economic and business cycles, particularly within the portion of our business that provides products and services used in residential and commercial buildings. We believe our level of business activity is influenced by residential and commercial building starts and renovations, which are heavily influenced by interest rates, consumer debt levels, changes in disposable income, employment growth and consumer confidence. Credit market conditions greatly affect the ability of residential and commercial builders to obtain the necessary capital to complete and begin new projects. We closely monitor the credit worthiness of our customers, and evaluate their financial ability to pay for those products and services we provide to them. As it relates to our customers’ ability to pay for products and services, we have not experienced any significant negative impact as a result of the recent economic downturn. If market conditions worsen, it may result in cancellations from our customers or potential customers and adversely affect our revenues and our ability to collect customer receivables and maintain current levels of profitability.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Economic and other risks associated with international operations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Fitters does not currently generate material export sales and its business is not conducted through operations located outside of Malaysia. Because our business depends on our ability to import products from these international suppliers, our import activities are subject in varying degrees to the following risks:</w:t>
      </w:r>
    </w:p>
    <w:p>
      <w:pPr>
        <w:pStyle w:val="TextBody"/>
        <w:bidi w:val="0"/>
        <w:spacing w:before="0" w:after="0"/>
        <w:ind w:left="0" w:right="0" w:hanging="0"/>
        <w:jc w:val="both"/>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75"/>
        <w:gridCol w:w="170"/>
        <w:gridCol w:w="70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possibility of unfavorable circumstances arising from host country laws or regulations;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exchange rate fluctuations and restrictions on currency repatriation;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negative consequences from changes to taxation policies;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 of operations from labor and political disturbances;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trade barriers and import and export licensing requirements;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insurrection or war.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or taxation of, imports under applicable Malaysian or foreign law, currency exchange regulations, or changes in trade policies of the countries in which our suppliers are located could increase the cost of, or restrict our ability to import, the fire safety equipment and components we purchase from our international suppliers for distribution in Malaysia. Because we source products from suppliers located outside of Malaysia, our business is subject to additional uncertainties beyond those we face purely as a domestic Malaysian distributor, including the possibility that foreign governments may impose or increase export restrictions, tariffs or other restrictions affecting our suppliers, or that geopolitical instability in the countries where our suppliers are located may disrupt our supply chain. We cannot predict the impact such future, largely unforeseeable events might have on our business, financial condition, results of operations and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NRG’s business could be adversely affected by significant movements in foreign currency exchange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expand beyond Malaysia, we will be exposed to fluctuations in foreign currency exchange rates, which causes foreign currency risk related to the fluctuation in fair value or future cash flows of a financial instrument as a result of changes in foreign exchange rates. In the first quarter of 2026, the ringgit strengthened against currencies of Malaysia’s major trading partners, as reflected in the 1.4% nominal effective exchange rate appreciation. Looking ahead, while external factors will continue to drive exchange rate movements, Malaysia’s firm economic prospects and sustained reform momentum are expected to provide enduring support to the ringgit. Future NRG did not hold any cash and/or cash equivalents denominated in foreign currencies for working capital purpose. Any significant change in the value of currencies of the countries in which we do business relative to the value of the Malaysian Ringgit (MYR), could affect our ability to sell products competitively and control our cost structure, which could have a material adverse effect on our business, financial condition, results of operations and cash flow.</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NRG is subject to extensive and evolving environmental, health, and safety regulations across multiple jurisdictions in Southeast Asia, and failure to comply with these regulations could result in significant fines, operational disruptions, or the loss of permits necessary to conduct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NRG’s medical waste handling operations are subject to a complex and stringent framework of environmental, health, and safety laws and regulations in Malaysia, and will become subject to additional regulatory regimes as the company expands into Thailand, the Philippines, and Vietnam. These regulations are administered and enforced by numerous governmental authorities, including agencies analogous in function to the U.S. Environmental Protection Agency and the Occupational Safety and Health Administration, as well as by state, provincial, and local regulatory bodies in each jurisdiction. These authorities impose rigorous requirements on virtually every aspect of Future NRG’s operations, including the collection, transportation, storage, treatment, and disposal of medical waste, as well as workplace safety standards for employees engaged in the handling of hazardous and biohazardous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is required to obtain and maintain a variety of governmental permits, licenses, and approvals in order to conduct its operations. The process of obtaining these permits is often lengthy, complex, and uncertain, frequently requiring many months or longer to complete and involving extensive documentation, public comment periods, environmental impact assessments, and multi-agency review. There can be no assurance that Future NRG will be able to obtain or renew all required permits on a timely basis, on favorable terms, or at all, particularly as the company seeks to establish operations in new jurisdictions where it may have limited experience with local regulatory processes. Any delay in obtaining, or failure to obtain or maintain, necessary permits could prevent Future NRG from commencing or continuing operations at affected facilities, which could have a material adverse effect on the company’s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NRG’s facilities and operations are subject to frequent and often unannounced inspections by regulatory authorities. These inspections may result in findings of non-compliance, citations, or enforcement actions. Violations of applicable environmental, health, and safety laws and regulations can result in substantial civil and criminal penalties, including significant monetary fines, remediation obligations, the suspension or revocation of operating permits, and orders requiring the partial or complete shutdown of operations at affected facilities. Even allegations of non-compliance, whether or not ultimately substantiated, may result in negative publicity, increased regulatory scrutiny, and damage to Future NRG’s reputation and relationships with customers, which could adversely affect the Company’s ability to attract and retain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environment governing medical waste handling in Southeast Asia is continuing to evolve and may become more restrictive over time. Malaysia, Thailand, the Philippines, and Vietnam have each undertaken initiatives to strengthen environmental protections and workplace safety standards, and additional regulations may be adopted at the national, state, provincial, or local level that impose new or more stringent requirements on Future NRG’s operations. Compliance with new or modified regulations may require Future NRG to incur significant capital expenditures, modify its operational practices, or invest in new technologies or equipment, any of which could increase the company’s operating costs and reduce its profitability. Furthermore, differences in regulatory standards and enforcement practices across jurisdictions may create additional compliance challenges and operational complexity as Future NRG expands its geographic footprint.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NRG’s planned expansion into Thailand, the Philippines, and Vietnam will subject the company to the laws and regulations of jurisdictions in which it has not previously operated, including environmental permitting, waste management, occupational safety, import and export controls, and other regulatory requirements that may differ materially from those applicable in Malaysia. The company’s ability to successfully navigate these regulatory frameworks will depend on its ability to develop and maintain relationships with local regulatory authorities, hire and retain qualified compliance personnel, and implement effective compliance management systems across multiple jurisdictions. Failure to successfully manage these regulatory risks could delay or prevent the company’s expansion plans, expose it to enforcement actions or litigation, and have a material adverse effect on its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An increase in labor costs of Future NRG’s waste management services could reduce the company’s profit margins, which could adversely impact our financial position, results of operations, or cash flows</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NRG’s medical waste handling operations are labor-intensive, requiring trained personnel to perform the collection, segregation, transportation, treatment, and disposal of medical waste in compliance with applicable environmental, health, and safety regulations. Labor costs, including wages, benefits, training expenses, and costs associated with employee recruitment and retention, constitute a significant portion of Future NRG’s overall operating expenses. Any increase in these costs, whether resulting from market forces, regulatory changes, or competitive pressures, could materially reduce Future NRG’s profit margins and adversely affect our financial position, results of operations, and cash flows.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factors could contribute to increased labor costs for Future NRG’s operations. Minimum wage increases or other changes to labor laws in Malaysia, Thailand, the Philippines, and Vietnam could directly increase the Company’s compensation expenses. The specialized nature of medical waste handling requires employees with specific training and certifications in hazardous materials handling, biohazard safety protocols, and the operation of waste treatment equipment. Competition for qualified workers with these specialized skills may intensify as environmental regulations become more stringent and as the medical waste management industry grows across Southeast Asia, potentially requiring Future NRG to offer higher wages, enhanced benefits, or other incentives to attract and retain a qualified workforce.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compliance with occupational safety and health regulations, including those administered by agencies analogous to the Occupational Safety and Health Administration, may require Future NRG to invest in ongoing employee training programs, personal protective equipment, health monitoring, and other safety-related measures, the costs of which may increase over time as regulatory standards evolve. Changes to labor regulations in any of the jurisdictions in which Future NRG operates or plans to operate, including requirements relating to working hours, overtime compensation, mandatory benefits, employee insurance, or collective bargaining, could further increase the company’s labor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may not be able to pass increased labor costs on to its customers through higher service fees due to competitive pricing pressures, long-term contractual arrangements with fixed or capped pricing, or the price sensitivity of its customer base, which includes hospitals, clinics, laboratories, and other healthcare facilities. If Future NRG is unable to offset rising labor costs through pricing adjustments, operational efficiencies, or other cost-reduction measures, the company’s profit margins could be materially reduced, which could have an adverse effect on our financial position,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Compliance with the United States securities laws and regulations is likely to make it more difficult and expensive for us to obtain directors’ and officers’ liability insurance and to attract and retain qualified members of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the Sarbanes-Oxley Act and the rules and regulations subsequently implemented by the SEC and the Public Company Accounting Oversight Board to impose significant compliance burdens and costs on the operations of the business. Those rules and regulations may make it more difficult and expensive for us to maintain director and officer liability insurance, and we may be required to accept reduced coverage or incur substantially higher costs to maintain coverage. These rules and regulations could also make it more difficult for us to attract and retain qualified members of our board of directors and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substantial doubt regarding Future NRG Sdn. Bhd.’s ability to continue as a going concern, management’s determination that such doubt was alleviated depended on events occurring after the balance sheet date, and Future NRG’s cash position remains critically 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Future NRG Sdn. Bhd.’s continuing operations reported a net loss of USD 67,140 and an operating cash outflow of approximately USD 86,228, and continuing operations had a working capital deficit of USD 4,524,366 as of December 31, 2025, primarily attributable to an intercompany payable to its then-ultimate holding company, Fitters Diversified Berhad (“Fitters”), of USD 4,655,340. These conditions raised substantial doubt about Future NRG’s ability to continue as a going concern within the twelve-month period following the issuance of its FY2025 financial statements. Management evaluated and concluded that, in light of the subsequent debt waiver and the commitment of the then-ultimate holding company, substantial doubt about the Company’s ability to continue as a going concern was alleviated as at the date of issuance of the FY2025 financial statements. This determination depended on Fitters’ unconditional waiver, on March 16, 2026, of the remaining intercompany payable balance of RM 7,855,337 (USD 1,941,507) and the related disposal of Future NRG’s former subsidiary, Solid Orient Holdings Sdn. Bhd., both of which occurred after December 31, 2025 and were outside of Future NRG’s control. There can be no assurance that Fitters, which will no longer be affiliated with Future NRG or the combined company following the Closing, would provide any similar support to Future NRG in the future if needed.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management’s conclusion that substantial doubt was alleviated as of the issuance date of the FY2025 financial statements, Future NRG’s liquidity position remains fragile. At June 30, 2026, Future NRG Sdn. Bhd.’s cash balance of USD27,109 remains at a critically low level relative to its ongoing operating requirements, and Future NRG does not currently have committed external bank credit facilities. Future NRG’s ability to continue as a going concern in future periods is dependent on its ability to generate sufficient cash flows from its medical waste management operations, including improving operational cash generation, timely recovery of outstanding trade receivables, and managing or deferring potential cash outflows arising from the pending AHT Syngas litigation described below. If Future NRG is unable to generate sufficient cash flows from operations, raise additional capital, or otherwise access liquidity when needed, its business, financial condition and results of operations, and those of the combined company following the Closing, could be materially and adversely affected.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NRG Sdn. Bhd. is subject to two legal proceedings brought by AHT Syngas Technology NV, including litigation scheduled for trial in the second half of 2026, and Future NRG’s current liabilities consist almost entirely of a legal provision related to this litigation, with no committed external credit facility available if an adverse outcome requires immediate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 is a defendant in two legal proceedings filed by AHT Syngas Technology NV (“AHT”) in the Shah Alam High Court. In the first proceeding (Case No. BA-22NCC-104-08/2021), AHT claimed EUR 1,783,810 relating to a coal gasification system; this case was struck out on September 8, 2025 following AHT’s non-compliance with a security-for-costs order, and AHT has appealed (Appeal No. B-02(IM)(NCC)-1992-10/2025), with hearing date fixed for April 28, 2027. No provision has been recognized for this case because management does not consider a loss to be probable, although there can be no assurance regarding the outcome of AHT’s appeal. In the second proceeding (Case No. BA-22NCC-57-04/2022), AHT claimed EUR 342,857 relating to a biomass gasification plant contract; this case is presently proceeding to trial, with further proceedings dates including the testimony of an expert witness, are scheduled for 18, 25 and 28 September 2026. Future NRG has recognized a provision of USD 403,924 as at June 30, 2026 (December 31, 2025: USD 405,566), representing management’s best estimate of the probable loss associated with this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liabilities of USD 483,836 as of June 30, 2026 consist almost entirely of a USD 403,924 legal provision related to the ongoing AHT Syngas Technology litigation. The ongoing AHT Syngas Technology litigation (Case No. BA-22NCC-57-04/2022) represents approximately 83.5% of total current liabilities. Because we currently possess no external, committed bank credit facilities, any adverse judgment, settlement, or immediate cash payment obligation in either AHT proceeding that exceeds our current operational cash flows, or that exceeds the amount currently provisioned, would severely threaten our operational capability and liquidity, including our ability to continue as a going concern. Any such adverse outcome could also delay or otherwise adversely affect the combined company’s ability to realize the anticipated benefits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Combined Company following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determining whether you should approve the Transaction, the issuance of shares of Parent Common Stock and other matters related to the Transaction you should carefully read the following risk factors in addition to the risks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the combined company’s common stock is expected to be volatile, and the market price of its common stock may drop following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the common stock of BGMS following the Transaction could be subject to significant fluctuations. Some of the factors that may cause the market price of the company’s common stock to fluctuate include:</w:t>
      </w:r>
    </w:p>
    <w:p>
      <w:pPr>
        <w:pStyle w:val="TextBody"/>
        <w:bidi w:val="0"/>
        <w:spacing w:before="0" w:after="0"/>
        <w:ind w:left="0" w:right="0" w:hanging="0"/>
        <w:jc w:val="both"/>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75"/>
        <w:gridCol w:w="170"/>
        <w:gridCol w:w="98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reports on the progress of the combined company’s sales of the products and services and their growth or the lack thereof;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maintain its existing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by the company to prosecute, maintain, or enforce its intellectual property rights;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or regulations applicable to its products and services;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inability to obtain adequate supply of its products and services or the inability to do so at acceptable prices;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regulatory authority decisions;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introduction of new products, services, or technologies by its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meet or exceed financial and development projections that the company may provide to the public;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meet or exceed the financial and development projections of the investment community;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perception of the company’s products and services among the fire safety industry and green energy industry by the public, legislatures, regulators and the investment community;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significant acquisitions, strategic collaborations, joint ventures, or capital commitments by the company or its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or other developments relating to proprietary rights, including intellectual property, litigation matters, and its ability to obtain protection for its technologies;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key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lawsuits, including patent or stockholder litigation;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or industry analysts do not publish research or reports about its business, or if they issue adverse or misleading opinions regarding its business and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market valuations of similar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market or macroeconomic conditions;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common stock by BGMS or its stockholders in the future;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volume of Parent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introduction of technological innovations or new therapies that compete with potential products of the company;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period-to-period fluctuations in the company’s financial results.</w:t>
            </w:r>
          </w:p>
        </w:tc>
      </w:tr>
    </w:tbl>
    <w:p>
      <w:pPr>
        <w:pStyle w:val="TextBody"/>
        <w:bidi w:val="0"/>
        <w:spacing w:before="0" w:after="0"/>
        <w:ind w:left="108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stock market in general has experienced substantial volatility that has often been unrelated to the operating performance of individual companies. These broad market fluctuations may also adversely affect the trading price of BGMS common stock. In the past, following periods of volatility in the market price of a company’s securities, stockholders have often instituted class action securities litigation against those companies. Such litigation, if instituted, could result in substantial costs and diversion of management attention and resources, which could significantly harm the combined company’s profitability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 decrease in the stock price of BGMS may cause BGMS common stock to no longer satisfy the continued listing standards of The Nasdaq Capital Market. If BGMS is not able to maintain the requirements for listing on The Nasdaq Capital Market, it could be delisted, which could have a materially adverse effect on its ability to raise additional funds as well as the price and liquidity of its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combined company will incur costs and demands upon management as a result of complying with the laws and regulations affecting public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 will incur significant legal, accounting and other expenses including costs associated with being a Nasdaq-listed public company and the corresponding reporting and compliance requirements by Nasdaq, the Securities and Exchange Commission and other federal regulators in the United States. In addition, the company will also incur costs associated with corporate governance requirements, including requirements under the Sarbanes-Oxley Act, as well as new rules implemented by the SEC and Nasdaq. These rules and regulations may also make it difficult and expensive for the combined company to obtain directors’ and officers’ liability insurance. As a result, it may be more difficult for the combined company to attract and retain qualified individuals to serve on its board of directors or as executive officers of the combined company, which may adversely affect investor confidence in the combined company and could cause the company’s business or stock price to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combined company may experience adverse consequences because of required indemnification of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the combined company’s amended and restated certificate of incorporation and bylaws provide that it will indemnify any director and officer as to liabilities incurred in their capacity as a director or officer and on those terms and conditions set forth therein to the fullest extent of Delaware law. Further, the combined company may purchase and maintain insurance on behalf of any such persons whether or not the company would have the power to indemnify such person against the liability insured against. The foregoing could result in substantial expenditures by the combined company and prevent any recovery from its officers, directors, agents and employees for losses incurred by the company as a result of their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executive officers of the combined company will devote a portion of their time to other companies, which may create competing demands on their time and attention and could affect their ability to devote sufficient time and attention to our business.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combined company’s anticipated executive officers currently hold, and are expected to continue to hold following the closing of the Transaction, positions with other companies. ARC Group Acquisition I Corp (Nasdaq: ARCL) completed its initial public offering on the Nasdaq Global Market on May 5, 2026 and is currently pursuing a pending de-SPAC business combination with Firstborn Top Capital Sdn. Bhd. (“FBTC”), a Malaysian private limited company, which, if completed, would result in FBTC becoming a wholly-owned subsidiary of ARCL, which is expected to be renamed BlueCrest Investment Inc. The ARCL/FBTC de-SPAC transaction is expected to run concurrently with the BGMS/Future NRG Transaction, and both transactions require significant executive time and attention for regulatory filings, SEC review, due diligence, and closing. Datuk Dr. Doris Wong serves as Chief Executive Officer and Executive Director of both BGMS and ARCL, and Mr. Kiu Cu Seng serves as Chief Financial Officer of both BGMS and ARCL. In addition, all three of BGMS’s independent directors—Soon Ping Pappas, Dr. Satis Waran Nair Krishnan, and Inigo Angel Laurduraj—also serve as directors of ARCL. Datuk Dr. Doris Wong also serves as an Executive Director of Metronic Global Bhd (“Metronic”). While we are unaware of any conflicts at this time, the concurrent pursuit of these two transactions by substantially overlapping management teams and boards of directors creates a heightened risk that management’s time, attention, and resources may be divided, and that conflicts of interest may arise in allocating management and board time between the two transactions. There can be no assurance that conflicts arising from these concurrent transactions and overlapping management will always be resolved in favor of BGMS or its stockholders. These competing demands and any resulting inability of the executive officers to devote sufficient time and attention to the combined company’s business could adversely affect its business, financial condition, and results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Datuk Dr. Doris Wong, she ceased as a director of BSL Corporation Berhad in August 2025 and subsequently from Trive Property Group Bhd as a non-independent non-executive director on July 15, 2026. With respect to her continuing position as an Executive Director of Metronic, Metronic has three Executive Directors, of whom the other two Executive Directors are principally responsible for Metronic’s day-to-day management and overall operations. Datuk Dr. Doris Wong’s involvement at Metronic is primarily advisory in nature and is focused on environmental, social, and governance matters; she is not responsible for Metronic’s daily operational management. With respect to her position at ARCL, ARCL completed its initial public offering on the Nasdaq Global Market on May 5, 2026 and is currently pursuing the pending de-SPAC business combination with FBTC described above. That transaction is expected to proceed concurrently with the BGMS/Future NRG Transaction and to require significant time and attention as it progresses toward closing, including for regulatory filings, SEC review, due diligence, and closing.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Kiu Cu Seng, he resigned from his positions with BCM Alliance Bhd and Trive Property Group Bhd in September 2025, resigned from his position with Computer Forms (M) Bhd in December 2025 and resigned from his position with Sanichi on August 31, 2026. With respect to his position as Chief Financial Officer of ARCL, Mr. Kiu is involved in ARCL’s pending de-SPAC business combination with FBTC, which is expected to proceed concurrently with the BGMS/Future NRG Transaction. Although his responsibilities may currently be limited to transaction-related financial reporting, corporate transactions, and financial regulatory compliance, ARCL’s time demands on Mr. Kiu are expected to increase as the ARCL/FBTC transaction progresses toward closing. Mr. Kiu intends to resign from ARCL at the closing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Parent does not anticipate that the combined company will pay any cash dividends on its common stock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expectation is that the combined company will retain its future earnings, if any, to fund the development and growth of the company’s business. As a result, capital appreciation, if any, of the common stock of the company will be your sole source of gain, if any,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active trading market for the post-Transaction combined company’s common stock may not develop and its stockholders may not be able to resell their shares of common stock for a profit,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of the Transaction, an active trading market for the combined company’s shares of common stock may never develop or be sustained. If an active market for the combined company’s common stock does not develop or is not sustained, it may be difficult for stockholders to sell their shares at an attractive price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ownership of Parent Common Stock is highly concentrated, it may prevent you and other stockholders from influencing significant corporate decisions and may result in conflicts of interest that could cause BGMS stock price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officers and directors of BGMS and their affiliates and entities that are related to such officers and directors, and Selling Shareholders are expected to beneficially own or control approximately more than 99.0% of the outstanding shares of common stock of the combined company following the completion of the Transaction. Accordingly, these executive officers, directors and their affiliates, and Selling Shareholders acting as a group, will have substantial influence over the outcome of corporate actions requiring stockholder approval, including the election of directors, any merger, consolidation or sale of all or substantially all of the combined company assets or any other significant corporate transactions. These stockholders may also delay or prevent a change of control of the combined company, even if such a change of control would benefit the other stockholders of the combined company. The significant concentration of stock ownership may adversely affect the trading price of the combined company’s common stock due to investors’ perception that conflicts of interest may exist or arise, and may adversely affect the liquidity of the our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be a “controlled company” within the meaning of the Nasdaq listing rules, and, as a result, will qualify for, and may rely on, exemptions from certain corporate governance requirements that provide protection to stockholders of companies that are not controlled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2026, Perfect Energy Sdn. Bhd. (“Perfect Energy”), a Malaysian private limited company, acquired 15,400,000 ordinary shares of Future NRG, representing 55% of Future NRG’s total issued and outstanding ordinary shares, from Fitters Diversified Berhad pursuant to a share sale agreement. As a result, Perfect Energy is currently the largest shareholder of Future NRG and, upon the Closing of the Transaction, is expected to become the largest stockholder of the combined company. Because the Selling Shareholders, including Perfect Energy, are expected to receive Exchange Shares representing more than 99% of the outstanding shares of Parent Common Stock immediately following the Closing, and because Perfect Energy holds 55% of Future NRG’s outstanding ordinary shares, Perfect Energy is expected to beneficially own approximately 54% of the outstanding shares of Parent Common Stock immediately following the Closing, based on its proportionate share of the aggregate Exchange Shares to be issued to the Selling Shareholders. This percentage is subject to adjustment based on the final number of Exchange Shares issued at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Perfect Energy is expected to hold more than 50% of the voting power of Parent Common Stock following the Closing, the combined company will be deemed a “controlled company” within the meaning of Nasdaq Listing Rule 5615(c)(1), which provides an exemption from certain Nasdaq corporate governance requirements for companies in which more than 50% of the voting power is held by an individual, a group, or another company. As a controlled company, the combined company will not be required to comply with certain Nasdaq listing requirements, including the requirements that (i) a majority of the combined company’s board of directors consist of independent directors, (ii) the combined company’s director nominations be made, or recommended to the full board of directors, by a nominating committee composed solely of independent directors or by a majority of independent directors, and (iii) the combined company’s executive officer compensation be determined, or recommended to the full board of directors, by a compensation committee composed solely of independent directors or by a majority of independent directors. The combined company intends to rely on one or more of these exemptions following the Closing, to the extent its board of directors determines it is advisable to do so, although no final determination has been made as to which exemptions, if any, the combined company will utilize or for how long. The combined company’s audit committee will remain subject to the applicable independence requirements of Nasdaq and the SEC, which do not provide a controlled company exemption for audit committee composition.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combined company elects to rely on any of these exemptions, you will not have the same protections afforded to stockholders of companies that are subject to all of the Nasdaq corporate governance requirements, including with respect to the independence of the combined company’s board of directors and its nominating and compensation committees. The absence of a majority independent board or independent nominating and compensation committees could result in the combined company’s board of directors and management being less accountable to stockholders other than Perfect Energy, and could result in the combined company being managed in a manner that reflects the interests of Perfect Energy, which may differ from, or conflict with, the interests of the combined company’s other stockholders. In addition, Perfect Energy’s ability to control the outcome of matters submitted to a vote of stockholders, including the election of directors and approval of significant corporate transactions, may discourage third parties from seeking to acquire control of the combined company through a tender offer, proxy contest or otherwise, even if such a transaction would be beneficial to the combined company’s other stockholders, and may adversely affect the market price of the combined company’s common stock. There can be no assurance that Perfect Energy will exercise its control in a manner that is consistent with, or beneficial to, the interests of the combined company’s other stockholders.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equity research analysts do not publish research or reports, or publish unfavorable research or reports about the company, its business or its market, its stock price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the combined company’s common stock will be influenced by the research and reports that equity research analysts publish about it and its business. Equity research analysts may elect not to provide research coverage of the combined company’s common stock after the completion of the Transaction, and such lack of research coverage may adversely affect the market price of its common stock. In the event it does have equity research analyst coverage, the combined company will not have any control over the analysts or the content and opinions included in their reports. The price of the combined company’s common stock could decline if one or more equity research analysts downgrade its stock or issue other unfavorable commentary or research. If one or more equity research analysts ceases coverage of the combined company or fails to publish reports on it regularly, demand for its common stock could decrease, which in turn could cause its stock price or trading volume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combined company fails to maintain proper and effective internal controls, its ability to produce accurate financial statements on a timely basis could be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post-Transaction combined company will be subject to the reporting requirements of the Exchange Act, the Sarbanes-Oxley Act and Nasdaq rules and regulations. The Sarbanes-Oxley Act requires, among other things, that the combined company maintain effective disclosure controls and procedures and internal control over financial reporting. Effective internal control over financial reporting is necessary for the combined company to provide reliable financial reports and, together with adequate disclosure controls and procedures, is designed to prevent fraud.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 must perform system and process evaluation and testing of its internal control over financial reporting to allow management to report on the effectiveness of its internal controls over financial reporting in its Annual Report on Form 10-K for each year, as required by Section 404 of the Sarbanes-Oxley Act, or Section 404. As a private company, Future NRG has never been required to test its internal controls within a specified period. This will require significant management efforts and will require the combined company to incur substantial professional fees and internal costs to expand its accounting and finance functions. The combined company may experience difficulty in meeting these reporting requirements in a timely manner. Any failure to implement required new or improved controls, or difficulties encountered in their implementation, could cause the combined company to fail to meet its reporting obligations. In addition, any testing by the combined company, as and when required, conducted in connection with Section 404, or any subsequent testing by the combined company’s independent registered public accounting firm, as and when required, may reveal deficiencies in the combined company’s internal control over financial reporting that are deemed to be significant deficiencies or material weaknesses or that may require prospective or retroactive changes to its financial statements or identify other areas for further attention or improvement. If the combined company is not able to comply with the requirements of Section 404 of the Sarbanes-Oxley Act, or if it is unable to maintain proper and effective internal controls, the combined company may not be able to produce timely and accurate financial statements. If that were to happen, the market price of its common stock could decline and it could be subject to sanctions or investigations by Nasdaq, the SEC, or other regulatory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combined company’s business will span the fire safety equipment and clinical and medical waste management treatment industries across multiple countries, and the combined company will depend on a limited number of members of management and the board of directors who have not previously overseen a company with this combined scope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of the Transaction, the combined company will operate two distinct business lines—the fire safety equipment supply, distribution, and installation business conducted through Fitters Sdn. Bhd., and the clinical and medical waste collection, transportation, and treatment business conducted through Future NRG—each subject to different regulatory regimes, customer bases, and operational requirements, and each of which the combined company intends to grow across multiple countries in Southeast Asia. Overseeing two operationally distinct, regulation-intensive businesses operating, or planned to operate, in multiple jurisdictions will require a broad range of management and governance expertise, including expertise specific to fire safety regulation and distribution in Malaysia and expertise specific to environmental permitting and medical waste treatment across Malaysia and the additional countries into which Future NRG intends to expand.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company’s ability to manage this expanded and diversified business will depend substantially on the continued service of a limited number of members of its senior management and board of directors, including Datuk Dr. Doris Wong, its Chief Executive Officer, and Mr. Pun Kah Weng, the Future NRG representative expected to join the combined company’s board of directors following the Closing, among others. Neither the current members of BGMS’ management team nor the current members of Future NRG’s management team have prior experience managing a combined enterprise of this scope, spanning both the fire safety equipment and clinical and medical waste management treatment industries across multiple countries. The loss of the services of one or more of these key individuals, or the combined company’s failure to attract, retain, and integrate additional qualified management and board members with the necessary industry-specific and multi-jurisdictional expertise, could impair the combined company’s ability to effectively manage and grow both of its business lines, which could have a material adverse effect on the combined company’s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 w:name="ak_002"/>
      <w:bookmarkEnd w:id="30"/>
      <w:r>
        <w:rPr>
          <w:rFonts w:ascii="Times New Roman;Times;Serif" w:hAnsi="Times New Roman;Times;Serif"/>
          <w:b/>
          <w:i w:val="false"/>
          <w:caps w:val="false"/>
          <w:smallCaps w:val="false"/>
          <w:sz w:val="20"/>
        </w:rPr>
        <w:t>RISKS RELATED TO OUR COMMON STOCK FOLLOWING THE EFFECTIVE DATE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the context requires otherwise, references in the following “Risks Related to our Common Stock following the Effective Date of the Transaction” in this proxy statement/prospectus to “we,” “us” and “our” are to the Parent after the Effective Date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common stock has been, and may continue to be volatile and fluctuate significantly, which could result in substantial losses for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has been and is likely to continue to be highly volatile. Our common stock began trading March 16, 2004 and is traded on The Nasdaq Capital Market under the symbol “BGMS,” previously “CYCC.” As with any public company, some investors hold a short position in our common stock. Such investors have published and distributed information about our company including on past and recent clinical trials. Activities by these investors may increase the volatility of the market price of our common stock, and may affect our ability to raise additional funds and to complete any potential future clinical trials or transactions. Our stock price could be subject to wide fluctuations due to many factors, including: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any potential strategic options that we pursue, including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changes in governmental regulations or in the status of regulatory approvals or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disputes or other developments with respect to our intellectual property rights or the intellectual property rights of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product liability claims or other litigation, including intellectual property or securities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sales of large blocks of our common stock, including sales by our executive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changes in earnings estimates or recommendations by securities analysts;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meet investors’ expectations regarding our future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media exposure of our products or products of our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volume and timing of sales of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introduction of new products and services or product and service enhancements by us or our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develop, obtain regulatory clearance or approval for new and enhanced products and services, if any, on a timely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quarterly variations in our or our competitors’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developments in our industry;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general market conditions and other factors, including factors unrelated to our operating performance or the operating performance of our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 active and liquid market may not develop or persist, and you may not be able to sell your shares quickly or at a price that is higher than what you paid for them. These and other factors may make the price of our stock volatile and subject to unexpected fluctuations.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ak_003"/>
      <w:bookmarkEnd w:id="31"/>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statement/prospectus and the documents incorporated by reference into this proxy statement/prospectus contain forward-looking statements. The following cautionary statements are made pursuant to the safe harbor provisions of the Private Securities Litigation Reform Act of 1995. These forward-looking statements are based on current expectations and beliefs and involve numerous risks and uncertainties that could cause actual results to differ materially from expectations. These forward-looking statements should not be relied upon as predictions of future events as we cannot assure you that the events or circumstances reflected in these statements will be achieved or will occur. You can identify forward-looking statements by the use of forward-looking terminology including “believes,” “expects,” “may,” “will,” “should,” “seeks,” “intends,” “plans,” “pro forma,” “estimates,” or “anticipates” or the negative of these words and phrases or other variations of these words and phrases or comparable terminology. All statements other than statements of historical fact are statements that could be deemed forward-looking statements. For example, forward-looking statements include, but are not limited to statements about: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strategies, prospects, plans, expectations and objectives of management for future operations of the combined company following the closing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progress, scope or duration of the development of product candidates or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benefits that may be derived from product candidates or the commercial or market opportunity in any target indication;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ability of Parent and the Company to protect their 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ability of Parent to maintain compliance with Nasdaq listing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anticipated operations, financial position, losses, costs or expenses of Parent or the Company following the closing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statements regarding future economic conditions or performance and/or its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approval and closing of the Transaction, including the timing of the Transaction, the ability of Parent to solicit a sufficient number of proxies to approve the Transaction, other conditions to the completion of the Transaction and relative ownership levels as of the closing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expected benefits of and potential value created by the Transaction for the stockholders of Parent;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statements of belief and any statement of assumptions underlying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discussion of the factors that may cause Parent or the Company’s actual results, performance or achievements following closing of the proposed Transaction to differ materially from any future results, performance or achievements expressed or implied in such forward-looking statements, or for a discussion of risk associated with the ability of Parent and Future NRG to complete the Transaction and the effect of the Transaction on the business of Parent and the Company following the completion of the Transaction, see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above in this proxy statement/prospectus. Additional factors that could cause actual results to differ materially from those expressed in the forward-looking statements are discussed in reports filed with the SEC by Parent. See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There can be no assurance that the Transaction will be completed, or if it is completed, that it will close within the anticipated time period or that the expected benefits of the Transaction will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risks or uncertainties materializes or any of these assumptions proves incorrect, the results of Parent or the Company following completion of the Transaction could differ materially from the forward-looking statements. All forward-looking statements in this proxy statement/prospectus are current only as of the date on which the statements were made. Parent and the Company do not undertake any obligation (and expressly disclaim any such obligation to) to publicly update any forward-looking statement to reflect events or circumstances after the date on which any statement is made or to reflect the occurrence of unanticipated events.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2" w:name="ak_004"/>
      <w:bookmarkEnd w:id="32"/>
      <w:r>
        <w:rPr>
          <w:rFonts w:ascii="Times New Roman;Times;Serif" w:hAnsi="Times New Roman;Times;Serif"/>
          <w:b/>
          <w:i w:val="false"/>
          <w:caps w:val="false"/>
          <w:smallCaps w:val="false"/>
          <w:sz w:val="20"/>
        </w:rPr>
        <w:t>THE SPECIAL MEETING OF STOCKHOLDERS OF PARENT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 w:name="ak_005"/>
      <w:bookmarkEnd w:id="33"/>
      <w:r>
        <w:rPr>
          <w:rFonts w:ascii="Times New Roman;Times;Serif" w:hAnsi="Times New Roman;Times;Serif"/>
          <w:b/>
          <w:i w:val="false"/>
          <w:caps w:val="false"/>
          <w:smallCaps w:val="false"/>
          <w:sz w:val="20"/>
        </w:rPr>
        <w:t>Date, Time and 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will be held virtually at 12:30 p.m., Eastern Time, on November 19, 2026. Parent is sending this proxy statement/prospectus to its stockholders in connection with the solicitation of proxies by the board of directors for use at the special meeting and any adjournments or postponements of the special meeting. This proxy statement/prospectus is first being furnished to stockholders on or about October 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 w:name="ak_006"/>
      <w:bookmarkEnd w:id="34"/>
      <w:r>
        <w:rPr>
          <w:rFonts w:ascii="Times New Roman;Times;Serif" w:hAnsi="Times New Roman;Times;Serif"/>
          <w:b/>
          <w:i w:val="false"/>
          <w:caps w:val="false"/>
          <w:smallCaps w:val="false"/>
          <w:sz w:val="20"/>
        </w:rPr>
        <w:t>Purposes of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special meeting is for the holders of Parent’s common stock, par value $0.001 per share (“Common Stock” or “Parent Common Stock”)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4"/>
        <w:gridCol w:w="9996"/>
      </w:tblGrid>
      <w:tr>
        <w:trPr/>
        <w:tc>
          <w:tcPr>
            <w:tcW w:w="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Proposal No. 1 - approve the issuance of shares of Common Stock of Bio Green Med Solution, Inc. (“BGMS” or “Parent”) to Selling Shareholders pursuant to the terms of the Business Combination Agreement among BGMS, Future NRG Sdn. Bhd. (“Future NRG” or the “Company”) and all of the shareholders of Future NRG (the “Selling Shareholders”), dated as of June 4, 2026, a copy of which is attached as </w:t>
            </w:r>
            <w:r>
              <w:rPr>
                <w:rFonts w:ascii="Times New Roman;Times;Serif" w:hAnsi="Times New Roman;Times;Serif"/>
                <w:b w:val="false"/>
                <w:i/>
                <w:caps w:val="false"/>
                <w:smallCaps w:val="false"/>
                <w:sz w:val="20"/>
              </w:rPr>
              <w:t>Annex A</w:t>
            </w:r>
            <w:r>
              <w:rPr>
                <w:rFonts w:ascii="Times New Roman;Times;Serif" w:hAnsi="Times New Roman;Times;Serif"/>
                <w:b w:val="false"/>
                <w:i w:val="false"/>
                <w:caps w:val="false"/>
                <w:smallCaps w:val="false"/>
                <w:sz w:val="20"/>
              </w:rPr>
              <w:t xml:space="preserve"> and incorporated by reference herein, and is referred to as the Business Combination Agreement (“Proposal No. 1”);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2 - comply with Nasdaq Listing Rule 5635(a), the issuance of more than 20% of the issued and outstanding shares of Parent Common Stock and Nasdaq Listing Rule 5635(b), the change of control of BGMS, in connection with the Transaction (“Proposal No. 2”);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3 – approve the amendment to the Amended and Restated Certificate of Incorporation of BGMS to increase the number of shares of Parent Common Stock that BGMS is authorized to issue to 3,000,000,000 shares (“Proposal No. 3”);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4 – approve an amendment to the Amended and Restated Certificate of Incorporation to effect a reverse stock split of the issued and outstanding shares of Parent Common Stock (the “Reverse Stock Split”), at a reverse stock split ratio to be determined by the Board within a range of not less than 1:4 and not more than 1:16 (“Proposal No. 4”);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5 – approve, for purposes of complying with applicable Delaware law, the rules and regulations of the SEC and Nasdaq and BGMS’ governing documents, the issuance and sale by BGMS, from time to time during the 24-month period following the Transaction (the “Future Financing”), of shares of Parent Common Stock, warrants to purchase shares of Parent Common Stock and/or other securities exercisable for, convertible into or otherwise linked to Parent Common Stock in one or more financing transactions (“Proposal No. 5”);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6 - consider and vote upon an adjournment of the special meeting, if necessary, to solicit additional proxies if there are not sufficient votes in favor of the proposals set forth above (“Proposal No. 6”); and 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 such other business as may properly come before the stockholders at the special meeting or any adjournment or postponement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Parent may transact such other business as may properly come before the stockholders at the special meeting or any adjournment or postponement thereof. After careful consideration, the board of directors of Parent has unanimously approved the Business Combination Agreement and the proposals described in this proxy statement/prospectus, and the board of directors has determined that it is advisable to consummate the Transaction. Our board of directors recommends that stockholders vote “FOR” the proposals described in the accompanying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Proposal No. 1, Proposal No. 2, Proposal No. 3, Proposal No. 4 and Proposal No. 5 are conditioned upon each other and the approval of each such proposal is a condition to the completion of the Transaction. Therefore, the Transaction cannot be consummated without the approval of Proposal No. 1, Proposal No. 2, Proposal No. 3, Proposal No. 4 and Proposal No. 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 w:name="ak_007"/>
      <w:bookmarkEnd w:id="35"/>
      <w:r>
        <w:rPr>
          <w:rFonts w:ascii="Times New Roman;Times;Serif" w:hAnsi="Times New Roman;Times;Serif"/>
          <w:b/>
          <w:i w:val="false"/>
          <w:caps w:val="false"/>
          <w:smallCaps w:val="false"/>
          <w:sz w:val="20"/>
        </w:rPr>
        <w:t>Recommendation of the Board of Directors of Bio Green Med Solution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determined and believes that the issuance of shares of Parent Common Stock pursuant to the Business Combination Agreement is fair to, and in the best interests of, Parent and its stockholders and has unanimously approved such items. The board of directors recommends that stockholders vote “FOR” Proposal No. 1, Proposal No. 2, Proposal No. 3, Proposal No. 4 and Proposal No. 5 to approve the issuance of shares of Parent Common Stock pursuant to the Business Combination Agreement, the issuance of greater than 20% of Parent Common Stock resulting from the Transaction and the increase to the number of shares of Parent Common Stock authorized for issues by the Parent.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determined and believes that adjourning the special meeting, if necessary, to solicit additional proxies if there are not sufficient votes in favor of Proposal No. 1, Proposal No. 2, Proposal No. 3, Proposal No. 4 and Proposal No. 5 is fair to, and in the best interests of, Parent and its stockholders and has unanimously approved and adopted the proposal. The board of directors recommends that stockholders vote “FOR” Proposal No. 6 to adjourn the special meeting, if necessary, to solicit additional proxies if there are not sufficient votes in favor of Proposal No. 1, Proposal No. 2, Proposal No. 3, Proposal No. 4 and Proposal No. 5.</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 w:name="ak_008"/>
      <w:bookmarkEnd w:id="36"/>
      <w:r>
        <w:rPr>
          <w:rFonts w:ascii="Times New Roman;Times;Serif" w:hAnsi="Times New Roman;Times;Serif"/>
          <w:b/>
          <w:i w:val="false"/>
          <w:caps w:val="false"/>
          <w:smallCaps w:val="false"/>
          <w:sz w:val="20"/>
        </w:rPr>
        <w:t>Record Date and Voting 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holders of record of Parent Common Stock at the close of business on the record date, October 5, 2026, are entitled to notice of, and to vote at, the special meeting. At the close of business on the record date, there were 6,622,794 shares of Parent Common Stock issued and outstanding. Each share of common stock entitles the holder thereof to one vote on each matter submitted for stockholder approval. See the section entitled “</w:t>
      </w:r>
      <w:r>
        <w:rPr>
          <w:rFonts w:ascii="Times New Roman;Times;Serif" w:hAnsi="Times New Roman;Times;Serif"/>
          <w:b w:val="false"/>
          <w:i/>
          <w:caps w:val="false"/>
          <w:smallCaps w:val="false"/>
          <w:sz w:val="20"/>
        </w:rPr>
        <w:t>Principal Stockholders of Parent</w:t>
      </w:r>
      <w:r>
        <w:rPr>
          <w:rFonts w:ascii="Times New Roman;Times;Serif" w:hAnsi="Times New Roman;Times;Serif"/>
          <w:b w:val="false"/>
          <w:i w:val="false"/>
          <w:caps w:val="false"/>
          <w:smallCaps w:val="false"/>
          <w:sz w:val="20"/>
        </w:rPr>
        <w:t>” in this proxy statement/prospectus for information regarding persons known to the management of Parent to be the beneficial owners of more than 5% of the outstanding shares of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7" w:name="ak_009"/>
      <w:bookmarkEnd w:id="37"/>
      <w:r>
        <w:rPr>
          <w:rFonts w:ascii="Times New Roman;Times;Serif" w:hAnsi="Times New Roman;Times;Serif"/>
          <w:b/>
          <w:i w:val="false"/>
          <w:caps w:val="false"/>
          <w:smallCaps w:val="false"/>
          <w:sz w:val="20"/>
        </w:rPr>
        <w:t>Voting and Revocation of Proxies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proxy accompanying this proxy statement/prospectus is solicited on behalf of the board of directors for use at the special meeting. If you are a stockholder of record, you may vote in one of the following ways: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 may vote by mail</w:t>
            </w:r>
            <w:r>
              <w:rPr>
                <w:rFonts w:ascii="Times New Roman;Times;Serif" w:hAnsi="Times New Roman;Times;Serif"/>
                <w:b w:val="false"/>
                <w:i w:val="false"/>
                <w:caps w:val="false"/>
                <w:smallCaps w:val="false"/>
                <w:sz w:val="20"/>
              </w:rPr>
              <w:t>. Complete, sign and date the proxy card that accompanies this proxy statement and return it promptly in the postage-prepaid envelope provided (if you receive printed proxy materials). Your completed, signed and dated proxy card must be received prior to the special meeting.</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 may vote by telephone</w:t>
            </w:r>
            <w:r>
              <w:rPr>
                <w:rFonts w:ascii="Times New Roman;Times;Serif" w:hAnsi="Times New Roman;Times;Serif"/>
                <w:b w:val="false"/>
                <w:i w:val="false"/>
                <w:caps w:val="false"/>
                <w:smallCaps w:val="false"/>
                <w:sz w:val="20"/>
              </w:rPr>
              <w:t>. To vote over the telephone, dial toll-free 1-800-579-1639 using a touch-tone telephone and follow the recorded instructions (have your Notice of Internet Availability or proxy card in hand when you call). You will be asked to provide the company number and control number from your Notice of Internet Availability or proxy card. Telephone voting is available 24 hours a day, 7 days a week, until 11:59 p.m., Eastern Time, on November 18, 2026.</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 may vote via the Internet</w:t>
            </w:r>
            <w:r>
              <w:rPr>
                <w:rFonts w:ascii="Times New Roman;Times;Serif" w:hAnsi="Times New Roman;Times;Serif"/>
                <w:b w:val="false"/>
                <w:i w:val="false"/>
                <w:caps w:val="false"/>
                <w:smallCaps w:val="false"/>
                <w:sz w:val="20"/>
              </w:rPr>
              <w:t>. To vote via the Internet, go to www.proxyvote.com to complete an electronic proxy card (have your Notice of Internet Availability or proxy card in hand when you visit the website). You will be asked to provide the control number from your Notice of Internet Availability or proxy card. Internet voting is available 24 hours a day, 7 days a week, until 11:59 p.m., Eastern Time, on November 18,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of shares held of record by a broker, bank or other nominee, you will receive voting instructions from your broker, bank or other nominee. You must follow the voting instructions provided by your broker, bank or other nominee in order to instruct your broker, bank or other nominee on how to vote your shares. Beneficial owners of shares should generally be able to vote by returning the voting instruction card, or by telephone or via the Internet. However, the availability of telephone or Internet voting will depend on the voting process of your broker, bank, or other nominee.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of shares held of record by a broker, bank or other nominee, you will receive voting instructions from your broker, bank or other nominee. You must follow the voting instructions provided by your broker, bank or other nominee in order to instruct your broker, bank or other nominee on how to vote your shares. Beneficial owners of shares should generally be able to vote by returning the voting instruction card, or by telephone or via the Internet. However, the availability of telephone or Internet voting will depend on the voting process of your broker, bank, or other nominee.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record, you can change your vote or revoke your proxy at any time before the special meeting by: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submitting a new proxy card with a date later than your previously delivered proxy and submitting it as instructed above or by providing written notice of revocation to us before the special meeting at Level 10, Tower 11, Avenue 5, No. 8, Jalan Kerinchi, Kuala Lumpur, Malaysia 59200, Attention: Kiu Cu Seng, Chief Financial Officer, Executive Director and Secretary;</w:t>
            </w:r>
          </w:p>
        </w:tc>
      </w:tr>
    </w:tbl>
    <w:p>
      <w:pPr>
        <w:pStyle w:val="TextBody"/>
        <w:bidi w:val="0"/>
        <w:spacing w:before="0" w:after="0"/>
        <w:ind w:left="8" w:right="0" w:firstLine="50"/>
        <w:jc w:val="both"/>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170"/>
        <w:gridCol w:w="6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submitting a later proxy by Internet or by telephone as instructed above; or</w:t>
            </w:r>
          </w:p>
        </w:tc>
      </w:tr>
    </w:tbl>
    <w:p>
      <w:pPr>
        <w:pStyle w:val="TextBody"/>
        <w:bidi w:val="0"/>
        <w:spacing w:before="0" w:after="0"/>
        <w:ind w:left="8"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attending the special meeting and voting at the meeting. Attending the special meeting will not, in and of itself, change or revoke a previously submitted proxy unless you specifically request it or vote at the special meeting.</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most current vote, whether by telephone, Internet or proxy card is the one that will be counted. If you are the beneficial owner of your shares, you must contact the broker, bank or other nominee holding your shares and follow their instructions to change your vote or revoke your proxy. All properly executed proxies that are not revoked will be voted at the special meeting and at any adjournments or postponements of the special meeting in accordance with the instructions contained in the proxy. If a stockholder executes and returns a proxy and does not specify otherwise, the shares represented by that proxy will be voted “FOR” Proposal No. 1, Proposal No. 2, Proposal No. 3, Proposal No. 4 and Proposal No. 5.</w:t>
      </w:r>
    </w:p>
    <w:p>
      <w:pPr>
        <w:pStyle w:val="TextBody"/>
        <w:bidi w:val="0"/>
        <w:spacing w:before="0" w:after="0"/>
        <w:ind w:left="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8" w:name="ak_010"/>
      <w:bookmarkEnd w:id="38"/>
      <w:r>
        <w:rPr>
          <w:rFonts w:ascii="Times New Roman;Times;Serif" w:hAnsi="Times New Roman;Times;Serif"/>
          <w:b/>
          <w:i w:val="false"/>
          <w:caps w:val="false"/>
          <w:smallCaps w:val="false"/>
          <w:sz w:val="20"/>
        </w:rPr>
        <w:t>Required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vote is important. The affirmative vote of a majority in voting power of the issued and outstanding shares of common stock of BGMS (the “Parent Common Stock”), entitled to vote on thereon is required for approval of Proposal No. 1, Proposal No. 2, Proposal No. 3, Proposal No. 4 and Proposal No. 5. Each of Proposal No. 1, Proposal No. 2, Proposal No. 3, Proposal No. 4 and Proposal No. 5 are conditioned upon each other and the approval of each such proposal is a condition to the completion of the Transaction. Therefore, the Transaction cannot be consummated without the approval of Proposal No. 1, Proposal No. 2, Proposal No. 3, Proposal No. 4 and Proposal No. 5. You may change or revoke your proxy at any time before it is voted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Votes will be counted by the inspector of election appointed for the meeting, who will separately count “FOR” and “AGAINST” votes, abstentions and broker non-votes. The affirmative vote of a majority in voting power of the issued and outstanding shares of Common Stock of BGMS, entitled to vote on thereon is required for approval of Proposal No. 1, Proposal No. 2, Proposal No. 3, Proposal No. 4 and Proposal No. 5. Each of Proposal No. 1, Proposal No. 2, Proposal No. 3, Proposal No. 4 and Proposal No. 5 are conditioned upon each other and the approval of each such proposal is a condition to the completion of the Transaction. Therefore, the Transaction cannot be consummated without the approval of Proposal No. 1, Proposal No. 2, Proposal No. 3, Proposal No. 4 and Proposal No. 5. You may change or revoke your proxy at any time before it is voted at the special meeting. Abstentions and broker non-votes, if any, will have the same effect as votes “AGAINST” each of Proposal No. 1, Proposal No. 2, Proposal No. 3, Proposal No. 4 and Proposal No.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1, 2026, the directors and executive officers of Parent owned or controlled 19.8% of the outstanding shares of common stock entitled to vote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9" w:name="ak_011"/>
      <w:bookmarkEnd w:id="39"/>
      <w:r>
        <w:rPr>
          <w:rFonts w:ascii="Times New Roman;Times;Serif" w:hAnsi="Times New Roman;Times;Serif"/>
          <w:b/>
          <w:i w:val="false"/>
          <w:caps w:val="false"/>
          <w:smallCaps w:val="false"/>
          <w:sz w:val="20"/>
        </w:rPr>
        <w:t>Solicitation of Proxies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solicitation by mail, the directors, officers, employees and agents of Parent may solicit proxies from stockholders by personal interview, telephone, telegram or otherwise. We have engaged Laurel Hill Advisory Group, LLC, to act as our proxy solicitor in connection with the Proposals to be acted upon at our special meeting. Pursuant to our agreement, Laurel Hill Advisory Group, LLC will, among other things, provide advice regarding proxy solicitation issues and solicit proxies from our stockholders on our behalf in connection with the special meeting. For these services, we will pay a fee of approximately $7,000 plus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 w:name="ak_012"/>
      <w:bookmarkEnd w:id="40"/>
      <w:r>
        <w:rPr>
          <w:rFonts w:ascii="Times New Roman;Times;Serif" w:hAnsi="Times New Roman;Times;Serif"/>
          <w:b/>
          <w:i w:val="false"/>
          <w:caps w:val="false"/>
          <w:smallCaps w:val="false"/>
          <w:sz w:val="20"/>
        </w:rPr>
        <w:t>Other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proxy statement/prospectus, the board of directors does not know of any business to be presented at the special meeting other than as set forth in the notice accompanying this proxy statement/prospectus. If any other matters should properly come before the special meeting, it is intended that the shares represented by proxies will be voted with respect to such matters in accordance with the judgment of the persons voting the proxies.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1" w:name="ak_013"/>
      <w:bookmarkEnd w:id="41"/>
      <w:r>
        <w:rPr>
          <w:rFonts w:ascii="Times New Roman;Times;Serif" w:hAnsi="Times New Roman;Times;Serif"/>
          <w:b/>
          <w:i w:val="false"/>
          <w:caps w:val="false"/>
          <w:smallCaps w:val="false"/>
          <w:sz w:val="20"/>
        </w:rPr>
        <w:t>THE TRANSACTION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This section and the section entitled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The Business Combination Agreement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in this proxy statement/prospectus describe the material aspects of the Transaction, including the Business Combination Agreement. While Parent and the Company believe that this description covers the material terms of the Transaction and the Business Combination Agreement, it may not contain all of the information that is important to you. You should read carefully this entire proxy statement/prospectus for a more complete understanding of the Transaction and the Business Combination Agreement, including the Business Combination Agreement, and the other documents to which you are referred herein. See the section entitled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2" w:name="ak_014"/>
      <w:bookmarkEnd w:id="42"/>
      <w:r>
        <w:rPr>
          <w:rFonts w:ascii="Times New Roman;Times;Serif" w:hAnsi="Times New Roman;Times;Serif"/>
          <w:b/>
          <w:i w:val="false"/>
          <w:caps w:val="false"/>
          <w:smallCaps w:val="false"/>
          <w:sz w:val="20"/>
        </w:rPr>
        <w:t>Background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Historical Background of Parent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(“BGMS” or “Parent” or the “Company”) is a Delaware-incorporated, NASDAQ-listed company, formerly known as Cyclacel Pharmaceuticals, Inc., which is headquartered in Kuala Lumpur, Malaysia. BGMS is a diversified enterprise engaged in the fire protection industry, which was founded on January 5, 1996, as a clinical-stage biopharmaceutical company focused on developing cancer medicines based on cell cycle, transcriptional regulation, and mitosis biology. Its pipeline historically included drug candidates such as fadraciclib (a CDK2/9 inhibitor) and plogosertib (a PLK1 inhibitor), targeting solid tumors and hematological malignancies.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underwent a major strategic transformation commencing in early 2025. First, its United Kingdom-based subsidiary, Cyclacel Limited, was liquidated on January 24, 2025, through a creditors’ voluntary liquidation, resulting in an approximately $4.9 million gain on deconsolidation and the cessation of all fadraciclib-related R&amp;D spending.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the Company announced a major leadership and ownership transition following the acquisition of a controlling stake by Datuk Dr. Doris Wong Sing Ee. Under a Securities Purchase Agreement, Datuk Dr. Doris Wong acquired 70% of Cyclacel’s issued and outstanding shares making her the new controlling shareholder. The transaction led to significant structural changes, including the resignation of interim officers and several board members. As part of the transition, Kiu Cu Seng was appointed as Executive Director, Secretary, and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2025, the Company completed a share exchange transaction with FITTERS Diversified Berhad, a Malaysian publicly listed company, acquiring 100% of Fitters Sdn. Bhd. in exchange for Parent Common Stock (equal to 19.99% of outstanding shares). Following this acquisition, Datuk Dr. Doris Wong was appointed to the board of Fitters and its subsidiaries. The Company’s fire safety division, anchored by the Fitters Sdn. Bhd. subsidiary, is now the Company’s primary operational focus. Fitters, established in 1982 and headquartered in Kuala Lumpur, conducts its business in the Malaysian market, importing protective and fire safety equipment from international suppliers and supplying, trading, and installing that equipment for customers located in Malaysia. Its product range includes fire extinguishers, foam systems, fire-resistant doors (Pyrodor), personal protective equipment (PPE), and fire safety apparel.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BGMS sold its patent rights and assets related to plogosertib to Tethra Biosciences Inc. for $300,000 plus a potential milestone payment of $170,000. On September 12, 2025, the company completed a share exchange transaction with FITTERS Diversified Berhad, a Malaysian publicly listed company, acquiring 100% of Fitters Sdn. Bhd. in exchange for 699,158 shares of Parent Common Stock (equal to 19.99% of outstanding shares). Following this acquisition, Datuk Dr. Doris Wong Sing Ee, the company’s CEO, was appointed to the board of Fitters Sdn. Bhd.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Identification of Target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its initial assessment of strategic options, the Board of Directors of BGMS (the “Board”), in consultation with BGMS management, evaluated the following alternatives available to BGMS: (i) the acquisition of one or more products or technologies and the funding of their continued development; and (ii) a business combination transaction with an operating company. In evaluating these alternatives, the Board considered, among other factors, the Company’s limited remaining capital resources, the time and expense associated with identifying and developing early-stage products, the competitive landscape for product acquisitions, and the potential for a business combination to provide stockholders with an interest in an operating business with existing revenues and operations. Based on these considerations, the Board determined to pursue a business combination as the Company’s preferred strategic alternative.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determination, BGMS management sought to engage a financial advisor with experience in cross-border business combination transactions involving companies of a similar size and profile to BGMS. ARC Group International Limited (“ARC”) presented its qualifications to the Board and management by way of a telephone conference in connection with a previous acquisition in 2025. ARC’s qualifications and experience in advising on reverse merger transactions, cross-border M&amp;A involving Southeast Asian companies, and transactions in the energy and sustainability sector. ARC had previously been engaged by BGMS in 2025 to assist in identifying and evaluating potential acquisition targets and, as a result of that prior engagement, had developed familiarity with BGMS’s strategic objectives, operational profile, and the criteria management considered material in evaluating prospective business combination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further discussions, on August 22, 2025, BGMS entered into an investment banking agreement with ARC (the “ARC Engagement Agreement”), pursuant to which ARC agreed to serve as the exclusive financial advisor to BGMS in connection with a potential business combination. Under the terms of the ARC Engagement Agreement, ARC is entitled to receive a monthly service fee of $10,000, payable in cash for the duration of the ARC Engagement Agreement; a transaction success fee of $250,000, payable in cash; and, if applicable, an additional success fee equal to 6% of the total amount of any capital raise completed during the term of the ARC Engagement Agreement through an introduction from ARC.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BGMS management selected ARC based on its familiarity with BGMS’s strategic criteria and operational profile developed through the prior engagement, as well as ARC’s relevant transaction experience. The Board considered whether ARC’s prior working relationship with BGMS created any conflicts of interest and determined that no conflicts existed.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was identified as a potential acquisition target through the existing relationships and professional network of BGMS’s management team rather than through a competitive process or broad solicitation. In evaluating Future NRG as a business combination candidate, BGMS management and the Board considered the following criteria, among others: (i) Future NRG’s existing revenue base and operating history; (ii) Future NRG’s position within the waste management sector in Southeast Asia; (iii) Future NRG’s growth prospects and addressable market; (iv) the terms on which a transaction could be structured; (v) the ability to complete a transaction within a timeframe consistent with BGMS’s available resources; and (vi) the regulatory and listing requirements applicable to a reverse merger transaction. No other potential target companies were presented to or evaluated by the Board in connection with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management’s familiarity with Future NRG originated when Hoo Swee Guan (“Mr. Hoo”) was appointed to the Board of Directors of FITTERS Diversified Bhd (“Fitters”) on November 26, 2021. At that time, Future NRG was a wholly owned subsidiary of Fitters. The Board considered whether this pre-existing relationship with Mr. Hoo gave rise to any actual or potential conflict of interest in connection with the evaluation and negotiation of the Transaction and determined that no such conflict of interest existed.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2021, through March 2026, both Mr. Hoo and Datuk Dr. Wong Doris were acquainted with Mr. Ngu and Mr. Sit from Future NRG and familiar with the business of Future NRG because Future NRG was a wholly owned subsidiary of Fitters, but there was no discussion of a potential business partnership until March 2026. Mr. Hoo resigned from the Fitters board on October 1, 2024, and there was no discussion with Mr. Hoo after his resignation with the management of Fitters or Future NRG. Further, Mr. Hoo held no financial or other interest in Future NRG or BGMS. That familiarity subsequently led to the initial contact between the parties in early March 2026. Thus, with respect to whether any conflict-of-interest was apparent with respect Mr. Hoo’s pre-existing relationship with Future NRG arising from his previous Fitters board role, there was no actual or potential conflict of interest in connection with the proposed transaction with BGMS. Further, BGMS had safeguards in place through the independent review in the form of the Fairness Opinion issued by Strategic Capital and conducted extensive business and legal due diligence of Future NRG, including by BGMS’s outside legal counsel and financial advisor, ARC Group Ltd. A more detailed chronological description of the Transaction process follows below under the section below entitled “</w:t>
      </w:r>
      <w:r>
        <w:rPr>
          <w:rFonts w:ascii="Times New Roman;Times;Serif" w:hAnsi="Times New Roman;Times;Serif"/>
          <w:b w:val="false"/>
          <w:i/>
          <w:caps w:val="false"/>
          <w:smallCaps w:val="false"/>
          <w:sz w:val="20"/>
        </w:rPr>
        <w:t>The Transaction—Background of the Transaction—History of BGMS Strategic Alternatives and Significant Corporate Events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History of BGMS Strategic Alternatives and Significant Corporate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part of its ongoing growth strategy, from approximately January 2026 through February 2026, BGMS management conducted a market survey to identify and evaluate potential business combination candidates.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Discussions with the potential targets contacted during this period did not advance beyond introductory meetings and preliminary due diligence due to inability to agree on valuation parameters, incompatibility of business models, regulatory concerns or the target’s unwillingness to proceed with a transaction on terms acceptable to BGMS. The following is a description of the contacts, meetings, negotiations, and discussions between BGMS and Future NRG that led to the execution of the Business Combination Agreement (the “BCA”). The following chronology does not purport to catalogue every communication among the parties but rather provides a summary of the key meetings, negotiations, and events material to the proposed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Contact (Early March 2026): In early March 2026, Mr. Ngu, Future NRG’s Head of Department, contacted Datuk Dr. Doris Wong, a representative of BGMS, after learning of her role at BGMS. During this initial communication, Mr. Ngu briefly shared Future NRG’s upcoming expansion plans in the renewable energy sector and expressed interest in exploring potential collaboration opportunities between Future NRG and BGMS. No specific transaction structure was discussed at this stage; rather, the communication served as an introductory overture to gauge BGMS’s interest in further discussions.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12, 2026 — Sharing of Company Profile: On March 12, 2026, Future NRG’s management shared Future NRG’s company profile with Datuk Dr. Doris Wong at BGMS. The company profile included an overview of Future NRG’s business operations, market position, and growth trajectory in the renewable energy sector. This information was provided to allow BGMS to conduct a preliminary assessment of Future NRG as a potential business combination target consistent with BGMS’s disciplined diversification strategy.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13, 2026 — Presentation Meeting: Parties and individuals present from Future NRG was Mr. Ngu (Head of Department) and Mr. Sit (Senior Plant Manager) and, in attendance from BGMS, Datuk Dr. Doris Wong, Chief Executive Officer and Kiu Cu Seng, Chief Financial Officer. At this meeting, Mr. Ngu and Mr. Sit gave a formal presentation to Datuk Dr. Doris Wong and Mr. Kiu regarding Future NRG’s background, strategic growth initiatives, and its expansion plan into the broader Southeast Asia region. Future NRG’s management presented data on its operational capabilities, existing project portfolio, and projected market opportunities. BGMS’s representatives asked questions regarding Future NRG’s competitive positioning and its ability to scale operations across target markets. No specific transaction terms were discussed. The meeting was informational in nature and was intended to provide BGMS’s representatives with sufficient background to evaluate whether a potential business combination warranted further exploration.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17, 2026 — Financial Performance and Capital Markets Discussion: Parties and individuals present from BGMS were Datuk Dr. Doris Wong and Mr. Kiu and from Future NRG: Mr. Ngu (Head of Department) and Mr. Sit (Senior Plant Manager). Also present: Pun Kah Weng, Director of Perfect Energy. At this meeting, the parties discussed Future NRG’s financial performance, recent business developments, and its readiness to access and meet the requirements of the U.S. capital markets. Datuk Dr. Doris Wong and Mr. Kiu raised questions regarding Future NRG’s compliance with U.S. financial reporting standards, including PCAOB audit requirements. Future NRG’s representatives, together with Kah Weng, discussed Future NRG’s preparedness in this regard and its intent to ensure full compliance with applicable U.S. securities and accounting regulations. The parties acknowledged that any potential transaction involving a Nasdaq-listed company would necessitate rigorous financial and regulatory standards, and Future NRG expressed its willingness to cooperate in meeting such requirements.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19, 2026 — Delivery of Audited Financial Statements: On March 19, 2026, Future NRG shared its PCAOB-compliant audited financial statements with Datuk Dr. Doris Wong. These financial statements were provided to BGMS to allow its management and advisors to conduct a preliminary review of Future NRG’s financial condition, results of operations, and compliance with applicable accounting standards.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20, 2026 — Discussion of General Transaction Parameters: On March 20, 2026, representatives of BGMS and Future NRG discussed general transaction parameters and the potential structure of a business combination transaction. Parties and individuals present from Future NRG was Mr. Ngu and, in attendance from BGMS, Datuk Dr. Doris Wong and Mr. Kiu, and from Perfect Energy, Pun Kah Weng. The discussion addressed at a high level the possible forms a combination could take, without reaching any conclusions or agreements on specific terms. This conversation laid the groundwork for subsequent negotiations regarding the mechanics of any potential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21, 2026 — Circulation of Initial Draft NDA: On March 21, 2026, an initial draft non-disclosure agreement (“NDA”) was circulated between BGMS and Future NRG. The NDA was intended to govern the exchange of confidential information between the parties as discussions moved into a more advanced phase requiring the sharing of proprietary financial and operational data.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25, 2026 — BGMS Board Briefing: On March 25, 2026, BGMS’ board of directors was briefed on the possible transaction with Future NRG. The briefing included an overview of Future NRG’s business, the status of discussions, and the potential execution of an NDA and non-binding letter of intent (“LOI”). The board discussed the strategic rationale for the potential transaction and its consistency with BGMS’ stated diversification objectives. The board authorized management to proceed with further discussions, including the execution of an NDA and negotiation of the LOI, subject to continued board oversight.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2026 — Engagement of Financial Advisory Firm: On March 26, 2026, BGMS engaged Mind the GAAP, an accounting and financial advisory firm, to review and analyze Future NRG’s audited financial statements. Mind the GAAP was retained to provide BGMS with an independent assessment of Future NRG’s financial condition and to identify any potential accounting issues relevant to BGMS’s ongoing evaluation of the proposed transaction.</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27, 2026 — Meeting on Transaction Structure and LOI Preparation: Parties and individuals present from Future NRG was Mr. Ngu and, in attendance from BGMS, Datuk Dr. Doris Wong and Mr. Kiu and from Perfect Energy, Pun Kah Weng.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met to discuss the proposed transaction structure in preparation for drafting the LOI. The material issues discussed and positions taken included the following: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Consideration and Mechanics of the Share Exchange. At the March 27 meeting, BGMS indicated that the share exchange would be effected by having the Selling Shareholders transfer 100% of the issued and outstanding ordinary shares of Future NRG to BGMS at closing, in exchange for newly issued shares of BGMS common stock. The parties discussed that the number of BGMS shares to be issued would be calculated by dividing the agreed aggregate transaction consideration value by BGMS’s 30-day volume-weighted average price (VWAP) immediately prior to closing. The parties further discussed that the Exchange Shares would be issued as book-entry shares, with BGMS’s transfer agent instructed to update the stockholder register, and that no fractional shares would be issued (with fractional interests rounded up to one full share). These mechanics were reflected in the draft LOI delivered by BGMS on April 6, 2026 and were carried forward without material change into the executed LOI on April 20, 2026 and ultimately into the Business Combination Agreement executed on June 4, 2026.</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Documentation. The parties agreed that the LOI would be prepared to memorialize the principal economic and structural terms of the proposed transaction, subject to further negotiation and the execution of a definitive agreement.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Post-Closing Board of Directors and Management. The parties discussed the composition of the post-closing board of directors and management team. BGMS proposed that the existing BGMS board and management team would remain in place following the closing to provide operational continuity, with Future NRG entitled to appoint one representative to the BGMS board. Future NRG identified Mr. Pun Kah Weng as its proposed board representative. The parties agreed that Mr. Kiu (Conner) Cu Seng would step down as a director but would continue to serve as Chief Financial Officer and Secretary. These terms were reflected in the draft LOI and were not materially revised during subsequent negotiations. Accordingly, the post-closing board is expected to consist of five directors: Datuk Dr. Doris Wong, Pun Kah Weng, Soon Ping Pappas, Dr. Satis Waran Nair Krishnan, and Inigo Angel Laurduraj; and the executive officers are expected to be Datuk Dr. Doris Wong as Chief Executive Officer and Kiu Cu Seng as Chief Financial Officer and Secretary.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Representations, Warranties, and Indemnification. The parties agreed in principle that the definitive agreement would contain customary representations and warranties by each of BGMS, Future NRG, and the Selling Shareholders relating to their respective businesses, operations, financial condition, and other facts pertinent to the Transaction, subject to customary materiality and knowledge qualifications. The parties also discussed that the combined company would continue to indemnify existing directors and officers of both BGMS and Future NRG following the closing. These provisions were negotiated in greater detail during the period between the execution of the LOI on April 20, 2026 and the execution of the definitive Business Combination Agreement on June 4, 2026, with the assistance of BGMS’s legal counsel, Rimon P.C.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Closing. The parties discussed principal conditions to closing, including (i) obtaining the requisite stockholder approvals of both BGMS and Future NRG; (ii) the effectiveness of the registration statement on Form S-4 filed by BGMS with the SEC to register the Exchange Shares; (iii) the absence of any injunction or order prohibiting the Transaction; (iv) Nasdaq approval for listing of the Exchange Shares; (v) compliance with applicable federal and state securities laws; and (vi) the absence of any material adverse change in either party’s business. The parties also discussed that no antitrust filings or approvals were expected to be required in connection with the Transaction, but that BGMS would need to comply with SEC rules and Nasdaq listing requirements. These conditions were refined during subsequent negotiations and memorialized in the Business Combination Agreement.</w:t>
            </w:r>
          </w:p>
        </w:tc>
      </w:tr>
    </w:tbl>
    <w:p>
      <w:pPr>
        <w:pStyle w:val="TextBody"/>
        <w:bidi w:val="0"/>
        <w:ind w:left="72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 2026 — Meeting on Valuation and Consideration Structure: Parties and individuals present from Future NRG was Mr. Ngu and, in attendance from BGMS, Datuk Dr. Doris Wong and Mr. Kiu and from Perfect Energy was Pun Kah Weng. This meeting focused on the valuation of Future NRG and the form of consideration for the proposed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issues discussed and positions taken were as follows: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Enterprise Valuation. Future NRG’s management, through Mr. Ngu and Kah Weng, presented an analysis supporting an aggregate enterprise value of USD $2.0 billion for Future NRG. This valuation was based on Future NRG management’s analysis of its expansion strategy across its target markets in the Southeast Asia region, including projected revenue growth, anticipated market penetration, and the expected value creation from Future NRG’s planned capacity expansions and pipeline of renewable energy projects. BGMS’s representatives reviewed and discussed this analysis. The negotiations resulted in a consensus on the aggregate enterprise value of USD $2.0 billion.</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Consideration. BGMS indicated its preference for an all-share exchange transaction without any cash consideration, in order to preserve BGMS’s liquidity for future operations and growth initiatives post-closing. Future NRG’s representatives agreed to proceed on the basis of an all-share exchange structure, with the understanding that any future capital requirements of the combined company would be addressed through subsequent financing arrangements if necessary.</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Post-Closing Equity Ownership and Dilution. The parties discussed the proposed post-closing equity ownership split, which is a mathematical consequence of the agreed $2.0 billion aggregate enterprise valuation of Future NRG relative to BGMS’s market capitalization. Because the Transaction Consideration Shares are calculated by dividing the $2.0 billion Aggregate Transaction Consideration Value by the 30-day VWAP of BGMS common stock immediately prior to closing, the number of Exchange Shares issuable to the Selling Shareholders—and therefore the resulting post-closing ownership percentages—are directly determined by the ratio of the agreed Future NRG valuation to BGMS’s own equity value. Given that BGMS’s market capitalization as of the date of discussions was approximately $5.5 million, the $2.0 billion valuation of Future NRG necessarily resulted in the Selling Shareholders receiving Exchange Shares representing approximately 99% of the outstanding Parent Common Stock immediately following the Closing, with existing BGMS stockholders collectively retaining approximately 1%.</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the relative valuations underlying the ownership split, BGMS’ representatives considered BGMS’ own business and prospects on a standalone basis. BGMS’ operations consist principally of the fire safety business conducted through its wholly-owned subsidiary Fitters Sdn. Bhd., which BGMS acquired in September 12, 2025. Fitters imports fire safety and protective equipment from international suppliers and supplies, trades and installs that equipment for customers located in Malaysia. Fitters’ business is currently concentrated in a single geographic market, generates no material export sales, and depends on a limited number of customers and suppliers, as described under “Risk Factors.” Taking into account the scale and concentration of Fitters’ business, together with BGMS’s limited operational scope and going-concern challenges, BGMS’s representatives did not consider that BGMS’s standalone business supported a materially higher valuation relative to the agreed valuation of Future NRG. </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also considered that, because the Exchange Shares will be issued at the 30-day VWAP of BGMS common stock immediately prior to closing, the Exchange Shares will be issued at the prevailing market price of BGMS common stock. Accordingly, while the Transaction results in substantial dilution to the percentage ownership held by existing BGMS stockholders, the relative number of shares held by each existing BGMS stockholder is unaffected by the Transaction, and existing stockholders will continue to participate in the results of BGMS’s existing fire safety business in addition to Future NRG’s waste management and renewable energy operations following the Closing. </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BGMS board of directors considered the significant dilution to existing BGMS stockholders that would result from the Transaction at multiple points during its deliberations, including at the March 25, 2026 board briefing, the June 2, 2026 board approval meeting, and in connection with its review of the Fairness Opinion. The board weighed this dilution against the strategic rationale for the Transaction, including the potential long-term value creation from Future NRG’s waste management operations and planned international expansion, the limited availability of alternative business combination candidates, and BGMS’s own limited operational scope and going-concern challenges. The board ultimately concluded that the potential benefits of the Transaction to BGMS and its stockholders outweighed the immediate dilutive impact, subject to satisfactory completion of due diligence and receipt of the Fairness Opinion. The board’s consideration of dilution is also reflected in the risk factor entitled “The Transaction will result in significant dilution to existing BGMS shareholders” included in this proxy statement/prospectus.</w:t>
            </w:r>
          </w:p>
        </w:tc>
      </w:tr>
    </w:tbl>
    <w:p>
      <w:pPr>
        <w:pStyle w:val="TextBody"/>
        <w:bidi w:val="0"/>
        <w:ind w:left="72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initial valuation proposal lower or higher than USD $2.0 billion was presented by either party prior to this meeting; rather, USD $2.0 billion represented the valuation initially proposed by Future NRG’s management based on its own internal analysis, and BGMS reached consensus on such amount at this meeting following discussion.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6, 2026 — Delivery of Draft LOI and Final Draft NDA: BGMS delivered to Future NRG a draft LOI reflecting the principal economic terms discussed at the April 2, 2026 meeting, including the aggregate enterprise value of USD $2.0 billion and the all-share exchange consideration structure. Concurrently, BGMS delivered a final draft NDA to Future NRG for execution. Also on or about this date, BGMS’s legal counsel sought guidance from relevant regulatory authorities regarding the proposed transaction terms and structure. Such regulatory guidance was received on April 14, 2026, and provided BGMS with additional comfort regarding the permissibility and structure of the proposed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draft LOI set forth the following principal terms: (i) an aggregate enterprise value of Future NRG of USD $2.0 billion; (ii) an all-share exchange consideration structure, with the number of Exchange Shares calculated by dividing the aggregate consideration value by BGMS’s 30-day VWAP prior to closing; (iii) the post-closing equity ownership split of approximately 99% to the Selling Shareholders and 1% to existing BGMS stockholders; (iv) the composition of the post-closing board of directors, with Future NRG entitled to appoint one representative; (v) the retention of BGMS’s existing management team; (vi) customary representations, warranties, and indemnification provisions to be negotiated in the definitive agreement; and (vii) conditions to closing including stockholder approvals, SEC registration statement effectiveness, and Nasdaq listing approval. No material revisions were made to the LOI between the initial draft delivered on April 6, 2026 and the executed LOI on April 20, 2026; the executed LOI reflected the same principal economic and structural terms as the initial draft.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15, 2026 — Meeting to Finalize Valuation and Exchange Consideration: Parties and individuals present from BGMS, Datuk Dr. Doris Wong and Mr. Kiu and from Perfect Energy, Pun Kah Weng.</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this meeting, the parties sought to finalize and confirm the aggregate enterprise value and exchange consideration for the proposed transaction. The material issues discussed and positions taken were as follows: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Kah Weng, on behalf of Future NRG, maintained Future NRG’s position on the aggregate enterprise value of USD $2.0 billion. The USD $2.0 billion valuation was thus consistent throughout the negotiation period, having been initially proposed by Future NRG’s management at the April 2 meeting and reaffirmed at this meeting. There was no material evolution in the proposed valuation amount between the April 2 and April 15 meetings.</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Consideration and Transaction Terms. Kah Weng also maintained Future NRG’s positions on the exchange consideration and proposed transaction terms. Following further discussion, the parties mutually agreed in principle to proceed with the proposed terms, subject to (i) satisfactory completion of due diligence and (ii) the receipt of a fairness opinion supporting the proposed transaction consideration.</w:t>
            </w:r>
          </w:p>
        </w:tc>
      </w:tr>
    </w:tbl>
    <w:p>
      <w:pPr>
        <w:pStyle w:val="TextBody"/>
        <w:bidi w:val="0"/>
        <w:ind w:left="72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conclusion of this meeting, BGMS and Future NRG had reached agreement in principle on the material economic terms of the proposed transaction, including the USD $2.0 billion aggregate enterprise valuation and the all-share exchange form of consideration.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execution, management reviewed the final form of the LOI with representatives of ARC Group International Limited, BGMS’ financial advisor, and Rimon P.C. The principal terms of the LOI were reported to the BGMS board of directors, including the aggregate enterprise value, the mechanics by which the number of Exchange Shares would be determined, the proposed composition of the post-closing board of directors and management team, indemnification obligations and of any survival of representations and warranties, and the conditions to closing. The board of directors was advised that the LOI was non-binding as to consummation of the transaction and that definitive terms would be subject to further negotiation, satisfactory completion of due diligence, and receipt of a fairness opinion.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April 20, 2026 — Execution of LOI and NDA: On April 20, 2026, BGMS and Future NRG executed the LOI and NDA. The executed LOI memorialized the principal terms agreed upon by the parties, including the aggregate enterprise value of USD $2.0 billion, the all-share exchange consideration structure, and the parties’ mutual agreement to negotiate and execute a definitive business combination agreement, subject to satisfactory due diligence and other customary conditions.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21, 2026 — Engagement of Independent Valuation Firm: On April 21, 2026, BGMS engaged Strategic Capital, an independent valuation firm, to prepare a fairness opinion in connection with the proposed transaction. Strategic Capital was engaged to provide the BGMS board of directors with an independent assessment of whether the consideration to be paid by BGMS in the proposed transaction was fair, from a financial point of view, to BGMS and its shareholders. Strategic Capital’s fee amount was a flat rate of MYR 150,000 for the fairness opinion, which represents approximately US$37,098.42 (based on an exchange rate of 1 MYR equaling US$0.25); no part of the fee arrangement was contingent on consummation of the Transaction. BGMS has retained Strategic Capital one prior time, which was in connection with BGMS’s acquisition of Fitters Sdn. Bhd. in fiscal year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Application of the 50% Start-Up Valuation Discount.</w:t>
      </w:r>
      <w:r>
        <w:rPr>
          <w:rFonts w:ascii="Times New Roman;Times;Serif" w:hAnsi="Times New Roman;Times;Serif"/>
          <w:b w:val="false"/>
          <w:i w:val="false"/>
          <w:caps w:val="false"/>
          <w:smallCaps w:val="false"/>
          <w:sz w:val="20"/>
        </w:rPr>
        <w:t xml:space="preserve"> The decision to apply a 50% start-up valuation discount to Future NRG’s projected cash flows in Vietnam, Thailand, and the Philippines was made by Strategic Capital Advisory in the exercise of its independent professional judgment in preparing the Fairness Opinion. Neither BGMS management nor Future NRG management directed or recommended that Strategic Capital Advisory apply a specific discount rate. Rather, Strategic Capital Advisory independently determined that a start-up discount was appropriate given Future NRG’s complete lack of operational history in those three markets, and independently selected the 50% rate based on its review of academic research on expected rates of return for early-stage companies, including publications by Plummer/QED, Scherlis and Sahlman, Sahlman et al., and Damodaran, which report expected rates of return ranging from 50% to 100% for seed-stage and early-stage investments. Strategic Capital Advisory presented the Fairness Opinion, including the application of the 50% start-up discount, to the BGMS board of directors at the June 2, 2026 meeting. The BGMS board considered the Fairness Opinion, including the methodology and assumptions underlying the discount, in deciding to approve the Business Combination Agreement, but did not independently direct or select the discount rate applied by Strategic Capital Advisory.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 2026 — BGMS Board Approval: On June 2, 2026, BGMS’s board of directors held a meeting to review the final terms of the BCA and the results of the due diligence review. At this meeting, the BGMS board of directors heard presentations from Strategic Capital with regard to its fairness opinion, ARC with regard to the potential market for the combined company, a summary of the potential Transaction and business due diligence and Rimon with regard to legal due diligence, board fiduciary duties and a summary of the BCA. After considering the terms of the BCA, the due diligence findings, the fairness opinion delivered by Strategic Capital, and the strategic rationale for the proposed business combination, the BGMS board of directors approved the BCA and authorized its execution.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4, 2026 — Execution of Business Combination Agreement: On June 4, 2026, the BCA was executed by BGMS, Future NRG, and the Selling Shareholders on the terms approved by the BGMS board of directors.</w:t>
      </w:r>
    </w:p>
    <w:p>
      <w:pPr>
        <w:pStyle w:val="TextBody"/>
        <w:bidi w:val="0"/>
        <w:jc w:val="both"/>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Determination of Valuation and Consideration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enterprise value of USD 2.0 billion was initially proposed by Future NRG’s management at the April 2, 2026 meeting and was based on Future NRG management’s analysis of its expansion strategy across its target markets in the Southeast Asia region, including projected revenue growth, anticipated market penetration, and the expected value creation from planned capacity expansions and Future NRG’s pipeline of renewable energy projects. The valuation did not evolve materially during the course of negotiations; rather, Future NRG (through Kah Weng) maintained its position on the USD 2.0 billion valuation throughout, and BGMS reached consensus on that amount at the April 2 meeting, which was reconfirmed at the April 15 meeting.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decision to structure the transaction as an all-share exchange was determined by the management teams of BGMS and Future NRG during direct negotiations. BGMS proposed the all-share exchange structure at the April 2 meeting in order to preserve its liquidity position, and Future NRG agreed to that form of consideration. While Strategic Capital was subsequently engaged to provide a fairness opinion, the amount and type of consideration were determined by the parties themselves through direct negotiation, not by their respective advisors. Strategic Capital’s fairness opinion informed the BGMS board’s decision to approve the BCA but was not the basis upon which the valuation or form of consideration was originally determined.</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Operational Analysis of Future NRG Financials and Target Market Projections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projections of Future NRG from the fiscal years ending December 31, 2026, through December 31, 2029 (the “Future NRG Financials”), underlie the Discounted Free Cash Flow to Firm (“FCFF”) methodology utilized in the Fairness Opinion. These projections estimate that Future NRG will achieve a 10% market share in Malaysia and Vietnam, and a 30% market share in Thailand and the Philippines by December 31, 2029.</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determinations regarding these market share targets, required resource allocations, and localized execution challenges are detailed below by individual geographic market:</w:t>
      </w:r>
    </w:p>
    <w:p>
      <w:pPr>
        <w:pStyle w:val="TextBody"/>
        <w:bidi w:val="0"/>
        <w:ind w:left="720" w:right="0" w:hanging="0"/>
        <w:jc w:val="both"/>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215"/>
        <w:gridCol w:w="330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33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Malaysia (Target Market Share: 10%)</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Determination of Market Share:</w:t>
            </w:r>
            <w:r>
              <w:rPr>
                <w:rFonts w:ascii="Times New Roman;Times;Serif" w:hAnsi="Times New Roman;Times;Serif"/>
                <w:b w:val="false"/>
                <w:i w:val="false"/>
                <w:caps w:val="false"/>
                <w:smallCaps w:val="false"/>
                <w:sz w:val="20"/>
              </w:rPr>
              <w:t xml:space="preserve"> Future NRG has an existing operating track record in Peninsular Malaysia since 2017, currently serving more than 4,400 private medical waste generators from its centralized ozone medical waste treatment plant in Sendayan, Negeri Sembilan. The baseline market size assumption of 27,783 average tonnage per year is based on data from the Department of Environment (DOE) Malaysia. Based on a 12.3% projected organic annual volume growth rate from 2026 to 2029, management determined and believed that expanding its collection network to capture a 10% market share of total nationwide clinical waste (SW 404) is achievable based on current operational capacity.</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Required Resources &amp; Funding Plan:</w:t>
            </w:r>
            <w:r>
              <w:rPr>
                <w:rFonts w:ascii="Times New Roman;Times;Serif" w:hAnsi="Times New Roman;Times;Serif"/>
                <w:b w:val="false"/>
                <w:i w:val="false"/>
                <w:caps w:val="false"/>
                <w:smallCaps w:val="false"/>
                <w:sz w:val="20"/>
              </w:rPr>
              <w:t xml:space="preserve"> Management estimates the localized labor and general administration costs at approximately USD 2.32 million per annum. Funding for incremental fleet expansion and marketing will be supported by cash generated from existing Malaysian operations.</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and Challenges:</w:t>
            </w:r>
            <w:r>
              <w:rPr>
                <w:rFonts w:ascii="Times New Roman;Times;Serif" w:hAnsi="Times New Roman;Times;Serif"/>
                <w:b w:val="false"/>
                <w:i w:val="false"/>
                <w:caps w:val="false"/>
                <w:smallCaps w:val="false"/>
                <w:sz w:val="20"/>
              </w:rPr>
              <w:t xml:space="preserve"> Primary localized risks include high compliance hurdles involving stringent and evolving environmental laws under the Malaysian Department of Environment (DOE) and recent regulatory adjustments. Operational performance is highly sensitive to price and margin compression if key commercial service contracts face localized pricing pressures or volume reductions.</w:t>
            </w:r>
          </w:p>
        </w:tc>
      </w:tr>
    </w:tbl>
    <w:p>
      <w:pPr>
        <w:pStyle w:val="TextBody"/>
        <w:bidi w:val="0"/>
        <w:ind w:left="720" w:right="0" w:hanging="0"/>
        <w:jc w:val="both"/>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215"/>
        <w:gridCol w:w="329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3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Thailand (Target Market Share: 30%)</w:t>
            </w:r>
          </w:p>
        </w:tc>
      </w:tr>
    </w:tbl>
    <w:p>
      <w:pPr>
        <w:pStyle w:val="TextBody"/>
        <w:bidi w:val="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Determination of Market Share:</w:t>
            </w:r>
            <w:r>
              <w:rPr>
                <w:rFonts w:ascii="Times New Roman;Times;Serif" w:hAnsi="Times New Roman;Times;Serif"/>
                <w:b w:val="false"/>
                <w:i w:val="false"/>
                <w:caps w:val="false"/>
                <w:smallCaps w:val="false"/>
                <w:sz w:val="20"/>
              </w:rPr>
              <w:t xml:space="preserve"> The total Thailand waste management market was valued at USD 18.28 billion in 2023, with an assumed baseline medical and hazardous waste capacity derived from regional university research reports (the “LUT Report”). Based on the LUT Report, management targeted a high market share of 30% because Thailand’s regulatory framework heavily encourages shifting away from conventional, high-emission thermal incineration toward eco-friendly alternatives. Future NRG intends to position its non-thermal, U.S.-sourced ozone sterilization technology as a direct replacement for traditional local operators.</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Required Resources &amp; Funding Plan:</w:t>
            </w:r>
            <w:r>
              <w:rPr>
                <w:rFonts w:ascii="Times New Roman;Times;Serif" w:hAnsi="Times New Roman;Times;Serif"/>
                <w:b w:val="false"/>
                <w:i w:val="false"/>
                <w:caps w:val="false"/>
                <w:smallCaps w:val="false"/>
                <w:sz w:val="20"/>
              </w:rPr>
              <w:t xml:space="preserve"> We believe that to capture a 30% market share, management estimates that a network of up to 20 decentralized processing units or incinerators will be required, assuming an average target selling price of USD 0.88 per tonnage. The capital expenditure required for facility construction and commercialization is currently estimated at USD 4.8 million per plant.</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and Challenges:</w:t>
            </w:r>
            <w:r>
              <w:rPr>
                <w:rFonts w:ascii="Times New Roman;Times;Serif" w:hAnsi="Times New Roman;Times;Serif"/>
                <w:b w:val="false"/>
                <w:i w:val="false"/>
                <w:caps w:val="false"/>
                <w:smallCaps w:val="false"/>
                <w:sz w:val="20"/>
              </w:rPr>
              <w:t xml:space="preserve"> Future NRG currently has zero operational footprint or existing revenue-generating assets in Thailand. Navigating completely unfamiliar foreign environmental permitting and waste-handling licenses presents complex, lengthy cross-border regulatory risks. A 50% start-up valuation discount has been explicitly applied in the Fairness Opinion to account for this extreme lack of operational history.</w:t>
            </w:r>
          </w:p>
        </w:tc>
      </w:tr>
    </w:tbl>
    <w:p>
      <w:pPr>
        <w:pStyle w:val="TextBody"/>
        <w:bidi w:val="0"/>
        <w:ind w:left="36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215"/>
        <w:gridCol w:w="345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34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Philippines (Target Market Share: 30%)</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Determination of Market Share:</w:t>
            </w:r>
            <w:r>
              <w:rPr>
                <w:rFonts w:ascii="Times New Roman;Times;Serif" w:hAnsi="Times New Roman;Times;Serif"/>
                <w:b w:val="false"/>
                <w:i w:val="false"/>
                <w:caps w:val="false"/>
                <w:smallCaps w:val="false"/>
                <w:sz w:val="20"/>
              </w:rPr>
              <w:t xml:space="preserve"> According to the United Nations Industrial Development Organization (UNIDO), hazardous healthcare waste in the Philippines has surged by 20.19% over the preceding five years, driven by large municipal hospital outputs. Baseline pricing metrics of USD 0.88 per tonnage were extracted from historical Metro Manila Solid Waste Management parameters. Based on the findings by UNIDO and because the market is fragmented and under pressure to eliminate unintentional persistent organic pollutants (uPOPs) caused by burning chlorinated plastics, management determined and believe that a 30% penetration rate could be achieved via automated, green multi-facility technology deployments.</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Required Resources &amp; Funding Plan:</w:t>
            </w:r>
            <w:r>
              <w:rPr>
                <w:rFonts w:ascii="Times New Roman;Times;Serif" w:hAnsi="Times New Roman;Times;Serif"/>
                <w:b w:val="false"/>
                <w:i w:val="false"/>
                <w:caps w:val="false"/>
                <w:smallCaps w:val="false"/>
                <w:sz w:val="20"/>
              </w:rPr>
              <w:t xml:space="preserve"> We believe that achieving a 30% market share requires an estimated resource allocation of up to 20 regional incinerators/treatment centers. At a currently estimated cost of USD 4.8 million per plant, the initial build-out depends on accessing the United States public capital markets via the post-transaction combined structure and utilizing subsequent equity lines. Labor and admin costs are modeled at USD 2.32 million annually per operational hub.</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and Challenges:</w:t>
            </w:r>
            <w:r>
              <w:rPr>
                <w:rFonts w:ascii="Times New Roman;Times;Serif" w:hAnsi="Times New Roman;Times;Serif"/>
                <w:b w:val="false"/>
                <w:i w:val="false"/>
                <w:caps w:val="false"/>
                <w:smallCaps w:val="false"/>
                <w:sz w:val="20"/>
              </w:rPr>
              <w:t xml:space="preserve"> Future NRG currently has zero operational footprint or existing revenue-generating assets in Philippines. Navigating completely unfamiliar foreign environmental permitting and waste-handling licenses presents complex, lengthy cross-border regulatory risks. A 50% start-up valuation discount has been explicitly applied in the Fairness Opinion to account for this extreme lack of operational history.</w:t>
            </w:r>
          </w:p>
        </w:tc>
      </w:tr>
    </w:tbl>
    <w:p>
      <w:pPr>
        <w:pStyle w:val="TextBody"/>
        <w:bidi w:val="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p>
      <w:pPr>
        <w:pStyle w:val="TextBody"/>
        <w:bidi w:val="0"/>
        <w:spacing w:before="0" w:after="0"/>
        <w:ind w:left="0" w:right="0" w:hanging="0"/>
        <w:jc w:val="left"/>
        <w:rPr/>
      </w:pPr>
      <w:r>
        <w:rPr/>
        <w:t> </w:t>
      </w:r>
    </w:p>
    <w:p>
      <w:pPr>
        <w:pStyle w:val="TextBody"/>
        <w:bidi w:val="0"/>
        <w:ind w:left="720" w:right="0" w:hanging="0"/>
        <w:jc w:val="both"/>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215"/>
        <w:gridCol w:w="323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32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Vietnam (Target Market Share: 10%)</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Determination of Market Share:</w:t>
            </w:r>
            <w:r>
              <w:rPr>
                <w:rFonts w:ascii="Times New Roman;Times;Serif" w:hAnsi="Times New Roman;Times;Serif"/>
                <w:b w:val="false"/>
                <w:i w:val="false"/>
                <w:caps w:val="false"/>
                <w:smallCaps w:val="false"/>
                <w:sz w:val="20"/>
              </w:rPr>
              <w:t xml:space="preserve"> Vietnam’s total municipal and industrial waste market size is estimated at USD 2.36 billion for 2026, with an average healthcare waste tonnage baseline modeled at 292,000 tons per year. Under the country’s 2030 circular-economy roadmap, urban centers are implementing rigid source-segregation laws according to the Mordor Intelligence report from spring 2026 title, “Vietnam Waste Management Market Size &amp; Share Analysis - Growth Trends and Forecast (2026 - 2031).” Based on Mordor Intelligence, management determined and believe in a conservative 10% market share target by focusing exclusively on certified medical waste processing sub-segments in high-density regions like Hanoi and Ho Chi Minh City, rather than broad residential collection.</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Required Resources &amp; Funding Plan:</w:t>
            </w:r>
            <w:r>
              <w:rPr>
                <w:rFonts w:ascii="Times New Roman;Times;Serif" w:hAnsi="Times New Roman;Times;Serif"/>
                <w:b w:val="false"/>
                <w:i w:val="false"/>
                <w:caps w:val="false"/>
                <w:smallCaps w:val="false"/>
                <w:sz w:val="20"/>
              </w:rPr>
              <w:t xml:space="preserve"> We believe that a full build-out relies on an asset-heavy model of up to 20 facilities over time at an optimization currently derived cost of USD 4.8 million per location, operating at a modeled corporate tax rate of 20%. Capital requirements will be tied directly to the proposed $50 million Future Financing facility outlined in Proposal No. 5.</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and Challenges:</w:t>
            </w:r>
            <w:r>
              <w:rPr>
                <w:rFonts w:ascii="Times New Roman;Times;Serif" w:hAnsi="Times New Roman;Times;Serif"/>
                <w:b w:val="false"/>
                <w:i w:val="false"/>
                <w:caps w:val="false"/>
                <w:smallCaps w:val="false"/>
                <w:sz w:val="20"/>
              </w:rPr>
              <w:t xml:space="preserve"> Future NRG currently has zero operational footprint or existing revenue-generating assets in Vietnam. Navigating completely unfamiliar foreign environmental permitting and waste-handling licenses presents complex, lengthy cross-border regulatory risks. A 50% start-up valuation discount has been explicitly applied in the Fairness Opinion to account for this extreme lack of operational history.</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3" w:name="ak_015"/>
      <w:bookmarkEnd w:id="43"/>
      <w:r>
        <w:rPr>
          <w:rFonts w:ascii="Times New Roman;Times;Serif" w:hAnsi="Times New Roman;Times;Serif"/>
          <w:b/>
          <w:i w:val="false"/>
          <w:caps w:val="false"/>
          <w:smallCaps w:val="false"/>
          <w:sz w:val="20"/>
        </w:rPr>
        <w:t>BGMS Reasons for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completed the acquisition of its fire safety subsidiary in its prior fiscal year, marking its initial entry into the essential services sector away from its history of biopharmaceutical focus. That transaction established a platform for recurring revenue and demonstrated BGMS’ ability to integrate operationally complex service businesses. Building on the fire safety acquisition, BGMS is now pursuing the acquisition of the green waste treatment subsidiary as its next strategic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rationale for the current acquisition of the green waste treatment business is grounded in several complementary factors. First, the target operates in a sector underpinned by mandatory regulatory compliance, mirroring the demand characteristics that have driven stable performance in the fire safety subsidiary and reinforcing BGMS’ overarching strategy of assembling a portfolio of essential, regulation-driven service businesses. Second, the green waste treatment business provides meaningful diversification across end markets and customer segments, reducing BGMS’ concentration risk in any single vertical while maintaining thematic coherence around safety and environmental stewardship. Third, Future NRG’s focus on private medical practitioners represents a large, fragmented, and underserved addressable market where consolidation and professionalization of service delivery can unlock significant organic growth. Fourth, the increasing global emphasis on sustainability and environmentally responsible waste management creates a favorable secular tailwind for green treatment technologies, positioning BGMS to benefit from regulatory tightening and shifting market preferences away from traditional incineration-based disposal. Fifth, BGMS expects to realize operational synergies between the two subsidiaries through shared back-office infrastructure, cross-selling opportunities, and the application of best practices in field service management, route optimization, and regulatory compliance developed within the fire safety business. Finally, the acquisition is expected to be immediately accretive to BGMS’s earnings and free cash flow, supporting BGMS’s objective of delivering long-term shareholder value through disciplined capital allocation.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the Transaction, the BGMS board of directors consulted with BGMS management, as well as its independent legal counsel and its financial advisors and, in the course of reaching its decision (i) to approve and declare advisable the Business Combination Agreement, the Transaction and other transactions contemplated thereby and (ii) subject to the terms and conditions of the Business Combination Agreement, to recommend that the BGMS stockholders approve the issuance of Parent Common Stock, the BGMS board considered a number of factors including these key factors: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Strong Market Position</w:t>
            </w:r>
            <w:r>
              <w:rPr>
                <w:rFonts w:ascii="Times New Roman;Times;Serif" w:hAnsi="Times New Roman;Times;Serif"/>
                <w:b w:val="false"/>
                <w:i w:val="false"/>
                <w:caps w:val="false"/>
                <w:smallCaps w:val="false"/>
                <w:sz w:val="20"/>
              </w:rPr>
              <w:t>. The BGMS board considered Future NRG’s industry-leading position at the forefront of innovative and sustainable medical waste management, offering advanced solutions through its proprietary ozone-based treatment technology. As a key player in environmental technology, Future NRG is dedicated to transforming traditional waste disposal practices by delivering an efficient, safe, and eco-friendly alternative to conventional methods;</w:t>
            </w:r>
          </w:p>
        </w:tc>
      </w:tr>
    </w:tbl>
    <w:p>
      <w:pPr>
        <w:pStyle w:val="TextBody"/>
        <w:bidi w:val="0"/>
        <w:spacing w:before="0" w:after="0"/>
        <w:ind w:left="72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Large and Growing Market Opportunity</w:t>
            </w:r>
            <w:r>
              <w:rPr>
                <w:rFonts w:ascii="Times New Roman;Times;Serif" w:hAnsi="Times New Roman;Times;Serif"/>
                <w:b w:val="false"/>
                <w:i w:val="false"/>
                <w:caps w:val="false"/>
                <w:smallCaps w:val="false"/>
                <w:sz w:val="20"/>
              </w:rPr>
              <w:t>. The BGMS board considered Future NRG’s long-term market opportunity and growth potential within its key business lines and, further, that its medical waste management solution is a step forward in creating a circular economy for medical waste, where sustainability and safety go hand in hand;</w:t>
            </w:r>
          </w:p>
        </w:tc>
      </w:tr>
    </w:tbl>
    <w:p>
      <w:pPr>
        <w:pStyle w:val="TextBody"/>
        <w:bidi w:val="0"/>
        <w:spacing w:before="0" w:after="0"/>
        <w:ind w:left="72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Preferred Supplier to Multiple Key Customers</w:t>
            </w:r>
            <w:r>
              <w:rPr>
                <w:rFonts w:ascii="Times New Roman;Times;Serif" w:hAnsi="Times New Roman;Times;Serif"/>
                <w:b w:val="false"/>
                <w:i w:val="false"/>
                <w:caps w:val="false"/>
                <w:smallCaps w:val="false"/>
                <w:sz w:val="20"/>
              </w:rPr>
              <w:t xml:space="preserve">. The BGMS board considered Future NRG’s ozone treatment system is designed to address the challenges of medical waste disposal by harnessing the power of ozone gas, a natural disinfectant, which achieves a 99.9999% reduction in microbial populations, ensuring the effective sterilization of medical waste, including infectious and biohazardous materials that does not rely on thermal energy, steam, or chemicals, which minimizes harmful emissions and reduces the environmental footprint; </w:t>
            </w:r>
          </w:p>
        </w:tc>
      </w:tr>
    </w:tbl>
    <w:p>
      <w:pPr>
        <w:pStyle w:val="TextBody"/>
        <w:bidi w:val="0"/>
        <w:spacing w:before="0" w:after="0"/>
        <w:ind w:left="72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Innovation and Research and Development Track-record</w:t>
            </w:r>
            <w:r>
              <w:rPr>
                <w:rFonts w:ascii="Times New Roman;Times;Serif" w:hAnsi="Times New Roman;Times;Serif"/>
                <w:b w:val="false"/>
                <w:i w:val="false"/>
                <w:caps w:val="false"/>
                <w:smallCaps w:val="false"/>
                <w:sz w:val="20"/>
              </w:rPr>
              <w:t>. The BGMS board also considered that Future NRG operates the Sendayan Ozone Medical Waste Treatment Plant, a specialized facility dedicated to the safe and environmentally responsible treatment of medical waste in Sendayan, Negeri Sembilan, Malaysia, which leverages advanced ozone-based treatment technology to neutralize and disinfect clinical and biomedical waste generated by healthcare institutions, hospitals, clinics, laboratories, and other medical facilities.</w:t>
            </w:r>
          </w:p>
        </w:tc>
      </w:tr>
    </w:tbl>
    <w:p>
      <w:pPr>
        <w:pStyle w:val="TextBody"/>
        <w:bidi w:val="0"/>
        <w:spacing w:before="0" w:after="0"/>
        <w:ind w:left="720" w:right="0" w:hanging="475"/>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p>
      <w:pPr>
        <w:pStyle w:val="TextBody"/>
        <w:bidi w:val="0"/>
        <w:spacing w:before="0" w:after="0"/>
        <w:ind w:left="0" w:right="0" w:hanging="0"/>
        <w:jc w:val="left"/>
        <w:rPr/>
      </w:pPr>
      <w:r>
        <w:rPr/>
        <w:t> </w:t>
      </w:r>
    </w:p>
    <w:p>
      <w:pPr>
        <w:pStyle w:val="TextBody"/>
        <w:bidi w:val="0"/>
        <w:spacing w:before="0" w:after="0"/>
        <w:ind w:left="720" w:right="0" w:hanging="475"/>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BGMS board also considered these material factors: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opportunity for BGMS’ stockholders to participate in the benefits that are expected to result from the Transaction, including the expectation that the Transaction will create a premier fire waste management company better than either BGMS management or the Company could do on their own;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management’s assessment that the proposed Transaction between BGMS and Future NRG is expected to benefit consumers by resulting in (i) greater capacity for the combined company to grow its innovative waste management services, (ii) expanded sales opportunity globally through expanded name recognition, and (iii) enhancement of the combined company’s technologies and capabilities, will allow the combined company to deliver a comprehensive offering to address diverse customer needs;</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management’s belief that the Transaction would result in deleveraging of BGMS with cash generation to further strengthen the combined company’s financial profile and drive accelerated debt reduction and shareholder value creation;</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management’s belief that the combined company would have a strengthened balance sheet and increased cash flow, in part as a result of synergies and accelerated deleveraging, that management believes will provide both the financial strength and flexibility to weather competitive challenges and provide a foundation for future growth;</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management’s belief that the Transaction will be accretive to the combined company’s earnings and cash flow beginning in year two after the Transaction;</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management’s belief that the Transaction will meaningfully increase the public float of the combined company, thereby improving the combined company’s capital markets positioning;</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assessment of alternatives to the Transaction and the expectation that the Transaction will create a more relevant, innovative, competitive and financially successful business than BGMS management would be able to create on a standalone basis;</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management’s assessment that the proposed Transaction between BGMS and Future NRG presented attributes necessary for a successful acquisition, including strategic fit, acceptable execution risk, and financial benefits to BGMS’ stockholders;</w:t>
            </w:r>
          </w:p>
        </w:tc>
      </w:tr>
    </w:tbl>
    <w:p>
      <w:pPr>
        <w:pStyle w:val="TextBody"/>
        <w:bidi w:val="0"/>
        <w:spacing w:before="0" w:after="0"/>
        <w:ind w:left="720" w:right="0" w:hanging="470"/>
        <w:jc w:val="both"/>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75"/>
        <w:gridCol w:w="170"/>
        <w:gridCol w:w="83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combined company will benefit from an experienced and highly motivated management team;</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 information concerning BGMS and Future NRG’s respective businesses, financial performance and condition, operations, management, competitive positions and stock performance, which comparisons generally informed BGMS management board’s determination as to the relative values of BGMS, the Company and the combined company;</w:t>
            </w:r>
          </w:p>
        </w:tc>
      </w:tr>
    </w:tbl>
    <w:p>
      <w:pPr>
        <w:pStyle w:val="TextBody"/>
        <w:bidi w:val="0"/>
        <w:spacing w:before="0" w:after="0"/>
        <w:ind w:left="720" w:right="0" w:hanging="470"/>
        <w:jc w:val="both"/>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75"/>
        <w:gridCol w:w="170"/>
        <w:gridCol w:w="51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BGMS management forecasts and the Company’s forecasts;</w:t>
            </w:r>
          </w:p>
        </w:tc>
      </w:tr>
    </w:tbl>
    <w:p>
      <w:pPr>
        <w:pStyle w:val="TextBody"/>
        <w:bidi w:val="0"/>
        <w:spacing w:before="0" w:after="0"/>
        <w:ind w:left="720" w:right="0" w:hanging="470"/>
        <w:jc w:val="both"/>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75"/>
        <w:gridCol w:w="170"/>
        <w:gridCol w:w="71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BGMS’ due diligence review of the Company’s businesses and operations;</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analyses presented by Strategic Capital Advisory Sdn. Bhd. (“Strategic Capital Advisory”), a highly specialized corporate finance services company retained by BGMS, rendered its written fairness opinion (the “Fairness Opinion”) to the BGMS board, that, as of May 25, 2026, the date of such opinion, and based upon the various assumptions, qualifications and limitations set forth therein, that the fair value of the entire equity interest of Future NRG ranges from $1.76 billion to $2.08 billion. Accordingly, Strategic Capital Advisory concluded that the purchase consideration of USD2.00 billion (“Purchase Consideration”) falls within the ranges of values derived using the Discounted Free Cash Flow to Firm (“FCFF”) methodology, hence it is fair from a financial point of view, to the stockholders of BGMS;</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Strategic Capital Advisory’s conclusion that the purchase consideration falls within the ranges of values derived using the Discounted FCFF methodology, hence it is fair from a financial point of view, to the stockholders of BGMS. The full text of the written Fairness Opinion of Strategic Capital Advisory, dated May 25, 2026, which sets forth, among other things, the assumptions made, procedures followed, matters considered and limitations on the review undertaken by Strategic Capital Advisory in preparing its opinion, is attached as </w:t>
            </w:r>
            <w:r>
              <w:rPr>
                <w:rFonts w:ascii="Times New Roman;Times;Serif" w:hAnsi="Times New Roman;Times;Serif"/>
                <w:b w:val="false"/>
                <w:i/>
                <w:caps w:val="false"/>
                <w:smallCaps w:val="false"/>
                <w:sz w:val="20"/>
              </w:rPr>
              <w:t>Annex B</w:t>
            </w:r>
            <w:r>
              <w:rPr>
                <w:rFonts w:ascii="Times New Roman;Times;Serif" w:hAnsi="Times New Roman;Times;Serif"/>
                <w:b w:val="false"/>
                <w:i w:val="false"/>
                <w:caps w:val="false"/>
                <w:smallCaps w:val="false"/>
                <w:sz w:val="20"/>
              </w:rPr>
              <w:t xml:space="preserve"> to this proxy statement/prospectus and is incorporated herein by reference. The summary of the Fairness Opinion of Strategic Capital Advisory set forth in this proxy statement/prospectus is qualified in its entirety by reference to the full text thereof;</w:t>
            </w:r>
          </w:p>
        </w:tc>
      </w:tr>
    </w:tbl>
    <w:p>
      <w:pPr>
        <w:pStyle w:val="TextBody"/>
        <w:bidi w:val="0"/>
        <w:spacing w:before="0" w:after="0"/>
        <w:ind w:left="720" w:right="0" w:hanging="47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p>
      <w:pPr>
        <w:pStyle w:val="TextBody"/>
        <w:bidi w:val="0"/>
        <w:spacing w:before="0" w:after="0"/>
        <w:ind w:left="0" w:right="0" w:hanging="0"/>
        <w:jc w:val="left"/>
        <w:rPr/>
      </w:pPr>
      <w:r>
        <w:rPr/>
        <w:t> </w:t>
      </w:r>
    </w:p>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conditions in the Business Combination Agreement, including (i) that the parties agreed to use reasonable best efforts to obtain certain regulatory approvals related to the Transaction, (ii) that the majority of the BGMS board will remain on the board of directors of the combined company and the existing officers of BGMS will remain the officers of the combined company, and (iii) that BGMS’ stockholders will own approximately less than 1.0% of the combined company immediately following the completion of the Transaction;</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course of its deliberations, the BGMS management board also considered the following risks and other countervailing factors related to entering into the Business Combination Agreement that had previously been identified and discussed by BGMS management and the BGMS board:</w:t>
            </w:r>
          </w:p>
        </w:tc>
      </w:tr>
    </w:tbl>
    <w:p>
      <w:pPr>
        <w:pStyle w:val="TextBody"/>
        <w:bidi w:val="0"/>
        <w:spacing w:before="0" w:after="0"/>
        <w:ind w:left="720" w:right="0" w:hanging="0"/>
        <w:jc w:val="both"/>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75"/>
        <w:gridCol w:w="170"/>
        <w:gridCol w:w="89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upside in BGMS’ stand-alone strategic plan to develop plogo and any other product candidates;</w:t>
            </w:r>
          </w:p>
        </w:tc>
      </w:tr>
    </w:tbl>
    <w:p>
      <w:pPr>
        <w:pStyle w:val="TextBody"/>
        <w:bidi w:val="0"/>
        <w:spacing w:before="0" w:after="0"/>
        <w:ind w:left="12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of encountering difficulties in successfully integrating the Company’s business and operations with those of BGMS and in achieving the synergies and other benefits anticipated to result from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the parties may not receive the necessary or advisable regulatory approvals or clearances to complete the Transaction, or the receipt thereof may materially delay consummation of the Transaction, or that governmental authorities could attempt to condition their approvals or clearances of the Transaction on one or more of the parties’ compliance with certain burdensome terms or conditions that may cause one of the closing conditions to not be satisfied;</w:t>
            </w:r>
          </w:p>
        </w:tc>
      </w:tr>
    </w:tbl>
    <w:p>
      <w:pPr>
        <w:pStyle w:val="TextBody"/>
        <w:bidi w:val="0"/>
        <w:spacing w:before="0" w:after="0"/>
        <w:ind w:left="12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the Exchange Shares included in the Business Combination Agreement provides for an amount of Exchange Shares of Parent Common Stock that may be subject to adjustment before the Closing on mutual agreement of the Parties, which means BGMS management cannot be sure of the market value of the Transaction consideration that it will pay to Selling Shareholders in the Transaction;</w:t>
            </w:r>
          </w:p>
        </w:tc>
      </w:tr>
    </w:tbl>
    <w:p>
      <w:pPr>
        <w:pStyle w:val="TextBody"/>
        <w:bidi w:val="0"/>
        <w:spacing w:before="0" w:after="0"/>
        <w:ind w:left="12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the Transaction might not be consummated for an extended period of time, which could lead to substantial costs incurred that could still result in a termination of the Business Combination Agreement;</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the Transaction might not be consummated, and the fact that if it is not consummated: (i) BGMS’ directors, executives and senior management will have expended extensive time and effort and will have experienced significant distractions from their work during the pendency of the transactions; (ii) BGMS management will have incurred significant transaction expenses and opportunity costs; (iii) the trading price of BGMS’ common stock could be adversely affected; (iv) the market’s perceptions of BGMS and its prospects could be adversely affected; and (v) BGMS’ business may be subject to significant disruptions and decline;</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diversion of the attention of the combined company’s management and other key employees by the integration process after the Closing of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BGMS management and the BGMS board have limited prior experience operating a business in the green solutions for scheduled waste treatment industry in which Future NRG operates, as BGMS’ operating history has been concentrated in the fire safety equipment industry and, prior to that, the biopharmaceutical industry, which may have limited BGMS management’s and the BGMS board’s ability to identify, evaluate, and appropriately weigh certain risks specific to the scheduled waste treatment industry, including risks related to environmental permitting, treatment technology performance, and industry-specific regulatory compliance, in the course of BGMS’ due diligence review of Future NRG’s business and operations;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substantial charges to be incurred in connection with the Transaction, including the costs of integrating the businesses of BGMS and the Company;</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challenge of integrating the workforces of BGMS and the Company while maintaining focus on providing consistent, high quality customer service and running the efficient operation of the combined company;</w:t>
            </w:r>
          </w:p>
        </w:tc>
      </w:tr>
    </w:tbl>
    <w:p>
      <w:pPr>
        <w:pStyle w:val="TextBody"/>
        <w:bidi w:val="0"/>
        <w:spacing w:before="0" w:after="0"/>
        <w:ind w:left="72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for conflicts of interest arising from the overlapping management and board positions between BGMS and ARCL and from the concurrent pursuit of the BGMS/Future NRG Transaction and the ARCL/FBTC de-SPAC, and the BGMS board’s determination that adequate safeguards existed through independent director oversight, the Audit Committee’s review process, and the board’s ongoing monitoring of any conflicts;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despite the Company’s and BGMS’ efforts and the efforts of the combined company after the Transaction, the Company, BGMS and the combined company may not be able to retain key personnel;</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litigation may occur in connection with the Transaction and that such litigation could prevent the Transaction or increase costs related to the Transaction; and</w:t>
            </w:r>
          </w:p>
        </w:tc>
      </w:tr>
    </w:tbl>
    <w:p>
      <w:pPr>
        <w:pStyle w:val="TextBody"/>
        <w:bidi w:val="0"/>
        <w:spacing w:before="0" w:after="0"/>
        <w:ind w:left="72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75"/>
        <w:gridCol w:w="170"/>
        <w:gridCol w:w="90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risks described above in the section entitled “Risk Factors” above in this proxy statement/prospectus.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Taken together, the sequential acquisitions of the fire safety and green waste treatment businesses reflect a deliberate strategy of building market-leading positions in niche sectors characterized by recurring revenue streams, high barriers to entry, and strong regulatory tailwinds. BGMS continues to evaluate additional strategic acquisitions and organic growth opportunities that align with its mission of delivering essential safety and environmental solutions to underserved market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discussion of the information and factors considered by the BGMS board is not intended to be exhaustive but includes the material factors considered by the BGMS board. In reaching its decision to approve and declare advisable the Business Combination Agreement, the Transaction and other transactions contemplated thereby, the BGMS board did not quantify or assign any relative weight to the factors considered, and individual directors may have given different weights to different factors. The BGMS board considered all these factors as a whole and overall considered the factors to be favorable to, and to support, its determination.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BGMS board also realized that there can be no assurance regarding future results, including results expected or considered in the factors listed above. However, the BGMS board concluded that the potential positive factors outweighed the risks and other potentially negative factors associated with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weighing the potential benefits of the Transaction against these risks and uncertainties, the BGMS board specifically considered that BGMS management and the BGMS board have limited prior operating experience in the green solutions for scheduled waste treatment industry in which Future NRG operates. BGMS recognized that this lack of industry-specific experience and expertise may have limited BGMS management’s and the BGMS board’s ability to identify, evaluate, and appropriately weigh certain risks specific to the scheduled waste treatment industry in the course of BGMS’ due diligence review of Future NRG’s business and operations, including risks related to the reliability and scalability of Future NRG’s ozone-based treatment technology, the adequacy of Future NRG’s environmental permits and licenses, and the reasonableness of the growth assumptions underlying Future NRG’s financial projections, including its planned expansion into Vietnam, Thailand, and the Philippines.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BGMS’ due diligence review relied significantly on information, projections, and representations provided by Future NRG’s management and the industry research and financial analyses performed by Strategic Capital Advisory, rather than on independent, industry-specific expertise or diligence capabilities developed internally by BGMS. The BGMS board considered this factor, together with the other risks and uncertainties described in this section and in the section entitled “Risk Factors,” in reaching its determination that, on balance, the anticipated benefits of the Transaction outweighed these 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reasons set forth above, the BGMS board unanimously (i) approved the terms of the Business Combination Agreement and the Transaction, (ii) determined that it is advisable to enter into the Business Combination Agreement, (iii) approved the execution and delivery by BGMS of the Business Combination Agreement, the performance by BGMS of its covenants and agreements contained in the Business Combination Agreement and the consummation of the Transaction upon the terms and subject to the conditions contained therein, including the issuance of Parent Common Stock, and (iv) resolved to submit the issuance of Parent Common Stock to the stockholders of BGMS and to recommend approval of such stock issuance in connection with the Transaction by the stockholders of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should be noted that the explanation of the reasoning of the BGMS board and certain information presented in this section are forward-looking in nature and should be read in light of the factors set forth in the section entitled “Cautionary Statement Regarding Forward-Looking Statements” above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 w:name="ak_016"/>
      <w:bookmarkEnd w:id="44"/>
      <w:r>
        <w:rPr>
          <w:rFonts w:ascii="Times New Roman;Times;Serif" w:hAnsi="Times New Roman;Times;Serif"/>
          <w:b/>
          <w:i w:val="false"/>
          <w:caps w:val="false"/>
          <w:smallCaps w:val="false"/>
          <w:sz w:val="20"/>
        </w:rPr>
        <w:t>Fairness Opinion of Future NRG Sdn. Bhd.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Capital Advisory Sdn. Bhd. (“Strategic Capital Advisory”) was appointed by the BGMS board as an expert to undertake an evaluation of the proposed acquisition of the entire equity interest in Future NRG Sdn. Bhd. and its subsidiaries for a purchase consideration of approximately USD2.00 billion (the “Purchase Consideration”). On May 25, 2026, Strategic Capital Advisory rendered its written fairness opinion (the “Fairness Opinion”) to the BGMS board, that, as of the date of such opinion, and based upon the various assumptions, qualifications and limitations set forth therein, that the fair value of the entire equity interest of Future NRG ranges from $1.76 billion to $2.08 billion. Accordingly, Strategic Capital Advisory concluded that the Purchase consideration falls within the ranges of values derived using the Discounted Free Cash Flow to Firm (“FCFF”) methodology, hence it is fair from a financial point of view, to the stockholders of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sources of information which Strategic Capital Advisory used in its evaluation of Future NRG Sdn. Bhd. (“Future NRG”) are as follows:</w:t>
      </w:r>
    </w:p>
    <w:p>
      <w:pPr>
        <w:pStyle w:val="TextBody"/>
        <w:bidi w:val="0"/>
        <w:spacing w:before="0" w:after="0"/>
        <w:ind w:left="0" w:right="0" w:hanging="0"/>
        <w:jc w:val="both"/>
        <w:rPr>
          <w:caps w:val="false"/>
          <w:smallCaps w:val="false"/>
        </w:rPr>
      </w:pPr>
      <w:r>
        <w:rPr>
          <w:caps w:val="false"/>
          <w:smallCaps w:val="false"/>
        </w:rPr>
        <w:t> </w:t>
      </w:r>
    </w:p>
    <w:tbl>
      <w:tblPr>
        <w:tblW w:w="9550" w:type="dxa"/>
        <w:jc w:val="left"/>
        <w:tblInd w:w="0" w:type="dxa"/>
        <w:tblLayout w:type="fixed"/>
        <w:tblCellMar>
          <w:top w:w="0" w:type="dxa"/>
          <w:left w:w="0" w:type="dxa"/>
          <w:bottom w:w="0" w:type="dxa"/>
          <w:right w:w="0" w:type="dxa"/>
        </w:tblCellMar>
      </w:tblPr>
      <w:tblGrid>
        <w:gridCol w:w="75"/>
        <w:gridCol w:w="170"/>
        <w:gridCol w:w="930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NRG’s draft audited financial statements for the financial year ended 31 December (“FYE”) 2024 and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NRG’s management accounts for the 1st Quarter financial period ended 31 March 2026 (“3M-FPE 2026”);</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0"/>
        <w:gridCol w:w="9980"/>
      </w:tblGrid>
      <w:tr>
        <w:trPr/>
        <w:tc>
          <w:tcPr>
            <w:tcW w:w="7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forecast and projection of Future NRG from the FYEs 31 December 2026 to 31 December 2029 (“Future NRG Financials”) prepared by the management of Future NRG (“Management”);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0" w:type="dxa"/>
            <w:tcBorders/>
            <w:vAlign w:val="center"/>
          </w:tcPr>
          <w:p>
            <w:pPr>
              <w:pStyle w:val="TableContents"/>
              <w:bidi w:val="0"/>
              <w:spacing w:before="0" w:after="283"/>
              <w:jc w:val="left"/>
              <w:rPr>
                <w:caps w:val="false"/>
                <w:smallCaps w:val="false"/>
              </w:rPr>
            </w:pPr>
            <w:r>
              <w:rPr>
                <w:caps w:val="false"/>
                <w:smallCaps w:val="false"/>
              </w:rPr>
              <w:t> </w:t>
            </w:r>
          </w:p>
        </w:tc>
        <w:tc>
          <w:tcPr>
            <w:tcW w:w="9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Metro Manila Solid Waste Management Report dated September 2003 (“Manila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0" w:type="dxa"/>
            <w:tcBorders/>
            <w:vAlign w:val="center"/>
          </w:tcPr>
          <w:p>
            <w:pPr>
              <w:pStyle w:val="TableContents"/>
              <w:bidi w:val="0"/>
              <w:spacing w:before="0" w:after="283"/>
              <w:jc w:val="left"/>
              <w:rPr>
                <w:caps w:val="false"/>
                <w:smallCaps w:val="false"/>
              </w:rPr>
            </w:pPr>
            <w:r>
              <w:rPr>
                <w:caps w:val="false"/>
                <w:smallCaps w:val="false"/>
              </w:rPr>
              <w:t> </w:t>
            </w:r>
          </w:p>
        </w:tc>
        <w:tc>
          <w:tcPr>
            <w:tcW w:w="9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Waste Management in Thailand and Vietnam dated 2024, prepared from Lappeenrantha-Lahti University of Technology known as LUT University (the “LUT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0" w:type="dxa"/>
            <w:tcBorders/>
            <w:vAlign w:val="center"/>
          </w:tcPr>
          <w:p>
            <w:pPr>
              <w:pStyle w:val="TableContents"/>
              <w:bidi w:val="0"/>
              <w:spacing w:before="0" w:after="283"/>
              <w:jc w:val="left"/>
              <w:rPr>
                <w:caps w:val="false"/>
                <w:smallCaps w:val="false"/>
              </w:rPr>
            </w:pPr>
            <w:r>
              <w:rPr>
                <w:caps w:val="false"/>
                <w:smallCaps w:val="false"/>
              </w:rPr>
              <w:t> </w:t>
            </w:r>
          </w:p>
        </w:tc>
        <w:tc>
          <w:tcPr>
            <w:tcW w:w="9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 and explanation by the Management;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0" w:type="dxa"/>
            <w:tcBorders/>
            <w:vAlign w:val="center"/>
          </w:tcPr>
          <w:p>
            <w:pPr>
              <w:pStyle w:val="TableContents"/>
              <w:bidi w:val="0"/>
              <w:spacing w:before="0" w:after="283"/>
              <w:jc w:val="left"/>
              <w:rPr>
                <w:caps w:val="false"/>
                <w:smallCaps w:val="false"/>
              </w:rPr>
            </w:pPr>
            <w:r>
              <w:rPr>
                <w:caps w:val="false"/>
                <w:smallCaps w:val="false"/>
              </w:rPr>
              <w:t> </w:t>
            </w:r>
          </w:p>
        </w:tc>
        <w:tc>
          <w:tcPr>
            <w:tcW w:w="9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publicly available information in respect of the industry that Future NRG is involved 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Bases and Assumptions for Future NRG Financials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set forth in the Fairness Opinion, the Future NRG Financials were prepared based on a set of assumptions made by Future NRG Sdn. Bhd. (the “Management”), which includes assumptions about future events and outlook that may or may not necessarily occur. In particular, the Future NRG Financials are dependent on the achievability of the specific assumptions as set out below. We have not undertaken a review on the reasonableness of the Future NRG Financials, and we do not express any opinion on the achievability of the Future NRG Financials. The FCFF for each financial year in the Future NRG Financials used to derive at the Discounted FCFF valuation are extracted from the estimate, forecast and projections based on the Management’s best estimate, and includes the existing contracts as well as quotations provided to its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we wish to highlight that the Discounted FCFF valuation is based on prevailing economic, market and other conditions as at Date of Opinion for valuation parameters, in addition to publicly available information and information provided by Future NRG. Such conditions may change significantly over a short period of time. The resultant effect of such changes may materially and/or adversely affect the 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 Future NRG Financials are dependent on the achievability of the specific assumptions as set out below. The results of the Future NRG Financials can be materially affected by economic and other circumstances. The actual results may vary considerably from the Future NRG Financials. The Future NRG Financials have been prepared on the bases consistent with the historical information provided by the Management, of which the specific key assumptions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410325" cy="1695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410325" cy="16954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9"/>
        <w:gridCol w:w="9926"/>
      </w:tblGrid>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Extracted from the Department of Environment Malaysia, 2019, being the best available information. An average growth rate of 12.3% was adopted to arrive at the tonnages per year from 2026 to 2029.</w:t>
            </w:r>
          </w:p>
        </w:tc>
      </w:tr>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the information extracted from the LUT Report, being the best available information.</w:t>
            </w:r>
          </w:p>
        </w:tc>
      </w:tr>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the information extracted from the Manila Report, being the best available information.</w:t>
            </w:r>
          </w:p>
        </w:tc>
      </w:tr>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information extracted from the LUT Report, being the best available information.</w:t>
            </w:r>
          </w:p>
        </w:tc>
      </w:tr>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Management’s best estimates.</w:t>
            </w:r>
          </w:p>
        </w:tc>
      </w:tr>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information extracted from Kualiti Alam (2016), being the best available information.</w:t>
            </w:r>
          </w:p>
        </w:tc>
      </w:tr>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information extracted from the Manila Report.</w:t>
            </w:r>
          </w:p>
        </w:tc>
      </w:tr>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there were no information from the LUT Report, reference was made to the Manila Report.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Fairness Opinion, it is estimated that Future NRG is to acquire a market share of 10% each for Malaysia and Vietnam and to acquire the market share of 30% each for Thailand and Philippine. The labour cost and general administration cost is estimated at approximately USD2.32 million per annum/ per plant. Such information was extracted from the Manila Report, being the best publicly available information. The inflation rate of the respective countries was adopted based on the ten (10) year average inflation rate extracted from World Bank. Tax expense is estimated based on the Malaysia’s corporate tax rate of 24.0%, the Thailand corporate tax rate of 20%, Philippine corporate tax rate of 25% and Vietnam corporate tax rate of 20%. Management represented that the overall cost for the Plant is approximately USD4.8 million and such value is adopted in assumption used for the construction and commercialization of each of the plant in the respective countries.</w:t>
      </w:r>
    </w:p>
    <w:p>
      <w:pPr>
        <w:pStyle w:val="TextBody"/>
        <w:bidi w:val="0"/>
        <w:spacing w:before="0" w:after="0"/>
        <w:ind w:left="0" w:right="0" w:firstLine="2"/>
        <w:jc w:val="both"/>
        <w:rPr>
          <w:caps w:val="false"/>
          <w:smallCaps w:val="false"/>
        </w:rPr>
      </w:pPr>
      <w:r>
        <w:rPr>
          <w:caps w:val="false"/>
          <w:smallCaps w:val="false"/>
        </w:rPr>
        <w:t> </w:t>
      </w:r>
    </w:p>
    <w:p>
      <w:pPr>
        <w:pStyle w:val="TextBody"/>
        <w:bidi w:val="0"/>
        <w:spacing w:before="0" w:after="0"/>
        <w:ind w:left="0" w:right="0" w:firstLine="2"/>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Assumptions</w:t>
      </w:r>
    </w:p>
    <w:p>
      <w:pPr>
        <w:pStyle w:val="TextBody"/>
        <w:bidi w:val="0"/>
        <w:spacing w:before="0" w:after="0"/>
        <w:ind w:left="0" w:right="0" w:firstLine="2"/>
        <w:jc w:val="both"/>
        <w:rPr>
          <w:caps w:val="false"/>
          <w:smallCaps w:val="false"/>
        </w:rPr>
      </w:pPr>
      <w:r>
        <w:rPr>
          <w:caps w:val="false"/>
          <w:smallCaps w:val="false"/>
        </w:rPr>
        <w:t> </w:t>
      </w:r>
    </w:p>
    <w:p>
      <w:pPr>
        <w:pStyle w:val="TextBody"/>
        <w:bidi w:val="0"/>
        <w:spacing w:before="0" w:after="0"/>
        <w:ind w:left="0" w:right="0" w:firstLine="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set forth in the Fairness Opinion, the Future NRG Financials were prepared based on these general assumptions made by Future NRG’s Management: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significant changes in the principal activities, key management personnel, operating policies, accounting and business policies presently adopted by Future NRG;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100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Financials have been prepared based on prevailing economic conditions and information available as at the date of its preparation and does not encompass any assessment of the potential for future changes in the economic conditions in Malaysia, Southeast Asia and globally;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significant changes to the prevailing economic, political and market conditions in Malaysia, Southeast Asia and elsewhere that will have direct and indirect effects on the activities and performance of Future NRG and the business of Future NRG’s customers and suppliers;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material changes to the present legislation and government’s regulations and other operation regulations or restrictions affecting Future NRG’s activities or the market in which it operates;</w:t>
            </w:r>
          </w:p>
        </w:tc>
      </w:tr>
    </w:tbl>
    <w:p>
      <w:pPr>
        <w:pStyle w:val="TextBody"/>
        <w:bidi w:val="0"/>
        <w:spacing w:before="0" w:after="0"/>
        <w:ind w:left="0" w:right="0" w:hanging="0"/>
        <w:jc w:val="both"/>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125"/>
        <w:gridCol w:w="75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7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significant changes in the credit period granted or received by Future NRG;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statutory income tax rate and other relevant duty and tax rate for Future NRG will remain at their respective existing rates with no significant changes in the bases of taxation and there will be no significant changes in the structure which would adversely affect the cash flows of Future NRG;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material adverse effect from service disruptions, equipment or network breakdown or other similar occurrences, wars, epidemic, terrorist attacks and other natural risks, both domestic and foreign, which will adversely affect the operations, income and expenditure of Future NRG;</w:t>
            </w:r>
          </w:p>
        </w:tc>
      </w:tr>
    </w:tbl>
    <w:p>
      <w:pPr>
        <w:pStyle w:val="TextBody"/>
        <w:bidi w:val="0"/>
        <w:spacing w:before="0" w:after="0"/>
        <w:ind w:left="0" w:right="0" w:hanging="0"/>
        <w:jc w:val="both"/>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305"/>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r>
          </w:p>
        </w:tc>
        <w:tc>
          <w:tcPr>
            <w:tcW w:w="6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of inflation will not fluctuate significantly from their projected levels;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rate between USD, RM and the various currencies in which Future NRG derives its income/expenses in will not fluctuate significantly from their projected levels;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100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estimation made by the Management, there will be no substantial impairment to the carrying value of Future NRG’s investment, property, plant and equipment and other assets;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significant changes in wages, supplies, administration, overhead expenses and other costs other than those forecasted and projected;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termination of any significant agreements or contracts from which the legal rights accruing to Future NRG, in respect of the principal activities are derived; Such agreements or contracts are assumed to be renewed based on current terms upon expiry;</w:t>
            </w:r>
          </w:p>
        </w:tc>
      </w:tr>
    </w:tbl>
    <w:p>
      <w:pPr>
        <w:pStyle w:val="TextBody"/>
        <w:bidi w:val="0"/>
        <w:spacing w:before="0" w:after="0"/>
        <w:ind w:left="0" w:right="0" w:hanging="0"/>
        <w:jc w:val="both"/>
        <w:rPr>
          <w:caps w:val="false"/>
          <w:smallCaps w:val="false"/>
        </w:rPr>
      </w:pPr>
      <w:r>
        <w:rPr>
          <w:caps w:val="false"/>
          <w:smallCaps w:val="false"/>
        </w:rPr>
        <w:t> </w:t>
      </w:r>
    </w:p>
    <w:tbl>
      <w:tblPr>
        <w:tblW w:w="9903" w:type="dxa"/>
        <w:jc w:val="left"/>
        <w:tblInd w:w="0" w:type="dxa"/>
        <w:tblLayout w:type="fixed"/>
        <w:tblCellMar>
          <w:top w:w="0" w:type="dxa"/>
          <w:left w:w="0" w:type="dxa"/>
          <w:bottom w:w="0" w:type="dxa"/>
          <w:right w:w="0" w:type="dxa"/>
        </w:tblCellMar>
      </w:tblPr>
      <w:tblGrid>
        <w:gridCol w:w="38"/>
        <w:gridCol w:w="305"/>
        <w:gridCol w:w="956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w:t>
            </w:r>
          </w:p>
        </w:tc>
        <w:tc>
          <w:tcPr>
            <w:tcW w:w="9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adequate supply of manpower and other relevant resources to Future NRG for its business activities;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0"/>
        <w:gridCol w:w="9877"/>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w:t>
            </w:r>
          </w:p>
        </w:tc>
        <w:tc>
          <w:tcPr>
            <w:tcW w:w="98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major legal proceedings against Future NRG which will adversely affect the activities or performance of Future NRG or give rise to any contingent liability which will materially affect the financial position or business of Future NRG.</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Valuation Methodology and Fairness of the Purchase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fairness of the Purchase Consideration, and based on the Discounted FCFF Methodology using the Future Financials as provided by the Management and the inputs from the Comparable Companies, the following were noted: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191250" cy="41338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191250" cy="41338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9"/>
        <w:gridCol w:w="9848"/>
      </w:tblGrid>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risk-free rate for Malaysia as extracted from http://www.bnm.gov.my. This risk-free rate is based on the yield of ten (10) years Malaysian Government Securities as at Date of Opinion.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risk-free rate for Thailand as extracted from http://www.tradingeconomics.com. The risk-free rate is based on the yield of Thailand’s 10-Year Bond Yield as at the Date of Opinion.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risk-free rate for Philippine as extracted from http://www.worldgovernmentbonds.com. The risk-free rate is based on the yield of Philippine’s 10-Year Bond Yield as at the Date of Opinion.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risk-free rate for Vietnam as extracted from http://www.tradingeconomics.com. The risk-free rate is based on the yield of Vietnam’s 10-Year Bond Yield as at the Date of Opinion.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historical average market return for Malaysia as extracted from Bloomberg. The historical average market return is based on the average return of FTSE Bursa Malaysia Top 100 Index for the past ten (10) years extracted on the Date of Opinion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equity risk premium for United States of America (“USA”) as extracted from http://pages.stern.nyu.edu/~adamodar/ as at the Date of Opinion. The equity risk premium for USA is applied on the basis that the Comparable Companies selected are international, hence they are benchmarked against the equity risk premium of a mature market. Subsequently, a country risk premium is applied as disclosed under Thailand, Philippine and Vietnam’s country risk premium.</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Re-geared beta is arrived at based on the net debt/equity ratio of Comparable Companies.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[8]</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country risk premium for Thailand, Philippine and Vietnam as extracted from http://pages.stern.nyu.edu/~adamodar/ as at the Date of Opinion.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[9]</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illiquidity premium of 4.0% had been applied to derive the discount rate using CAPM to account for the lack of marketability and unsystematic risk as extracted from http://people.stern.nyu.edu/adamodar/pdfiles/country/illiquidity.pdf.</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[10]</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lending rate as extracted from Bank Negara Malaysia.</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[11]</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Thailand Bank Lending Rate, Philippine Bank Lending Rate and Vietnam Bank Lending Rate as extracted from www.ceidata.com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Terminal value is mainly computed via one of the three (3) approaches, which is (a) liquidation value (b) multiple approach or (c) stable growth approach. For the purpose of this valuation, we have used the stable growth model to compute the terminal value as this usually applies to companies that are growing but on a moderate pace. The terminal value is computed based on the FCFF for the FYE 2029 at a terminal growth rate of nil, taking into consideration the risk of external factors that may directly or indirectly affect the business of Future NRG. The terminal value of Future NRG adopted in the Discounted FCFF Methodology is computed based on the parameters as stated below:</w:t>
      </w:r>
    </w:p>
    <w:p>
      <w:pPr>
        <w:pStyle w:val="TextBody"/>
        <w:bidi w:val="0"/>
        <w:spacing w:before="0" w:after="0"/>
        <w:jc w:val="center"/>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60"/>
        <w:gridCol w:w="1460"/>
        <w:gridCol w:w="1580"/>
      </w:tblGrid>
      <w:tr>
        <w:trPr/>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Terminal Value =</w:t>
            </w:r>
          </w:p>
        </w:tc>
        <w:tc>
          <w:tcPr>
            <w:tcW w:w="1580" w:type="dxa"/>
            <w:tcBorders/>
            <w:vAlign w:val="center"/>
          </w:tcPr>
          <w:p>
            <w:pPr>
              <w:pStyle w:val="TableContents"/>
              <w:bidi w:val="0"/>
              <w:spacing w:before="0" w:after="283"/>
              <w:jc w:val="both"/>
              <w:rPr>
                <w:rFonts w:ascii="Times New Roman;Times;Serif" w:hAnsi="Times New Roman;Times;Serif"/>
                <w:i/>
                <w:u w:val="single"/>
              </w:rPr>
            </w:pPr>
            <w:r>
              <w:rPr>
                <w:rFonts w:ascii="Times New Roman;Times;Serif" w:hAnsi="Times New Roman;Times;Serif"/>
                <w:i/>
                <w:u w:val="single"/>
              </w:rPr>
              <w:t>FCFFn X (1+g)</w:t>
            </w:r>
          </w:p>
        </w:tc>
      </w:tr>
      <w:tr>
        <w:trPr/>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both"/>
              <w:rPr/>
            </w:pPr>
            <w:r>
              <w:rPr/>
              <w:t> </w:t>
            </w:r>
          </w:p>
        </w:tc>
        <w:tc>
          <w:tcPr>
            <w:tcW w:w="1580"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WACC-g</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Where:</w:t>
      </w:r>
    </w:p>
    <w:p>
      <w:pPr>
        <w:pStyle w:val="TextBody"/>
        <w:bidi w:val="0"/>
        <w:spacing w:before="0" w:after="0"/>
        <w:ind w:left="25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 = represent time, last year of the Future Financials</w:t>
      </w:r>
    </w:p>
    <w:p>
      <w:pPr>
        <w:pStyle w:val="TextBody"/>
        <w:bidi w:val="0"/>
        <w:spacing w:before="0" w:after="0"/>
        <w:ind w:left="25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WACC =Discount rate derived using WACC</w:t>
      </w:r>
    </w:p>
    <w:p>
      <w:pPr>
        <w:pStyle w:val="TextBody"/>
        <w:bidi w:val="0"/>
        <w:spacing w:before="0" w:after="0"/>
        <w:ind w:left="25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 = terminal growth rate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underlying assumptions of the Future Financials, we have performed a sensitivity analysis on three key parameters, namely the discount rate, terminal value and FCFF as these assumptions have significant impact on the implied valuation of Future NRG. We have stress tested the Future Financials by varying the values adopted in the discount rate, terminal value and FCFF on a 0.5% and 3.0% upward and downward variance respectively on the midpoint of the valuation to arrive at a reasonable range of equity valuation of Future NRG. The variance parameters for the discount rate, terminal value and FCFF are selected after considering the followings factors: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6"/>
        <w:gridCol w:w="9974"/>
      </w:tblGrid>
      <w:tr>
        <w:trPr/>
        <w:tc>
          <w:tcPr>
            <w:tcW w:w="7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World Bank had projected that Malaysia’s GDP to grow by 4.4% in 2026, Thailand’s GDP to grow by 1.6% in 2026, Philippines’ GDP to grow by 4.6% in 2026 and Vietnam’s GDP to grow by 6.8% in 2026;</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6" w:type="dxa"/>
            <w:tcBorders/>
            <w:vAlign w:val="center"/>
          </w:tcPr>
          <w:p>
            <w:pPr>
              <w:pStyle w:val="TableContents"/>
              <w:bidi w:val="0"/>
              <w:spacing w:before="0" w:after="283"/>
              <w:jc w:val="both"/>
              <w:rPr>
                <w:caps w:val="false"/>
                <w:smallCaps w:val="false"/>
              </w:rPr>
            </w:pPr>
            <w:r>
              <w:rPr>
                <w:caps w:val="false"/>
                <w:smallCaps w:val="false"/>
              </w:rPr>
              <w:t> </w:t>
            </w:r>
          </w:p>
        </w:tc>
        <w:tc>
          <w:tcPr>
            <w:tcW w:w="997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annual inflation rate for Malaysia from year 2015 to 2024 is 1.9% as extracted from World Bank. Malaysia’s headline inflation rate for 2025 averaged at 1.4%;</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6" w:type="dxa"/>
            <w:tcBorders/>
            <w:vAlign w:val="center"/>
          </w:tcPr>
          <w:p>
            <w:pPr>
              <w:pStyle w:val="TableContents"/>
              <w:bidi w:val="0"/>
              <w:spacing w:before="0" w:after="283"/>
              <w:jc w:val="both"/>
              <w:rPr>
                <w:caps w:val="false"/>
                <w:smallCaps w:val="false"/>
              </w:rPr>
            </w:pPr>
            <w:r>
              <w:rPr>
                <w:caps w:val="false"/>
                <w:smallCaps w:val="false"/>
              </w:rPr>
              <w:t> </w:t>
            </w:r>
          </w:p>
        </w:tc>
        <w:tc>
          <w:tcPr>
            <w:tcW w:w="997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annual inflation rate for Thailand from year 2016 to 2025 is 1.1% as extracted from World Bank. Thailand’s average inflation rate to be between (0.3%) and (0.8%) for 2025;</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6" w:type="dxa"/>
            <w:tcBorders/>
            <w:vAlign w:val="center"/>
          </w:tcPr>
          <w:p>
            <w:pPr>
              <w:pStyle w:val="TableContents"/>
              <w:bidi w:val="0"/>
              <w:spacing w:before="0" w:after="283"/>
              <w:jc w:val="both"/>
              <w:rPr>
                <w:caps w:val="false"/>
                <w:smallCaps w:val="false"/>
              </w:rPr>
            </w:pPr>
            <w:r>
              <w:rPr>
                <w:caps w:val="false"/>
                <w:smallCaps w:val="false"/>
              </w:rPr>
              <w:t> </w:t>
            </w:r>
          </w:p>
        </w:tc>
        <w:tc>
          <w:tcPr>
            <w:tcW w:w="997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annual inflation rate for Philippine from year 2016 to 2025 is 3.5% as extracted from World Bank. The Philippines’ annual headline inflation rate for 2025 averaged 1.7%, falling to 1.8% by December 2025;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6" w:type="dxa"/>
            <w:tcBorders/>
            <w:vAlign w:val="center"/>
          </w:tcPr>
          <w:p>
            <w:pPr>
              <w:pStyle w:val="TableContents"/>
              <w:bidi w:val="0"/>
              <w:spacing w:before="0" w:after="283"/>
              <w:jc w:val="both"/>
              <w:rPr>
                <w:caps w:val="false"/>
                <w:smallCaps w:val="false"/>
              </w:rPr>
            </w:pPr>
            <w:r>
              <w:rPr>
                <w:caps w:val="false"/>
                <w:smallCaps w:val="false"/>
              </w:rPr>
              <w:t> </w:t>
            </w:r>
          </w:p>
        </w:tc>
        <w:tc>
          <w:tcPr>
            <w:tcW w:w="997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annual inflation rate for Vietnam from year 2016 to 2025 is 3.1% as extracted from World Bank. Vietnam’s headline inflation averaged 3.3% for the full year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above, we are of the opinion that the 1.0% and 3.0% upward and downward variance adopted for the discount rate, terminal value and FCFF is reasonable to take into consideration the range of possible fluctuations in the business to not only take into consideration the potential upsides but also the downturn due to unforeseen circumstances. Results of the sensitivity test is as shown below:</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286625" cy="14668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286625" cy="14668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currently has operations in Malaysia, however, its Management represented that it intends to diversify geographically to Thailand, Philippine and Vietnam, of which Future NRG currently has no presence or any business dealings in the respective countries. As such, certain discount for early-stage companies has to be considered. Academic research and empirical evidence from polls on expected rates of return by venture capitalists investing in early-stage companies are a valuable resource for assessing relevant discount rates. Depending on the development stage, rates range from 70% or higher in the seed stage, falling to 20% in the late stage. While these discount rates appear high, it is important to bear in mind the high failure rates of early-stage companies.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the Proposed Evaluation, we have applied the Start-up Discount of 50% to the fairness of the Purchase Consideration to account for the uncertainty and unsystematic risk faced by Future NRG as a start-up business, especially in another region i.e., Thailand, Philippine and Vietnam, as published by the following authors, which of the details are summarised as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6524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667500" cy="6524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Start-up-specific risks should be considered in any early-stage company valuation. Failing to appreciate a start-up’s specific risk profile can lead to inaccurate assessment of its full value potential in an exit scenario unless there is sufficient transparency of existing risks and opportunities to promote robust price negotiations. Early-stage companies typically have in common an extremely high speed of development. As the company evolves, the business model becomes more robust and operational milestones are reached, reducing the risk of the venture. Premise on the above, the fair value of entire equity interest of Future NRG ranges from $1.76 billion to $2.08 billion. The Purchase Consideration falls within the ranges of values derived using the Discounted FCFF methodology, hence it is fair from a financial point of view to the holders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Malaysia Waste Management Market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Fairness Opinion, Strategic Capital wrote that the Malaysia waste management market size is expected to increase during the forecast period due to rapid industrialization with the expansion of industries. Rapid population growth has increased the amount of waste generated due to landfills in Malaysia. As per the National Solid Waste Department, the country report 165 landfills and 8 sanitary landfills. Malaysia government is adopting various strategies to implement zero waste and to reduce dependency on landfills by using advanced technology and to avoid food wastage. Malaysia accounted for 31% recycling rate which is lower than other Southeast Asia countries such as Korea, Thailand, Singapore and Taiwan. Malaysia management produces 30,000 tonnes of municipal solid waste, which is a significant problem for the country. The Government planned to achieve recycling rate to 40% by 2025 due to increased focus on environmental management. Malaysia is also providing incentives to waste management companies in Malaysia in order to reduce commercial waste generation from manufacturing activities such as toxic waste, non-toxic waste and chemical waste.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factors driving the growth of Malaysia waste management industry includes increasing industrialization and urbanization, rapid population growth. Increasing environmental degradation with the rapid expansion in economic development is predicted to boost the waste management industry in Malaysia. In addition, increasing awareness regarding the benefits of waste management and investment on advanced technologies for waste management will further drive the market growth. Rising focus on reduction of food wastage by adopting adequate storage strategies. Malaysia government is investing and taking initiative to create more opportunities for the companies in waste management market in Malaysia. Growing demand for ecofriendly and cost-effective waste management solutions is boosting the market demand. Rising government effort for efficient waste disposal systems and to improve the waste management infrastructure. Moreover, increasing environmental concerns about the waste generation along with the high demand for sustainable waste management practices is likely to propel the market growth. However, high cost for implementing waste management solutions will hinder the waste management industry in Malaysia.</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See https://www.gmiresearch.com/report/malaysia-waste-management-market/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Thailand Waste Management Market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Thailand Waste Management Market size was valued at USD 18.28 billion in 2023, and is predicted to reach USD 34.83 billion by 2030, at a compounded annual growth rate (“</w:t>
      </w:r>
      <w:r>
        <w:rPr>
          <w:rFonts w:ascii="Times New Roman;Times;Serif" w:hAnsi="Times New Roman;Times;Serif"/>
          <w:b/>
          <w:i w:val="false"/>
          <w:caps w:val="false"/>
          <w:smallCaps w:val="false"/>
          <w:sz w:val="20"/>
        </w:rPr>
        <w:t>CAGR</w:t>
      </w:r>
      <w:r>
        <w:rPr>
          <w:rFonts w:ascii="Times New Roman;Times;Serif" w:hAnsi="Times New Roman;Times;Serif"/>
          <w:b w:val="false"/>
          <w:i w:val="false"/>
          <w:caps w:val="false"/>
          <w:smallCaps w:val="false"/>
          <w:sz w:val="20"/>
        </w:rPr>
        <w:t>”) of 8.60% from 2024 to 2030. Thailand waste management market involves a wide range of services and activities aimed at managing and mitigating the impact of waste generated by various sectors including residential, commercial, industrial, and healthcare. It includes the collection, transportation, processing, recycling, and disposal of waste materials in a manner that is environmentally responsible and sustainable. The market also involves the development and implementation of technologies and practices that promote waste reduction, resource recovery, and the safe handling of hazardous materials. Key components of the waste recycling market include waste collection services, recycling facilities, waste-to-energy plants, landfill operations, and environmental consulting services. As awareness of environmental issues grows, the waste recycling market continues to expand, driven by growing population, technological advancements, and increasing public demand for sustainable waste solutions.</w:t>
      </w:r>
      <w:r>
        <w:rPr>
          <w:rFonts w:ascii="Times New Roman;Times;Serif" w:hAnsi="Times New Roman;Times;Serif"/>
          <w:b w:val="false"/>
          <w:i w:val="false"/>
          <w:caps w:val="false"/>
          <w:smallCaps w:val="false"/>
          <w:position w:val="7"/>
          <w:sz w:val="16"/>
          <w:sz w:val="2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Vietnam Waste Management Market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Vietnam Waste Management Market size in 2026 is estimated at USD2.36 billion, growing from 2025 value of USD2.21 billion with 2031 projections showing USD3.26 billion, growing at 6.71% CAGR over 2026-2031. Accelerating urbanization, tighter environmental laws, and a national circular-economy roadmap continue to reshape demand, while extended-producer-responsibility rules nudge manufacturers toward formal recycling channels. Public-health campaigns and digital route-optimization tools are raising source-separation rates in Ho Chi Minh City and Hanoi, creating new volumes for advanced treatment. Rising foreign direct investment is bringing waste-to-energy, polyester-to-polyester recycling, and high-purity composting technologies to provincial markets. At the same time, project developers must work around land-acquisition hurdles, rural collection gaps, and constrained provincial budgets, all of which slow down infrastructure roll-outs.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2030 circular-economy action plan, Vietnam aims for 95% urban and 80% rural waste collection, while cutting landfill use below 50%. The strategy also links biomass and municipal waste to renewable-energy targets, giving waste-to-energy developers a government-endorsed revenue story. Agriculture generates 93.61 million tons of waste annually, yet just 52% is reused; regulations now call for a 25% jump in organic-fertilizer output by 2025 and a 30% organic share of all registered fertilizers by 2030. These targets integrate rural income growth with emissions goals, opening farmland markets for biochar and compost initiatives. As collection targets rise, the Vietnam waste management market gains visibility on feedstock volumes, improving bankability for regional treatment hubs.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Industrial, medical, and construction waste together account for 44.88% of Vietnam waste management share in 2025, yet each niche opens specialized revenue streams. Hazardous-waste contractors earn certification premiums to handle solvents and sludge, while hospitals in Bac Giang must conform to Decision 33/2025/QD-UBND’s strict segregation rules. Rubber producers have begun converting wastewater sludge into organic fertilizer, signaling agricultural up-cycling potential. With policy pressure mounting, these sub-segments will scale, but residential tonnage will continue to anchor fleet utilization across the Vietnam waste management market.</w:t>
      </w:r>
      <w:r>
        <w:rPr>
          <w:rFonts w:ascii="Times New Roman;Times;Serif" w:hAnsi="Times New Roman;Times;Serif"/>
          <w:b w:val="false"/>
          <w:i w:val="false"/>
          <w:caps w:val="false"/>
          <w:smallCaps w:val="false"/>
          <w:position w:val="7"/>
          <w:sz w:val="16"/>
          <w:sz w:val="2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Philippine Waste Management Market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waste generation in the Philippines is on the rise, the United Nations Industrial Development Organization (“UNIDO”) has reported. Recent analyses have revealed alarming trends in healthcare waste (“HCW”) generation, with hazardous healthcare waste increasing by 20.19% in the last five (5) years, with a generation rate ranging between 1.13 kg per bed per day and 1.31 kg per bed per day. Data from 2023 collected from partner hospitals further underscores the scale of this issue. The Eastern Visayas Medical Center reported 217.775 tonnes of pathologic or infectious waste and 191.345 tonnes of general waste. At the Quirino Memorial Medical Center, hazardous waste totaled 496,505 kg, while general waste amounted to 324,994.79 kg. The Cagayan Valley Medical Center reported 292,807 kg of general waste, along with hazardous materials, including 26,118 kg of sharps waste, 54 kg of pharmaceutical waste, and 2,603 kg of pathological waste. The HCW Project will focus on several interventions, including conducting a policy gap analysis with corresponding recommendations, hiring technical experts to identify environmentally sound technologies and strategies on management, and raising awareness while building stakeholder capacity. A critical aspect of the HCW project is reducing unintentional persistent organic pollutants (uPOPs), such as dioxins and furans, commonly released while burning chlorinated waste materials. Sources of chlorine include chlorine-based disinfectants and PVC (polyvinyl chloride) plastics.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See https://www.nextmsc.com/report/thailand-waste-management-market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See https://www.marketresearch.com/Mordor-Intelligence-LLP-v4018/Vietnam-Waste-Management-Share-Trends-43839000</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HCW project will also address the stockpiles of toxic mercury waste in hospitals by ensuring its proper storage and disposal. Mercury-containing products such as thermometers, sphygmomanometers, dental amalgam capsules, liquid mercury for dental restorative purposes, and fluorescent lamps have been banned in healthcare facilities since 2022 following the issuance of FDA Circular No. 2022-003. While healthcare facilities have generally shifted to mercury-free products, stockpiles of mercury waste have yet to be properly disposed of. The initiatives will also focus on improving waste inventory systems and assessing the technologies and capacities of the treatment, storage and disposal facilities to identify opportunities for technology transfer and green financing. The successful implementation of this plan over the next five years is crucial for achieving sustainable healthcare waste management interventions, and will have long-term benefits for the health of our communities and the environment.</w:t>
      </w:r>
      <w:r>
        <w:rPr>
          <w:rFonts w:ascii="Times New Roman;Times;Serif" w:hAnsi="Times New Roman;Times;Serif"/>
          <w:b w:val="false"/>
          <w:i w:val="false"/>
          <w:caps w:val="false"/>
          <w:smallCaps w:val="false"/>
          <w:position w:val="7"/>
          <w:sz w:val="16"/>
          <w:sz w:val="2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 w:name="ak_017"/>
      <w:bookmarkEnd w:id="45"/>
      <w:r>
        <w:rPr>
          <w:rFonts w:ascii="Times New Roman;Times;Serif" w:hAnsi="Times New Roman;Times;Serif"/>
          <w:b/>
          <w:i w:val="false"/>
          <w:caps w:val="false"/>
          <w:smallCaps w:val="false"/>
          <w:sz w:val="20"/>
        </w:rPr>
        <w:t>Future NRG Reasons for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course of reaching its decision to approve the Transaction, the Future NRG Board consulted with its senior management, financial advisors and legal counsel, reviewed a significant amount of information and considered a number of factors including its due diligence of BGMS. In reaching its decision to approve the Business Combination Agreement and the transactions contemplated by the Business Combination Agreement, the Future NRG Board considered a range of factors, including, but not limited to, the factors discussed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complexity of such factors, the Future NRG Board, as a whole, did not consider it practicable nor did it attempt to quantify or otherwise assign relative weights to the specific factors it took into account in reaching its decision. Individual members of the Future NRG Board may have given different weight to different factors. The explanation of the reasons for the approval by the Future NRG Board of the Transaction, and all other information presented in this section, is forward-looking in nature and, therefore, should be read in light of the factors discussed in the section entitled “</w:t>
      </w:r>
      <w:r>
        <w:rPr>
          <w:rFonts w:ascii="Times New Roman;Times;Serif" w:hAnsi="Times New Roman;Times;Serif"/>
          <w:b w:val="false"/>
          <w:i/>
          <w:caps w:val="false"/>
          <w:smallCaps w:val="false"/>
          <w:sz w:val="20"/>
        </w:rPr>
        <w:t>Cautionary Statement Regarding Forward-Looking Statements.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reaching its decision, the Future NRG Board discussed the results of the due diligence conducted by Future NRG’s management and legal counsel, which included: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expectation that the Transaction would be a more time- and cost-effective means to access capital than other options considered;</w:t>
            </w:r>
          </w:p>
        </w:tc>
      </w:tr>
    </w:tbl>
    <w:p>
      <w:pPr>
        <w:pStyle w:val="TextBody"/>
        <w:bidi w:val="0"/>
        <w:spacing w:before="0" w:after="0"/>
        <w:ind w:left="720" w:right="0" w:hanging="360"/>
        <w:jc w:val="both"/>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75"/>
        <w:gridCol w:w="170"/>
        <w:gridCol w:w="88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to provide its current shareholders with greater liquidity by owning stock in a public company;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Exchange Shares issued to Selling Shareholders will be registered pursuant to a registration statement on Form S-4 by Parent and will become freely tradable for most of the Selling Shareholders;</w:t>
            </w:r>
          </w:p>
        </w:tc>
      </w:tr>
    </w:tbl>
    <w:p>
      <w:pPr>
        <w:pStyle w:val="TextBody"/>
        <w:bidi w:val="0"/>
        <w:spacing w:before="0" w:after="0"/>
        <w:ind w:left="720" w:right="0" w:hanging="360"/>
        <w:jc w:val="both"/>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75"/>
        <w:gridCol w:w="170"/>
        <w:gridCol w:w="60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likelihood that the Transaction will be consummated on a timely basis;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Board’s belief that Parent has a strong management team experienced in its industry, which is expected to remain with the post-Transaction combined company to seek to execute the Company’s strategic and growth goals;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See https://businessmirror.com.ph/2025/02/16/phl-healthcare-waste-generation-on-the-rise/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and other terms of the Business Combination Agreement and the fact that such terms and conditions are reasonable and were the product of arm’s length negotiations between the Parties thereto;</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of Parent’s and its subsidiary’s material contracts, intellectual property, financial, tax, legal, and accounting due diligence;</w:t>
            </w:r>
          </w:p>
        </w:tc>
      </w:tr>
    </w:tbl>
    <w:p>
      <w:pPr>
        <w:pStyle w:val="TextBody"/>
        <w:bidi w:val="0"/>
        <w:spacing w:before="0" w:after="0"/>
        <w:ind w:left="720" w:right="0" w:hanging="360"/>
        <w:jc w:val="both"/>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75"/>
        <w:gridCol w:w="170"/>
        <w:gridCol w:w="84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meetings and calls with the management team and advisors of Parent regarding operations and forecasts;</w:t>
            </w:r>
          </w:p>
        </w:tc>
      </w:tr>
    </w:tbl>
    <w:p>
      <w:pPr>
        <w:pStyle w:val="TextBody"/>
        <w:bidi w:val="0"/>
        <w:spacing w:before="0" w:after="0"/>
        <w:ind w:left="720" w:right="0" w:hanging="360"/>
        <w:jc w:val="both"/>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75"/>
        <w:gridCol w:w="170"/>
        <w:gridCol w:w="64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consultations with Parent’s management and legal and financial advisor, ARC;</w:t>
            </w:r>
          </w:p>
        </w:tc>
      </w:tr>
    </w:tbl>
    <w:p>
      <w:pPr>
        <w:pStyle w:val="TextBody"/>
        <w:bidi w:val="0"/>
        <w:spacing w:before="0" w:after="0"/>
        <w:ind w:left="720" w:right="0" w:hanging="360"/>
        <w:jc w:val="both"/>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75"/>
        <w:gridCol w:w="170"/>
        <w:gridCol w:w="50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of Parent’s audited and unaudited financial statements;</w:t>
            </w:r>
          </w:p>
        </w:tc>
      </w:tr>
    </w:tbl>
    <w:p>
      <w:pPr>
        <w:pStyle w:val="TextBody"/>
        <w:bidi w:val="0"/>
        <w:spacing w:before="0" w:after="0"/>
        <w:ind w:left="720" w:right="0" w:hanging="360"/>
        <w:jc w:val="both"/>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75"/>
        <w:gridCol w:w="170"/>
        <w:gridCol w:w="3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on comparable transactions;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expenses to be incurred in connection with the Transaction and related administrative challenges associated with combining the companies;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 other risks associated with the company and the Transaction, including the risks described in the section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this proxy statement/prospectus.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considering the valuation reached by Strategic Capital of a range of $1.76 billion to $2.08 billion, the Future NRG Board primarily relied on the research and due-diligence-based perspective of Future NRG’s management and legal counsel that the transaction would provide its Selling Shareholders with an approximate more than 99.0% ownership interest in the combined company. Future NRG’s management conveyed to the Future NRG Board their perspective that the purchase price for Future NRG, in combination with Future NRG’s projected financial performance based on Future NRG’s management due diligence, would result in greater returns for Future NRG’s shareholders over a ten-year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Board further considered and discussed the assumptions underlying Future NRG’s management long-term financial projections including the assumptions for long-term (i) waste management services volume growth, (ii) waste management services growth, (iii) waste management services new business initiatives, and (iv) productivity (cost). In approving the Transaction, the Future NRG Board determined to rely on the Fairness Opinion from Strategic Capital, a highly specialized corporate finance services company retained by BGMS rather than procuring its own valuation or fairness opinion. In addition, the officers and directors of Future NRG have substantial experience in evaluating the operating and financial merits of companies from a wide range of industries and concluded that their experience and background enabled them to make the necessary analyses and determinations regarding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information and factors considered by the Future NRG Board are not intended to be exhaustive, but are believed to include all of the material factors considered by the Future NRG Board. In considering the factors described above, individual members of the Future NRG Board may have given different weight to different factors. Future NRG Board conducted an overall analysis of the factors described above, including thorough discussions with, and questioning of, Future NRG’s management and legal advisors, and considered the factors overall to be favorable to, and to support, its determination.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 w:name="ak_018"/>
      <w:bookmarkEnd w:id="46"/>
      <w:r>
        <w:rPr>
          <w:rFonts w:ascii="Times New Roman;Times;Serif" w:hAnsi="Times New Roman;Times;Serif"/>
          <w:b/>
          <w:i w:val="false"/>
          <w:caps w:val="false"/>
          <w:smallCaps w:val="false"/>
          <w:sz w:val="20"/>
        </w:rPr>
        <w:t>Interests of the Directors and Executive Officers of Bio Green Med Solution in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considering the recommendation of the BGMS board that its stockholders vote to approve the Transaction, stockholders should be aware that certain of our current directors and executive officers have interests in the Transaction that are different from, or in addition to, the interests of our stockholders generally. Specifically, all current members of the BGMS board, other than Mr. Kiu, who will step down as a director but continue to serve as Chief Financial Officer and Secretary, are expected to remain on the board of directors of the combined company, and all current BGMS officers are expected to remain as officers of the combined company. The members of the BGMS board were aware of the different or additional interests and considered these interests, among other matters, in evaluating and negotiating the Business Combination Agreement, and in recommending to stockholders that the Transaction be approved. See “</w:t>
      </w:r>
      <w:r>
        <w:rPr>
          <w:rFonts w:ascii="Times New Roman;Times;Serif" w:hAnsi="Times New Roman;Times;Serif"/>
          <w:b w:val="false"/>
          <w:i/>
          <w:caps w:val="false"/>
          <w:smallCaps w:val="false"/>
          <w:sz w:val="20"/>
        </w:rPr>
        <w:t>The Transaction—BGMS Management Reasons for the Transaction</w:t>
      </w:r>
      <w:r>
        <w:rPr>
          <w:rFonts w:ascii="Times New Roman;Times;Serif" w:hAnsi="Times New Roman;Times;Serif"/>
          <w:b w:val="false"/>
          <w:i w:val="false"/>
          <w:caps w:val="false"/>
          <w:smallCaps w:val="false"/>
          <w:sz w:val="20"/>
        </w:rPr>
        <w:t>” above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 and Mr. Kiu Cu Seng also serve as Chief Executive Officer and Executive Director, and Chief Financial Officer, respectively, of ARC Group Acquisition I Corp (Nasdaq: ARCL), and all three of BGMS’s independent directors—Soon Ping Pappas, Dr. Satis Waran Nair Krishnan, and Inigo Angel Laurduraj—also serve as directors of ARCL. ARCL is currently pursuing a pending de-SPAC business combination with Firstborn Top Capital Sdn. Bhd. (“FBTC”), which is expected to close concurrently with the Transaction. In addition, two investors in BGMS’s June 2026 private placement, Ms. Phuah Ee Jie and Ms. Wong Chee Sin, are also substantial shareholders of FBTC; each holds approximately 3.33% of BGMS’s outstanding restricted shares of common stock and approximately 9% and 7%, respectively, of FBTC’s outstanding ordinary shares. These overlapping management positions, board positions, and investor interests may create actual or potential conflicts of interest in connection with the evaluation and consummation of the Transaction, including the allocation of management time and attention between the two concurrent transactions. The BGMS board of directors was aware of these interests and considered them in recommending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should take these interests into account in deciding whether to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Proposals. These interests are described in more detail below, and certain of them are quantified in the narrative and the tables below.</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Parent’s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and positions of our executive officers as of the date of this proxy statement/prospectus are:</w:t>
      </w:r>
    </w:p>
    <w:p>
      <w:pPr>
        <w:pStyle w:val="TextBody"/>
        <w:bidi w:val="0"/>
        <w:spacing w:before="0" w:after="0"/>
        <w:ind w:left="0" w:right="0" w:hanging="0"/>
        <w:jc w:val="both"/>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75"/>
        <w:gridCol w:w="170"/>
        <w:gridCol w:w="61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 Chief Executive Officer and Executive Director;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1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Kiu Cu Seng, Chief Financial Officer, Executive Director and Secretary,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Parent’s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our non-employee independent directors as of the date of this proxy statement/prospectus are:</w:t>
      </w:r>
    </w:p>
    <w:p>
      <w:pPr>
        <w:pStyle w:val="TextBody"/>
        <w:bidi w:val="0"/>
        <w:spacing w:before="0" w:after="0"/>
        <w:ind w:left="0" w:right="0" w:hanging="0"/>
        <w:jc w:val="both"/>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75"/>
        <w:gridCol w:w="170"/>
        <w:gridCol w:w="2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Soon Ping Pappas;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2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Satis Waran Nair Krishnan;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2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Inigo Angel Laurduraj.</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Transactions with Parent’s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11, 2025, David E. Lazar, our previous interim co-Principal Financial Officer and Principal Accounting Officer and former interim Chief Executive Officer, entered into a securities purchase agreement (the “Wong Purchase Agreement”) with Datuk Dr. Doris Wong, our Chief Executive Officer and Executive Director, pursuant to which Datuk Dr. Doris Wong agreed to purchase 1,000,000 shares of Series C Convertible Preferred Stock of the Company, $0.001 par value per share (the “Series C”) and such number of the 2,100,000 shares of Series D Convertible Preferred Stock of the Company, $0.001 par value per share (the “Series D”) held by Mr. Lazar so that Datuk Dr. Doris Wong shall hold seventy percent (70%) of the issued and outstanding shares of the Company, which resulted in the issuance of 1,745,262 shares of Series D (collectively, the Series C and Series D are the “Lazar Securities”). The transaction contemplated by the Wong Purchase Agreement closed on February 26,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sale of the Lazar Securities, Datuk Dr. Doris Wong delivered $6,300,000 less the holdback amount of $100,000 to the escrow agent. The Purchase Price included a cash brokerage fee in the amount of $800,000 paid to Lighthouse Advisory Limited. The holdback amount will be held back by Datuk Dr. Doris Wong for 120 days from the closing date to satisfy any indemnity and other agreed upon claims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Lazar Securities were convertible into shares of Common Stock at the election of Datuk Dr. Doris Wong. On the closing date, Datuk Dr. Doris Wong exercised the conversion rights related to the Series C and Series D shares into Common Stock as follows: (i) the conversion of 1,000,000 shares of Series C into 2,650,000 shares of Common Stock; and (ii) the conversion of 1,745,262 shares of Series D into 799,911 shares of Common Stock, or an aggregate of 810,953 shares of Common Stock. The Lazar Securities were sold in a transaction exempt from registration under Regulation S of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transaction, Datuk Dr. Doris Wong had no affiliation with the Company. Datuk Dr. Doris Wong is not in the business of purchasing and selling securities and did not acquire the Series C and Series D with the intent to distribute them on behalf of the Company. The transaction with Mr. Lazar was a negotiated arm’s length bona fide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 2025, David Lazar exercised his conversion rights with respect to his 354,738 Series D shares in exchange for 162,588 shares of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2025, the Company granted a total of 300,178 shares of common stock options to Datuk Dr. Doris Wong and a total of 200,000 shares of common stock options to Mr. Kiu Cu Seng. The shares were granted pursuant to the Company’s 2018 Equity Incentive Plan and fully vest immediately upon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grants of stock options outstanding on the last day of the fiscal year ended December 31, 2025, to former executive officers of Parent.</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1812"/>
        <w:gridCol w:w="60"/>
        <w:gridCol w:w="229"/>
        <w:gridCol w:w="1921"/>
        <w:gridCol w:w="60"/>
        <w:gridCol w:w="60"/>
        <w:gridCol w:w="224"/>
        <w:gridCol w:w="1888"/>
        <w:gridCol w:w="60"/>
        <w:gridCol w:w="60"/>
        <w:gridCol w:w="170"/>
        <w:gridCol w:w="1194"/>
        <w:gridCol w:w="60"/>
        <w:gridCol w:w="60"/>
        <w:gridCol w:w="2347"/>
      </w:tblGrid>
      <w:tr>
        <w:trPr/>
        <w:tc>
          <w:tcPr>
            <w:tcW w:w="1812"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2150" w:type="dxa"/>
            <w:gridSpan w:val="2"/>
            <w:tcBorders>
              <w:bottom w:val="single" w:sz="8" w:space="0" w:color="000000"/>
            </w:tcBorders>
            <w:vAlign w:val="center"/>
          </w:tcPr>
          <w:p>
            <w:pPr>
              <w:pStyle w:val="TableContents"/>
              <w:bidi w:val="0"/>
              <w:spacing w:before="0" w:after="283"/>
              <w:jc w:val="center"/>
              <w:rPr>
                <w:b/>
              </w:rPr>
            </w:pPr>
            <w:r>
              <w:rPr>
                <w:b/>
              </w:rPr>
              <w:t xml:space="preserve">Number of Securities </w:t>
              <w:br/>
              <w:t>Underlying Options</w:t>
              <w:br/>
              <w:t>Exercisable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12" w:type="dxa"/>
            <w:gridSpan w:val="2"/>
            <w:tcBorders>
              <w:bottom w:val="single" w:sz="8" w:space="0" w:color="000000"/>
            </w:tcBorders>
            <w:vAlign w:val="center"/>
          </w:tcPr>
          <w:p>
            <w:pPr>
              <w:pStyle w:val="TableContents"/>
              <w:bidi w:val="0"/>
              <w:spacing w:before="0" w:after="283"/>
              <w:jc w:val="center"/>
              <w:rPr>
                <w:b/>
              </w:rPr>
            </w:pPr>
            <w:r>
              <w:rPr>
                <w:b/>
              </w:rPr>
              <w:t>Number of Securities</w:t>
              <w:br/>
              <w:t>Underlying Options</w:t>
              <w:br/>
              <w:t>Unexercisable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4"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Exercise</w:t>
              <w:br/>
              <w:t>Price</w:t>
            </w:r>
            <w:r>
              <w:rPr>
                <w:rFonts w:ascii="Times New Roman;Times;Serif" w:hAnsi="Times New Roman;Times;Serif"/>
                <w:b/>
                <w:i w:val="false"/>
                <w:caps w:val="false"/>
                <w:smallCaps w:val="false"/>
                <w:position w:val="7"/>
                <w:sz w:val="16"/>
                <w:sz w:val="20"/>
              </w:rPr>
              <w:t>(1)</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47" w:type="dxa"/>
            <w:tcBorders>
              <w:bottom w:val="single" w:sz="8" w:space="0" w:color="000000"/>
            </w:tcBorders>
            <w:vAlign w:val="center"/>
          </w:tcPr>
          <w:p>
            <w:pPr>
              <w:pStyle w:val="TableContents"/>
              <w:bidi w:val="0"/>
              <w:spacing w:before="0" w:after="283"/>
              <w:jc w:val="center"/>
              <w:rPr>
                <w:b/>
              </w:rPr>
            </w:pPr>
            <w:r>
              <w:rPr>
                <w:b/>
              </w:rPr>
              <w:t>Option Expiration Date</w:t>
            </w:r>
          </w:p>
        </w:tc>
      </w:tr>
      <w:tr>
        <w:trPr/>
        <w:tc>
          <w:tcPr>
            <w:tcW w:w="1812" w:type="dxa"/>
            <w:tcBorders/>
            <w:shd w:fill="CCEEFF" w:val="clear"/>
            <w:tcMar>
              <w:bottom w:w="0" w:type="dxa"/>
            </w:tcMar>
            <w:vAlign w:val="center"/>
          </w:tcPr>
          <w:p>
            <w:pPr>
              <w:pStyle w:val="TableContents"/>
              <w:bidi w:val="0"/>
              <w:spacing w:before="0" w:after="283"/>
              <w:jc w:val="both"/>
              <w:rPr/>
            </w:pPr>
            <w:r>
              <w:rPr/>
              <w:t>Dr. Brian Schwartz</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1921" w:type="dxa"/>
            <w:tcBorders/>
            <w:shd w:fill="CCEEFF" w:val="clear"/>
            <w:tcMar>
              <w:bottom w:w="0" w:type="dxa"/>
            </w:tcMar>
            <w:vAlign w:val="center"/>
          </w:tcPr>
          <w:p>
            <w:pPr>
              <w:pStyle w:val="TableContents"/>
              <w:bidi w:val="0"/>
              <w:spacing w:before="0" w:after="283"/>
              <w:jc w:val="right"/>
              <w:rPr/>
            </w:pPr>
            <w:r>
              <w:rPr/>
              <w:t>      </w:t>
            </w:r>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1888" w:type="dxa"/>
            <w:tcBorders/>
            <w:shd w:fill="CCEEFF" w:val="clear"/>
            <w:tcMar>
              <w:bottom w:w="0" w:type="dxa"/>
            </w:tcMar>
            <w:vAlign w:val="center"/>
          </w:tcPr>
          <w:p>
            <w:pPr>
              <w:pStyle w:val="TableContents"/>
              <w:bidi w:val="0"/>
              <w:spacing w:before="0" w:after="283"/>
              <w:jc w:val="right"/>
              <w:rPr/>
            </w:pPr>
            <w:r>
              <w:rPr/>
              <w:t>      </w:t>
            </w: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94" w:type="dxa"/>
            <w:tcBorders/>
            <w:shd w:fill="CCEEFF" w:val="clear"/>
            <w:tcMar>
              <w:bottom w:w="0" w:type="dxa"/>
            </w:tcMar>
            <w:vAlign w:val="center"/>
          </w:tcPr>
          <w:p>
            <w:pPr>
              <w:pStyle w:val="TableContents"/>
              <w:bidi w:val="0"/>
              <w:spacing w:before="0" w:after="283"/>
              <w:jc w:val="right"/>
              <w:rPr/>
            </w:pPr>
            <w:r>
              <w:rPr/>
              <w:t>14,868.00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47" w:type="dxa"/>
            <w:tcBorders/>
            <w:shd w:fill="CCEEFF" w:val="clear"/>
            <w:tcMar>
              <w:bottom w:w="0" w:type="dxa"/>
            </w:tcMar>
            <w:vAlign w:val="center"/>
          </w:tcPr>
          <w:p>
            <w:pPr>
              <w:pStyle w:val="TableContents"/>
              <w:bidi w:val="0"/>
              <w:spacing w:before="0" w:after="283"/>
              <w:jc w:val="center"/>
              <w:rPr/>
            </w:pPr>
            <w:r>
              <w:rPr/>
              <w:t>01/02/2026</w:t>
            </w:r>
          </w:p>
        </w:tc>
      </w:tr>
      <w:tr>
        <w:trPr/>
        <w:tc>
          <w:tcPr>
            <w:tcW w:w="1812" w:type="dxa"/>
            <w:tcBorders/>
            <w:shd w:fill="FFFFFF" w:val="clear"/>
            <w:tcMar>
              <w:bottom w:w="0" w:type="dxa"/>
            </w:tcMar>
            <w:vAlign w:val="center"/>
          </w:tcPr>
          <w:p>
            <w:pPr>
              <w:pStyle w:val="TableContents"/>
              <w:bidi w:val="0"/>
              <w:spacing w:before="0" w:after="283"/>
              <w:jc w:val="both"/>
              <w:rPr/>
            </w:pPr>
            <w:r>
              <w:rPr/>
              <w:t>Dr. Brian Schwartz</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1921" w:type="dxa"/>
            <w:tcBorders/>
            <w:shd w:fill="FFFFFF" w:val="clear"/>
            <w:tcMar>
              <w:bottom w:w="0" w:type="dxa"/>
            </w:tcMar>
            <w:vAlign w:val="center"/>
          </w:tcPr>
          <w:p>
            <w:pPr>
              <w:pStyle w:val="TableContents"/>
              <w:bidi w:val="0"/>
              <w:spacing w:before="0" w:after="283"/>
              <w:jc w:val="right"/>
              <w:rPr/>
            </w:pPr>
            <w:r>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1888"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94" w:type="dxa"/>
            <w:tcBorders/>
            <w:shd w:fill="FFFFFF" w:val="clear"/>
            <w:tcMar>
              <w:bottom w:w="0" w:type="dxa"/>
            </w:tcMar>
            <w:vAlign w:val="center"/>
          </w:tcPr>
          <w:p>
            <w:pPr>
              <w:pStyle w:val="TableContents"/>
              <w:bidi w:val="0"/>
              <w:spacing w:before="0" w:after="283"/>
              <w:jc w:val="right"/>
              <w:rPr/>
            </w:pPr>
            <w:r>
              <w:rPr/>
              <w:t>24,084.00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7" w:type="dxa"/>
            <w:tcBorders/>
            <w:shd w:fill="FFFFFF" w:val="clear"/>
            <w:tcMar>
              <w:bottom w:w="0" w:type="dxa"/>
            </w:tcMar>
            <w:vAlign w:val="center"/>
          </w:tcPr>
          <w:p>
            <w:pPr>
              <w:pStyle w:val="TableContents"/>
              <w:bidi w:val="0"/>
              <w:spacing w:before="0" w:after="283"/>
              <w:jc w:val="center"/>
              <w:rPr/>
            </w:pPr>
            <w:r>
              <w:rPr/>
              <w:t>01/02/2026</w:t>
            </w:r>
          </w:p>
        </w:tc>
      </w:tr>
      <w:tr>
        <w:trPr/>
        <w:tc>
          <w:tcPr>
            <w:tcW w:w="1812" w:type="dxa"/>
            <w:tcBorders/>
            <w:shd w:fill="CCEEFF" w:val="clear"/>
            <w:tcMar>
              <w:bottom w:w="0" w:type="dxa"/>
            </w:tcMar>
            <w:vAlign w:val="center"/>
          </w:tcPr>
          <w:p>
            <w:pPr>
              <w:pStyle w:val="TableContents"/>
              <w:bidi w:val="0"/>
              <w:spacing w:before="0" w:after="283"/>
              <w:jc w:val="both"/>
              <w:rPr/>
            </w:pPr>
            <w:r>
              <w:rPr/>
              <w:t>Dr. Brian Schwartz</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1921" w:type="dxa"/>
            <w:tcBorders/>
            <w:shd w:fill="CCEEFF" w:val="clear"/>
            <w:tcMar>
              <w:bottom w:w="0" w:type="dxa"/>
            </w:tcMar>
            <w:vAlign w:val="center"/>
          </w:tcPr>
          <w:p>
            <w:pPr>
              <w:pStyle w:val="TableContents"/>
              <w:bidi w:val="0"/>
              <w:spacing w:before="0" w:after="283"/>
              <w:jc w:val="right"/>
              <w:rPr/>
            </w:pPr>
            <w:r>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1888"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94" w:type="dxa"/>
            <w:tcBorders/>
            <w:shd w:fill="CCEEFF" w:val="clear"/>
            <w:tcMar>
              <w:bottom w:w="0" w:type="dxa"/>
            </w:tcMar>
            <w:vAlign w:val="center"/>
          </w:tcPr>
          <w:p>
            <w:pPr>
              <w:pStyle w:val="TableContents"/>
              <w:bidi w:val="0"/>
              <w:spacing w:before="0" w:after="283"/>
              <w:jc w:val="right"/>
              <w:rPr/>
            </w:pPr>
            <w:r>
              <w:rPr/>
              <w:t>3,996.00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47" w:type="dxa"/>
            <w:tcBorders/>
            <w:shd w:fill="CCEEFF" w:val="clear"/>
            <w:tcMar>
              <w:bottom w:w="0" w:type="dxa"/>
            </w:tcMar>
            <w:vAlign w:val="center"/>
          </w:tcPr>
          <w:p>
            <w:pPr>
              <w:pStyle w:val="TableContents"/>
              <w:bidi w:val="0"/>
              <w:spacing w:before="0" w:after="283"/>
              <w:jc w:val="center"/>
              <w:rPr/>
            </w:pPr>
            <w:r>
              <w:rPr/>
              <w:t>01/02/2026</w:t>
            </w:r>
          </w:p>
        </w:tc>
      </w:tr>
      <w:tr>
        <w:trPr/>
        <w:tc>
          <w:tcPr>
            <w:tcW w:w="1812" w:type="dxa"/>
            <w:tcBorders/>
            <w:shd w:fill="FFFFFF" w:val="clear"/>
            <w:tcMar>
              <w:bottom w:w="0" w:type="dxa"/>
            </w:tcMar>
            <w:vAlign w:val="center"/>
          </w:tcPr>
          <w:p>
            <w:pPr>
              <w:pStyle w:val="TableContents"/>
              <w:bidi w:val="0"/>
              <w:spacing w:before="0" w:after="283"/>
              <w:jc w:val="both"/>
              <w:rPr/>
            </w:pPr>
            <w:r>
              <w:rPr/>
              <w:t>Dr. Brian Schwartz</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1921" w:type="dxa"/>
            <w:tcBorders/>
            <w:shd w:fill="FFFFFF" w:val="clear"/>
            <w:tcMar>
              <w:bottom w:w="0" w:type="dxa"/>
            </w:tcMar>
            <w:vAlign w:val="center"/>
          </w:tcPr>
          <w:p>
            <w:pPr>
              <w:pStyle w:val="TableContents"/>
              <w:bidi w:val="0"/>
              <w:spacing w:before="0" w:after="283"/>
              <w:jc w:val="right"/>
              <w:rPr/>
            </w:pPr>
            <w:r>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1888"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94" w:type="dxa"/>
            <w:tcBorders/>
            <w:shd w:fill="FFFFFF" w:val="clear"/>
            <w:tcMar>
              <w:bottom w:w="0" w:type="dxa"/>
            </w:tcMar>
            <w:vAlign w:val="center"/>
          </w:tcPr>
          <w:p>
            <w:pPr>
              <w:pStyle w:val="TableContents"/>
              <w:bidi w:val="0"/>
              <w:spacing w:before="0" w:after="283"/>
              <w:jc w:val="right"/>
              <w:rPr/>
            </w:pPr>
            <w:r>
              <w:rPr/>
              <w:t>2,120.76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7" w:type="dxa"/>
            <w:tcBorders/>
            <w:shd w:fill="FFFFFF" w:val="clear"/>
            <w:tcMar>
              <w:bottom w:w="0" w:type="dxa"/>
            </w:tcMar>
            <w:vAlign w:val="center"/>
          </w:tcPr>
          <w:p>
            <w:pPr>
              <w:pStyle w:val="TableContents"/>
              <w:bidi w:val="0"/>
              <w:spacing w:before="0" w:after="283"/>
              <w:jc w:val="center"/>
              <w:rPr/>
            </w:pPr>
            <w:r>
              <w:rPr/>
              <w:t>01/02/2026</w:t>
            </w:r>
          </w:p>
        </w:tc>
      </w:tr>
      <w:tr>
        <w:trPr/>
        <w:tc>
          <w:tcPr>
            <w:tcW w:w="1812" w:type="dxa"/>
            <w:tcBorders/>
            <w:shd w:fill="CCEEFF" w:val="clear"/>
            <w:tcMar>
              <w:bottom w:w="0" w:type="dxa"/>
            </w:tcMar>
            <w:vAlign w:val="center"/>
          </w:tcPr>
          <w:p>
            <w:pPr>
              <w:pStyle w:val="TableContents"/>
              <w:bidi w:val="0"/>
              <w:spacing w:before="0" w:after="283"/>
              <w:jc w:val="both"/>
              <w:rPr/>
            </w:pPr>
            <w:r>
              <w:rPr/>
              <w:t>Dr. Brian Schwartz</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1921" w:type="dxa"/>
            <w:tcBorders/>
            <w:shd w:fill="CCEEFF" w:val="clear"/>
            <w:tcMar>
              <w:bottom w:w="0" w:type="dxa"/>
            </w:tcMar>
            <w:vAlign w:val="center"/>
          </w:tcPr>
          <w:p>
            <w:pPr>
              <w:pStyle w:val="TableContents"/>
              <w:bidi w:val="0"/>
              <w:spacing w:before="0" w:after="283"/>
              <w:jc w:val="right"/>
              <w:rPr/>
            </w:pPr>
            <w:r>
              <w:rPr/>
              <w:t>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1888"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94" w:type="dxa"/>
            <w:tcBorders/>
            <w:shd w:fill="CCEEFF" w:val="clear"/>
            <w:tcMar>
              <w:bottom w:w="0" w:type="dxa"/>
            </w:tcMar>
            <w:vAlign w:val="center"/>
          </w:tcPr>
          <w:p>
            <w:pPr>
              <w:pStyle w:val="TableContents"/>
              <w:bidi w:val="0"/>
              <w:spacing w:before="0" w:after="283"/>
              <w:jc w:val="right"/>
              <w:rPr/>
            </w:pPr>
            <w:r>
              <w:rPr/>
              <w:t>547.20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47" w:type="dxa"/>
            <w:tcBorders/>
            <w:shd w:fill="CCEEFF" w:val="clear"/>
            <w:tcMar>
              <w:bottom w:w="0" w:type="dxa"/>
            </w:tcMar>
            <w:vAlign w:val="center"/>
          </w:tcPr>
          <w:p>
            <w:pPr>
              <w:pStyle w:val="TableContents"/>
              <w:bidi w:val="0"/>
              <w:spacing w:before="0" w:after="283"/>
              <w:jc w:val="center"/>
              <w:rPr/>
            </w:pPr>
            <w:r>
              <w:rPr/>
              <w:t>01/02/2026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Potential Payments Upon Termination or Change-in-Control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has entered into agreements that require us to make payments and/or provide benefits to certain of our executive officers in the event of a termination of employment or change-in-control. Our 2006 Equity Incentive Plan, or 2006 Plan, our 2015 Equity Incentive Plan, or 2015 Plan, our 2018 Equity Incentive Plan, or 2018 Plan, and our 2020 Inducement Equity Incentive Plan, or 2020 Plan (and collectively with the 2006 Plan, 2015 Plan, and 2018 Plan, “the Plans”) provide for payments to named executive officers in connection with a termination or a change-in-control of the Company. All of such agreements that require us to make payments and/or provide benefits to certain of our executive officers in the event of a termination of employment or change-in-control have terminated. The Transaction will not be a sale of more than 50% of the total voting power of the stock of Parent and, therefore, will not be a change of control for this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 and 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their service to the BGMS management and on the board of directors, each of our executive officers and non-employee directors was granted a monthly cash fee during the director’s service on the board of directors. None of the agreements with each of our executive officers and non-employee directors provide for any severance payments or stock option awards upon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Appointment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Parent’s 2027 Annual Meeting, the Parent’s stockholders will be able to vote on the re-election of the current Class II directors who hold office for a term expiring at the 2027 annual meeting.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(the “DGCL”) provides, in general, that a corporation incorporated under the laws of the State of Delaware, as we are, may indemnify any person who was or is a party or is threatened to be made a party to any threatened, pending or completed action, suit or proceeding (other than a derivative action by or in the right of the corporation) by reason of the fact that such person is or was a director, officer, employee or agent of the corporation, or is or was serving at the request of the corporation as a director, officer, employee or agent of another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derivative action, a Delaware corporation may indemnify any such person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will be made in respect of any claim, issue or matter as to which such person will have been adjudged to be liable to the corporation unless and only to the extent that the Court of Chancery of the State of Delaware or any other court in which such action was brought determines such person is fairly and reasonably entitled to indemnity for such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 of our certificate of incorporation, as amended, states that to the fullest extent permitted by the DGCL, a director of the corporation shall not be liable to the corporation or its stockholders for monetary damages for breach of fiduciary duty as a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Article IX of our certificate of incorporation, any person who was or is made a party or is threatened to be made a party to or is in any way involved in any threatened, pending or completed action suit or proceeding, whether civil, criminal, administrative or investigative, including any appeal therefrom, by reason of the fact that he is or was a director or officer of ours or was serving at our request as a director or officer of another entity or enterprise (including any subsidiary), may be indemnified and held harmless by us, and we may advance all expenses incurred by such person in defense of any such proceeding prior to its final determination, if this person acted in good faith and in a manner reasonably believed to be in and not opposed to our best interest, and, with respect to any criminal action or proceeding, the indemnified party had no reason to believe his or her conduct was unlawful. The indemnification provided in our bylaws is not exclusive of any other rights to which those seeking indemnification may otherwise be entitled.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general liability insurance policy that covers certain liabilities of directors and officers of our corporation arising out of claims based on acts or omissions in their capacities as directors or officers.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Potential Employment Agreements Following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Agreement does not impose any requirements on Parent regarding retention or compensation of its employees such as our executive officers. At this time, it is expected that all of our executive officers will remain as officers of the combined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7" w:name="ak_019"/>
      <w:bookmarkEnd w:id="47"/>
      <w:r>
        <w:rPr>
          <w:rFonts w:ascii="Times New Roman;Times;Serif" w:hAnsi="Times New Roman;Times;Serif"/>
          <w:b/>
          <w:i w:val="false"/>
          <w:caps w:val="false"/>
          <w:smallCaps w:val="false"/>
          <w:sz w:val="20"/>
        </w:rPr>
        <w:t>Interests of the Directors and Executive Officers of Future NRG Sdn. Bhd. in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Shareholders should be aware that certain members of the board of directors of Future may have an interest in the Transaction that may differ from, or be in addition to, interests of Future NRG or its directors and executive officers. Future NRG’s board of directors was aware of these potential conflicts of interest and considered them, among other matters, in reaching their respective decisions to approve the Business Combination Agreement, the Transaction and related transactions.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post-Transaction board of directors of Future NRG Sdn. Bhd. will consist Mr. Pun Kah Weng. Consequently, continuity of the management and policies of Future NRG will exist as a subsidiary of the combined company following the Closing of the Transaction. The table below sets forth the anticipated ownership of Future NRG common shares by the Company’s directors and executive officers immediately prior to the closing of the Transaction based on their ownership of as of September 1,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796"/>
        <w:gridCol w:w="60"/>
        <w:gridCol w:w="403"/>
        <w:gridCol w:w="2561"/>
        <w:gridCol w:w="60"/>
        <w:gridCol w:w="60"/>
        <w:gridCol w:w="434"/>
        <w:gridCol w:w="2754"/>
        <w:gridCol w:w="77"/>
      </w:tblGrid>
      <w:tr>
        <w:trPr/>
        <w:tc>
          <w:tcPr>
            <w:tcW w:w="3796" w:type="dxa"/>
            <w:tcBorders>
              <w:bottom w:val="single" w:sz="8" w:space="0" w:color="000000"/>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Selling Shareholders Director or Officer Name</w:t>
            </w:r>
          </w:p>
        </w:tc>
        <w:tc>
          <w:tcPr>
            <w:tcW w:w="60" w:type="dxa"/>
            <w:tcBorders/>
            <w:tcMar>
              <w:bottom w:w="0" w:type="dxa"/>
            </w:tcMar>
            <w:vAlign w:val="center"/>
          </w:tcPr>
          <w:p>
            <w:pPr>
              <w:pStyle w:val="TableContents"/>
              <w:bidi w:val="0"/>
              <w:spacing w:before="0" w:after="283"/>
              <w:jc w:val="left"/>
              <w:rPr/>
            </w:pPr>
            <w:r>
              <w:rPr/>
              <w:t> </w:t>
            </w:r>
          </w:p>
        </w:tc>
        <w:tc>
          <w:tcPr>
            <w:tcW w:w="296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Shares Owned Prior to the Closing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88"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Parent Common Stock to be issued at the Closing</w:t>
            </w:r>
          </w:p>
        </w:tc>
        <w:tc>
          <w:tcPr>
            <w:tcW w:w="77" w:type="dxa"/>
            <w:tcBorders/>
            <w:tcMar>
              <w:bottom w:w="0" w:type="dxa"/>
            </w:tcMar>
            <w:vAlign w:val="center"/>
          </w:tcPr>
          <w:p>
            <w:pPr>
              <w:pStyle w:val="TableContents"/>
              <w:bidi w:val="0"/>
              <w:spacing w:before="0" w:after="283"/>
              <w:jc w:val="left"/>
              <w:rPr/>
            </w:pPr>
            <w:r>
              <w:rPr/>
              <w:t> </w:t>
            </w:r>
          </w:p>
        </w:tc>
      </w:tr>
      <w:tr>
        <w:trPr/>
        <w:tc>
          <w:tcPr>
            <w:tcW w:w="3796"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Pun Kah Weng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3" w:type="dxa"/>
            <w:tcBorders/>
            <w:shd w:fill="CCEEFF" w:val="clear"/>
            <w:tcMar>
              <w:bottom w:w="0" w:type="dxa"/>
            </w:tcMar>
            <w:vAlign w:val="center"/>
          </w:tcPr>
          <w:p>
            <w:pPr>
              <w:pStyle w:val="TableContents"/>
              <w:bidi w:val="0"/>
              <w:spacing w:before="0" w:after="283"/>
              <w:jc w:val="left"/>
              <w:rPr/>
            </w:pPr>
            <w:r>
              <w:rPr/>
              <w:t> </w:t>
            </w:r>
          </w:p>
        </w:tc>
        <w:tc>
          <w:tcPr>
            <w:tcW w:w="2561"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4" w:type="dxa"/>
            <w:tcBorders/>
            <w:shd w:fill="CCEEFF" w:val="clear"/>
            <w:tcMar>
              <w:bottom w:w="0" w:type="dxa"/>
            </w:tcMar>
            <w:vAlign w:val="center"/>
          </w:tcPr>
          <w:p>
            <w:pPr>
              <w:pStyle w:val="TableContents"/>
              <w:bidi w:val="0"/>
              <w:spacing w:before="0" w:after="283"/>
              <w:jc w:val="left"/>
              <w:rPr/>
            </w:pPr>
            <w:r>
              <w:rPr/>
              <w:t> </w:t>
            </w:r>
          </w:p>
        </w:tc>
        <w:tc>
          <w:tcPr>
            <w:tcW w:w="2754"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rPr>
              <w:t>0</w:t>
            </w:r>
          </w:p>
        </w:tc>
        <w:tc>
          <w:tcPr>
            <w:tcW w:w="7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 Following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elsewhere in this proxy statement/prospectus, including in the section entitled “</w:t>
      </w:r>
      <w:r>
        <w:rPr>
          <w:rFonts w:ascii="Times New Roman;Times;Serif" w:hAnsi="Times New Roman;Times;Serif"/>
          <w:b w:val="false"/>
          <w:i/>
          <w:caps w:val="false"/>
          <w:smallCaps w:val="false"/>
          <w:sz w:val="20"/>
        </w:rPr>
        <w:t>Management Following the Closing of the Transaction</w:t>
      </w:r>
      <w:r>
        <w:rPr>
          <w:rFonts w:ascii="Times New Roman;Times;Serif" w:hAnsi="Times New Roman;Times;Serif"/>
          <w:b w:val="false"/>
          <w:i w:val="false"/>
          <w:caps w:val="false"/>
          <w:smallCaps w:val="false"/>
          <w:sz w:val="20"/>
        </w:rPr>
        <w:t>” of this proxy statement/prospectus, the Company’s director is expected to remain director of the Company after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 w:name="ak_020"/>
      <w:bookmarkEnd w:id="48"/>
      <w:r>
        <w:rPr>
          <w:rFonts w:ascii="Times New Roman;Times;Serif" w:hAnsi="Times New Roman;Times;Serif"/>
          <w:b/>
          <w:i w:val="false"/>
          <w:caps w:val="false"/>
          <w:smallCaps w:val="false"/>
          <w:sz w:val="20"/>
        </w:rPr>
        <w:t>Form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Transaction, each outstanding Company Ordinary Shares will be exchanged for Parent Common Stock, as described in more detail in this proxy statement/prospectus. See also “</w:t>
      </w:r>
      <w:r>
        <w:rPr>
          <w:rFonts w:ascii="Times New Roman;Times;Serif" w:hAnsi="Times New Roman;Times;Serif"/>
          <w:b w:val="false"/>
          <w:i/>
          <w:caps w:val="false"/>
          <w:smallCaps w:val="false"/>
          <w:sz w:val="20"/>
        </w:rPr>
        <w:t>The Exchange Share</w:t>
      </w:r>
      <w:r>
        <w:rPr>
          <w:rFonts w:ascii="Times New Roman;Times;Serif" w:hAnsi="Times New Roman;Times;Serif"/>
          <w:b w:val="false"/>
          <w:i w:val="false"/>
          <w:caps w:val="false"/>
          <w:smallCaps w:val="false"/>
          <w:sz w:val="20"/>
        </w:rPr>
        <w:t>s” immediately below. After completion of the Transaction, BGMS’s common stock is expected to continue to trade on the Nasdaq Capital Market under the symbol “BGMS.”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498080" cy="3054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498080" cy="30543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9" w:name="ak_021"/>
      <w:bookmarkEnd w:id="49"/>
      <w:r>
        <w:rPr>
          <w:rFonts w:ascii="Times New Roman;Times;Serif" w:hAnsi="Times New Roman;Times;Serif"/>
          <w:b/>
          <w:i w:val="false"/>
          <w:caps w:val="false"/>
          <w:smallCaps w:val="false"/>
          <w:sz w:val="20"/>
        </w:rPr>
        <w:t>The Exchange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Transaction, each outstanding ordinary share of the Company will be exchanged for shares of Parent Common Stock (the “Exchange Shares”). No fractional shares of Parent Common Stock will be issued in connection with the Transaction. Instead, all fractional shares of Parent Common Stock issuable to Selling Shareholders will be aggregated and will be rounded up into one full share of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Exchange Shares is calculated using a formula intended to allocate to Selling Shareholders, a percentage of the company. The number of Exchange Shares has been estimated to result in Selling Shareholders owning approximately more than 99.0% of Parent Common Stock and current Parent stockholders are expected to own approximately less than 1.0% of Parent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0" w:name="ak_022"/>
      <w:bookmarkEnd w:id="50"/>
      <w:r>
        <w:rPr>
          <w:rFonts w:ascii="Times New Roman;Times;Serif" w:hAnsi="Times New Roman;Times;Serif"/>
          <w:b/>
          <w:i w:val="false"/>
          <w:caps w:val="false"/>
          <w:smallCaps w:val="false"/>
          <w:sz w:val="20"/>
        </w:rPr>
        <w:t>Stock Options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stock options that are outstanding immediately prior to the effective time will remain outstanding following the effective time of the Transaction. Parent warrants to purchase shares of Parent Common Stock that are outstanding immediately prior to the effective time of the Transaction will remain outstanding following the effective time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1" w:name="ak_023"/>
      <w:bookmarkEnd w:id="51"/>
      <w:r>
        <w:rPr>
          <w:rFonts w:ascii="Times New Roman;Times;Serif" w:hAnsi="Times New Roman;Times;Serif"/>
          <w:b/>
          <w:i w:val="false"/>
          <w:caps w:val="false"/>
          <w:smallCaps w:val="false"/>
          <w:sz w:val="20"/>
        </w:rPr>
        <w:t>Closing Time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will be completed as promptly as practicable after all of the conditions to completion of the Transaction are satisfied or waived, including the approval of the stockholders of BGMS. BGMS and Future NRG are working to complete the Transaction as quickly as practicable. However, BGMS and Future NRG cannot predict the exact timing of the completion of the Transaction because it is subject to various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 w:name="ak_024"/>
      <w:bookmarkEnd w:id="52"/>
      <w:r>
        <w:rPr>
          <w:rFonts w:ascii="Times New Roman;Times;Serif" w:hAnsi="Times New Roman;Times;Serif"/>
          <w:b/>
          <w:i w:val="false"/>
          <w:caps w:val="false"/>
          <w:smallCaps w:val="false"/>
          <w:sz w:val="20"/>
        </w:rPr>
        <w:t>Regulatory Approvals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must comply with applicable federal and state securities laws and the rules and regulations of The Nasdaq Stock Market in connection with the issuance of shares of Parent Common Stock in the Transaction and the filing of this proxy statement/prospectus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3" w:name="ak_025"/>
      <w:bookmarkEnd w:id="53"/>
      <w:r>
        <w:rPr>
          <w:rFonts w:ascii="Times New Roman;Times;Serif" w:hAnsi="Times New Roman;Times;Serif"/>
          <w:b/>
          <w:i w:val="false"/>
          <w:caps w:val="false"/>
          <w:smallCaps w:val="false"/>
          <w:sz w:val="20"/>
        </w:rPr>
        <w:t>Material Malaysian Tax Considerations to the Company’s Shareholder Related to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expected material Malaysian tax consequences of the Transaction to Selling Shareholders. The summary does not purport to be a comprehensive description of all of the tax considerations that may be relevant to the Company’s shareholder. The summary is based on Malaysian tax law and the practice of the Inland Revenue Board of Malaysia currently in force in Malaysia. Legislative, administrative or judicial changes may modify the tax consequences described below, possibly with retrospective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deals with shareholder of the Company who legally and beneficially own shares in the Company. The summary does not constitute tax or legal advice and the comments below are of a general nature only. Selling Shareholders should consult professional advisers on the Malaysian tax implications of the Transaction and the tax implications in any other relevant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does not address the Malaysian tax consequences resulting from shares being attributable to (i) a permanent establishment outside of the shareholder’s country of residence, or (ii) a permanent representative outside of the shareholder’s country of residence. To the extent that the discussion relates to matters of Malaysian tax law, it represents the opinion of our Malaysian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in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legislation that governs an entity’s income tax in Malaysia is the Income Tax Act 1967 (the “ITA”). The regulatory body implementing and enforcing the ITA is the Inland Revenue Board of Malaysia (“IRB”). Pursuant to Section 3 of the ITA, income tax shall be charged for each year of assessment (“YA”) upon the income of any entity accruing in or derived from Malaysia or received in Malaysia from outside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8 of the ITA, a company is a tax resident in Malaysia if its management and control are exercised in Malaysia. Management and control are normally considered to be exercised at the place where the directors’ meetings concerning management and control of the company are held. The income tax rate payable by a resident company differs depending on the amount of the company’s paid-up capital and its annual sale in relation to the particular YA.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Future NRG’s main business activities are focused in Malaysia and its management and control are also in Malaysia, Future NRG is categorized as a Resident company with its tax residency in Malaysia and is subject to pay an income tax at the rate of 24% from its chargeable income for the particular YA.</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Foreign-Sourced Income &amp; Transaction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Malaysia’s taxation regime is territorial in principle, where income accruing in or derived from or received in Malaysia from outside Malaysia is subject to income tax in Malaysia pursuant to Section 3 of the ITA. Previously, certain foreign-sourced income were exempted from income tax due to the tax exemption pursuant to Paragraph 28, Schedule 6 of the ITA. This was subsequently removed with effect from January 1, 2022 pursuant to an announcement on the Malaysian Budget 2022. Therefore for the purposes of the Transaction, income derived by a Malaysian Resident company from an overseas entity or from overseas activities outside Malaysia are taxable under the ITA.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view of the nature of the Transaction, Future NRG does not anticipate any income tax to be payable under Section 3 of the ITA for the Selling Shareholders receiving the Transaction Consideration in the form of common stock of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Gains Tax at the Time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Malaysian Budget 2024 has introduced a new form of tax to Malaysia’s tax landscape now known as the Capital Gains Tax (“CGT”). The CGT was gazetted via the Finance (No. 2) Act 2023 which made amendments to the ITA and came into effect beginning January 1, 2024 which was designed to levy taxes on profits derived from the sale of capital assets, including stocks, bonds, real estate and other investments. For the purpose of the Transaction, the disposal of the common shares in the Company is known as a disposal of shares in an unlisted Malaysian company which falls under the category of CGT.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prevailing rate of CGT currently stands at 10% of the net gain of the disposal of the capital asset while there would be no CGT chargeable for any loss or lack of net gain on disposal of the capital asset. Under Malaysian tax law, the Transaction is considered as a disposition of the Company shares at fair market value and the acquisition of shares of Parent Common Stock at the same value, therefore the net effect of the Transaction would result in a zero net gain for Selling Shareholders. In view of the above, Selling Shareholders opines that there would be no CGT chargeable on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Stamp Duty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Stamp Duty is a form of tax chargeable on all transactional or non-transactional legal, commercial and/or financial instruments in Malaysia pursuant to the Stamp Act 1949. Selling Shareholders anticipates to be responsible for the </w:t>
      </w:r>
      <w:r>
        <w:rPr>
          <w:rFonts w:ascii="Times New Roman;Times;Serif" w:hAnsi="Times New Roman;Times;Serif"/>
          <w:b w:val="false"/>
          <w:i/>
          <w:caps w:val="false"/>
          <w:smallCaps w:val="false"/>
          <w:sz w:val="20"/>
        </w:rPr>
        <w:t xml:space="preserve">ad valorem </w:t>
      </w:r>
      <w:r>
        <w:rPr>
          <w:rFonts w:ascii="Times New Roman;Times;Serif" w:hAnsi="Times New Roman;Times;Serif"/>
          <w:b w:val="false"/>
          <w:i w:val="false"/>
          <w:caps w:val="false"/>
          <w:smallCaps w:val="false"/>
          <w:sz w:val="20"/>
        </w:rPr>
        <w:t>stamp duty on the transfer of share form at the prevailing rate of 0.3% or a rate to be assessed by the IRB premised on the book value of the ordinary shares of the Company or from the market value of the Transaction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4" w:name="ak_026"/>
      <w:bookmarkEnd w:id="54"/>
      <w:r>
        <w:rPr>
          <w:rFonts w:ascii="Times New Roman;Times;Serif" w:hAnsi="Times New Roman;Times;Serif"/>
          <w:b/>
          <w:i w:val="false"/>
          <w:caps w:val="false"/>
          <w:smallCaps w:val="false"/>
          <w:sz w:val="20"/>
        </w:rPr>
        <w:t>Material U.S. Federal Income Tax Consequences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discussion of material U.S. federal income tax consequences of the Transaction applicable to BGMS (Parent), Selling Shareholders, and holders, immediately prior to the Transaction, of Future NRG shares. It is not a complete analysis of all potential tax effects of the Transaction. The effects of other U.S. federal tax laws, such as estate and gift tax laws, and of applicable state, local, and non-U.S. tax laws, are not discussed. This discussion is based on the Internal Revenue Code of 1986, as amended, or the Code, U.S. Treasury Regulations promulgated thereunder, or the Regulations, judicial decisions, and published rulings and administrative pronouncements of the Internal Revenue Service, or the IRS, each in effect as of the date of this registration statement. Such authorities may change or be subject to differing interpretations, and any such change may be applied retroactively in a manner that could adversely affect a holder of the Company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discussion in this section entitled “</w:t>
      </w:r>
      <w:r>
        <w:rPr>
          <w:rFonts w:ascii="Times New Roman;Times;Serif" w:hAnsi="Times New Roman;Times;Serif"/>
          <w:b w:val="false"/>
          <w:i/>
          <w:caps w:val="false"/>
          <w:smallCaps w:val="false"/>
          <w:sz w:val="20"/>
        </w:rPr>
        <w:t>Material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U.S. Federal Income Tax Consequences of the Transaction”</w:t>
      </w:r>
      <w:r>
        <w:rPr>
          <w:rFonts w:ascii="Times New Roman;Times;Serif" w:hAnsi="Times New Roman;Times;Serif"/>
          <w:b w:val="false"/>
          <w:i w:val="false"/>
          <w:caps w:val="false"/>
          <w:smallCaps w:val="false"/>
          <w:sz w:val="20"/>
        </w:rPr>
        <w:t xml:space="preserve"> addresses the treatment of the Transaction as a taxable sale or other disposition within the meaning of Section 1001 of the Code and to the U.S. federal income tax consequences of the Transaction to Parent’s stockholders, including BGMS’s public stockholders, who held shares of Parent Common Stock immediately before the Transaction, it represents such discussion constitutes the short-form opinion of Rimon, P.C. (“Rimon” or “our United States counsel”), counsel to BGMS, filed as Exhibit 8.1 to the registration statement of which this proxy statement/prospectus forms a part. Rimon’s opinion is based upon the Code, the Regulations, judicial decisions, and published rulings and administrative pronouncements of the IRS, in each case as in effect as of the date of this proxy statement/prospectus, all of which are subject to change or differing interpretation, possibly with retroactive effect, and upon certain representations made by BGMS, Future NRG, and the Selling Shareholders. Rimon’s opinion is not binding on the IRS or any court.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counsel expresses no opinion with respect to the tax consequences to any other person, including Selling Shareholders or any indirect Selling Shareholders U.S. Holders, or with respect to any other matter of aspect of the Transaction or any related transactions. Parent has not sought and does not intend to seek a ruling from the U.S. Internal Revenue Service, or IRS, regarding the intended tax treatment of the Transaction and there can be no assurance that the IRS will not challenge the intended tax treatment of the Transaction and, if challenged, that a court would not sustain the IRS’ position.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Discussion Limited to Shares held as a Capital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it relates to Selling Shareholders in exchanging the Company common shares for the Parent Common Stock, this discussion is limited to such shares that are, in each case, held as a “capital asset” within the meaning of Section 1221 of the Code (generally, property held for investment). This discussion does not address all U.S. federal income tax consequences relevant to the particular circumstances of Future NRG or a shareholder of Future NRG. In addition, it does not address consequences relevant to Selling Shareholders that may be subject to special rules, including, without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subject to the alternative minimum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whose functional currency is not the U.S. dollar;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holding the Company common or preferred stock as part of a hedge, straddle, or other risk reduction strategy or as part of a conversion transaction or other integrated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banks, insurance companies, and other financial institutions;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real estate investment trusts and regulated investment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brokers, dealers, and traders in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tax-exempt organizations and governmental organizations;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deemed to sell the Company common shares under the constructive sale provisions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who hold or receive the Company common shares pursuant to the exercise of any employee stock options or otherwise as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who hold the Company common shares that is “section 306 stock” within the meaning of Section 306(c)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required to accelerate the recognition of any item of gross income for U.S. federal income tax purposes with respect to the Company common shares as a result of such item being taken into account in an applicable financial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holding the Company common shares who exercise dissenters’ rights;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tax-qualified retirement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Person 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 individual who is a citizen or resident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corporation created or organized in or under the laws of the United States, any state thereof, or the District of Columbia;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 estate the income of which is subject to U.S. federal income tax regardless of its source;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trust if either a court within the United States is able to exercise primary supervision over the administration of such trust and one or more United States persons (within the meaning of Section 7701(a)(30) of the Code) have the authority to control all substantial decisions of such trust, or the trust has a valid election in effect under applicable Regulations to be treated as a United States person for U.S. federal income tax purposes.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Holder, Company U.S. Holder and Future U.S.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Holder. </w:t>
      </w:r>
      <w:r>
        <w:rPr>
          <w:rFonts w:ascii="Times New Roman;Times;Serif" w:hAnsi="Times New Roman;Times;Serif"/>
          <w:b w:val="false"/>
          <w:i w:val="false"/>
          <w:caps w:val="false"/>
          <w:smallCaps w:val="false"/>
          <w:sz w:val="20"/>
        </w:rPr>
        <w:t>For purposes of this discussion, except where specified, with respect to shares of the Company or Selling Shareholders, a Holder is a beneficial owner of such shares immediately before the Transaction and with respect to shares of Parent Common Stock, a Holder is a beneficial owner of such stock immediately after the Transaction. With respect to shares held by an entity or other arrangement that is taxable for U.S. federal income tax purposes as a partnership, a Holder refers to any person treated for U.S. federal income tax purposes as a partner in such entity or other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U.S. Holder and Non-U.S. Holder.</w:t>
      </w:r>
      <w:r>
        <w:rPr>
          <w:rFonts w:ascii="Times New Roman;Times;Serif" w:hAnsi="Times New Roman;Times;Serif"/>
          <w:b w:val="false"/>
          <w:i w:val="false"/>
          <w:caps w:val="false"/>
          <w:smallCaps w:val="false"/>
          <w:sz w:val="20"/>
        </w:rPr>
        <w:t xml:space="preserve"> In each case, a U.S. Holder is a U.S. Person who is a Holder of shares of the indicated entity. A Non-U.S. Holder is a person who is not a U.S. Person and who is a Holder of shares of the indicated entity. With respect to shares held by an entity or other arrangement that is taxable for U.S. federal income tax purposes as a partnership, the terms U.S. Holder or Non-U.S. Holder are applied with respect to the status (as a U.S. Person or otherwise) of each person treated for U.S. federal income tax purposes as a partner.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entity or arrangement treated as a partnership for U.S. federal income tax purposes holds Selling Shareholders shares, the tax treatment of a partner in the partnership will depend in part on the status of the partner, the activities of the partnership, and certain determinations made at the partner level. Accordingly, partnerships holding Selling Shareholders common shares and the partners in such partnerships should consult their tax advisors regarding the U.S. federal income tax consequences to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does not address any tax consequences of transactions effectuated before, after, or at the same time as the Transaction, whether or not they are undertaken in connection with the Transaction, including, without limitation, transactions in which Company shares are acquired.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Characterization of the Transaction for U.S.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should qualify as a taxable sale or other disposition within the meaning of Section 1001 of the Code. The material U.S. federal income tax consequences of the Transaction to the Parent, Selling Shareholders and Selling Shareholders U.S. Holders are described below under the applicable heading.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U.S. Federal Income Tax Consequences of the Transaction to BGMS (Parent)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Parent Common Stock in exchange for Company Ordinary Shares is not a taxable event to Parent for federal income tax purposes. The basis for federal income tax purposes of the Company Ordinary Shares in the hands of Parent immediately after the Transaction will be equal to the Transaction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may make an election pursuant to Section 338(g) of the Code pursuant, in which case the Company would be treated, for U.S. federal income tax purposes, as having (i.e., the Company would be deemed to have) sold all of its assets at fair market value on the date of the Transaction, and the Company would be treated as a new corporation which purchased all of the assets of the Company as of the beginning of the next day. If Parent makes the Section 338(g) election, Parent’s future U.S. tax determinations with respect to the Company would be based on the assumption that the deemed transaction had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Opinion of Rimon, P.C. Regarding the</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Material U.S. Federal Income Tax Consequences of the Transaction to Parent’s Stockholders Including BGMS’s Public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BGMS’s public stockholders nor any other person who held shares of Parent Common Stock immediately before the Transaction is a party to the Exchange, and no shares of Parent Common Stock held by such persons are exchanged, converted, redeemed, or otherwise affected by the Transaction; such persons will continue to hold, immediately after the Transaction, the identical shares of Parent Common Stock, with an unchanged tax basis and holding period, that they held immediately before the Transaction. Based on the foregoing, and subject to the assumptions, qualifications and limitations described in this section, it is the opinion of Rimon, P.C. that the Transaction will have no U.S. federal income tax consequences to Neither BGMS’s public stockholders nor any other person who held shares of Parent Common Stock immediately before the Transaction is a party to the Exchange, and no shares of Parent Common Stock held by such persons are exchanged, converted, redeemed, or otherwise affected by the Transaction; such persons will continue to hold, immediately after the Transaction, the identical shares of Parent Common Stock, with an unchanged tax basis and holding period, that they held immediately before the Transaction. Based on the foregoing, and subject to the assumptions, qualifications and limitations described in this section, it is the opinion of Rimon, P.C. that the Transaction will immediately before the Transaction by virtue of their ownership of shares in Parent. Immediately after the Transaction the Selling Shareholders will become stockholders of Parent and certain United States federal income tax consequences of such ownership to Selling Shareholders and Selling Shareholders U.S. Holders are discussed below. Rimon’s opinion set forth above is subject to customary qualifications and assumptions, including that the Transaction will be consummated in accordance with the terms of the Business Combination Agreement and as described in this proxy statement/prospectus, and that all representations, warranties and statements made by Parent, the Company and the Selling Shareholders in connection with the Transaction are and will remain true, correct and complete through the Effective Time. Rimon’s opinion is expressed only as of the date of this proxy statement/prospectus, and Rimon has no obligation to update its opinion for subsequent events or changes in law. Parent has not sought and does not intend to seek a ruling from the IRS with respect to the U.S. federal income tax consequences of the Transaction to BGMS’s public stockholders or any other holder of Parent Common Stock, and there can be no assurance that the IRS will not challenge Rimon’s conclusions or that a court would not sustain such a challenge. You are urged to consult your own tax advisor regarding the particular U.S. federal, state, local, and non-U.S. tax consequences of the Transaction applicable to you in light of your particular circumstances.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U.S. Federal Income Tax Consequences of the Transaction to Selling Shareholders as the Sole Holder of the Company Ordinary Shares Immediately Prior to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Transaction, for United States income tax purposes, Selling Shareholders should not recognize gain or loss solely as a result of the Transaction. Selling Shareholders should have, immediately after the transaction, a tax basis in its Parent Common Stock that is equal to the fair market value of Parent shares as of the time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Federal Income Tax Reporting by Selling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Company shareholder (i.e., Selling Shareholders) that is required to file a U.S. federal income tax return and that owns (immediately before the effectiveness of the Transaction) at least five percent (5%) (by vote or value) of the total outstanding stock of the Company is required, for the taxable year in which the Transaction is effective, to attach to such U.S. federal income tax return a statement that contains the information listed in Regulations Section 1.368-3(b). Such statement must include, among other information, the shareholder’s tax basis in the Company common shares exchanged and the fair market value of such stock at the time of the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U.S. Federal Income Tax Consequences of the Transaction to Selling Shareholders 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U.S. federal income tax rules applicable to passive foreign investment companies (“PFICs”) under Section 1291 of the Code, a U.S. Holder of stock in a PFIC is generally subject to tax, including an interest charge, on gain recognized upon a disposition of such stock. These rules are discussed in greater detail below. If Future NRG is or was treated as a PFIC with respect to a U.S. Holder, and if the Company or any of its subsidiaries is also treated as a PFIC with respect to such holder, PFIC status of the Company or one of its subsidiaries may be attributed to the U.S. Holder under the look-through rules of Treasury Regulation § 1.1291-8. In such case, the disposition of the ordinary shares of the Company by Selling Shareholders, including in a transaction that is otherwise non-taxable, may be subject to and taxable pursuant to these PFIC rules unless an exception applies.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an exception, no gain or loss is expected to be recognized by a U.S. Holder as a result of the exchange of the ordinary shares of the Company for Parent voting stock, provided the following conditions, as provided in Proposed Treasury Regulation § 1.1291-6(c)(2), are satisfied: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the Transaction, the ordinary shares of the Company will be owned or considered as owned by a U.S. person;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Parent’s United States federal income tax basis in the Company’s ordinary shares immediately after the Transaction is no greater than the such tax basis of the ordinary shares of the Company in the hands of the Selling Shareholders immediately before the Transaction;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Parent’s holding period of the ordinary shares of the Company immediately after the Transaction is treated for United States federal income tax purposes as being at least as long as such holding period of the Company’s stock in the hands of the Selling Shareholders determined immediately before the Transaction; and,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Applying the indirect ownership rules of Treasury Regulation 1.1291-8, the aggregate indirect ownership of the Company ordinary shares by Selling Shareholders U.S. Holder is no less after the Transaction than before the Transaction.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the fourth requirement just above, in the case of a Selling Shareholders who is a U.S. Holder, the indirect ownership rules attribute shares through a U.S. corporation only if the shareholder of the U.S. corporation owns at least 50% of the stock of the U.S. corporation. In the Transaction, the Selling Shareholders will acquire approximately more than 99.0% of the common stock of Parent, which exceeds the 50% threshold. Accordingly, the ordinary shares of the Company to be owned by Parent after the Transaction will be attributed to the Selling Shareholders and, in turn, to a Selling Shareholder who is a U.S. Holder. The exception described above therefore may apply, and if the Company is or has been classified as a PFIC such that the conditions elaborated upon above exist, a Selling Shareholder who is a U.S. Holder may be required to recognize gain without the receipt of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Proposed Treasury Regulations 1.1291-6, while not finalized and therefore of uncertain applicability, are generally relied upon by taxpayers and the IRS.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 Selling Shareholders U.S. Holder recognized gain pursuant to the PFIC rules, the U.S. Holder would be required to report that gain on IRS Form 8621, </w:t>
      </w:r>
      <w:r>
        <w:rPr>
          <w:rFonts w:ascii="Times New Roman;Times;Serif" w:hAnsi="Times New Roman;Times;Serif"/>
          <w:b w:val="false"/>
          <w:i/>
          <w:caps w:val="false"/>
          <w:smallCaps w:val="false"/>
          <w:sz w:val="20"/>
        </w:rPr>
        <w:t>Information Return by a Shareholder of a Passive Foreign Investment Company or a Qualified Electing Fund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PFIC Considerations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Definition of a PFIC — </w:t>
      </w:r>
      <w:r>
        <w:rPr>
          <w:rFonts w:ascii="Times New Roman;Times;Serif" w:hAnsi="Times New Roman;Times;Serif"/>
          <w:b w:val="false"/>
          <w:i w:val="false"/>
          <w:caps w:val="false"/>
          <w:smallCaps w:val="false"/>
          <w:sz w:val="20"/>
        </w:rPr>
        <w:t>A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(generally determined based on fair market value and averaged quarterly over the year) are held for the production of, or produce, passive income. Passive income generally includes dividends, interest, rents and royalties (other than rents or royalties derived from the active conduct of a trade or business) and gains from the disposition of passive assets. For purposes of these rules, interest income is generally considered to be passive income and cash held by a Non-U.S. corporation is considered to be a passive asset.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PFIC Status of the Company — </w:t>
      </w:r>
      <w:r>
        <w:rPr>
          <w:rFonts w:ascii="Times New Roman;Times;Serif" w:hAnsi="Times New Roman;Times;Serif"/>
          <w:b w:val="false"/>
          <w:i w:val="false"/>
          <w:caps w:val="false"/>
          <w:smallCaps w:val="false"/>
          <w:sz w:val="20"/>
        </w:rPr>
        <w:t>Parent does not have information on whether Selling Shareholders, Company, or subsidiaries of the Company are now or have at any time in the past been a PFIC. Selling Shareholders U.S. Holders should consult with their tax advisors and Selling Shareholders to evaluate this possibility.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Effect of PFIC Rules on the Transaction — </w:t>
      </w:r>
      <w:r>
        <w:rPr>
          <w:rFonts w:ascii="Times New Roman;Times;Serif" w:hAnsi="Times New Roman;Times;Serif"/>
          <w:b w:val="false"/>
          <w:i w:val="false"/>
          <w:caps w:val="false"/>
          <w:smallCaps w:val="false"/>
          <w:sz w:val="20"/>
        </w:rPr>
        <w:t>Section 1291(f) of the Code requires that, to the extent provided in Treasury Regulations, a United States person who disposes of stock of a PFIC recognizes gain notwithstanding any other provision of the Code. No final Treasury Regulations are currently in effect under Section 1291(f) of the Code. However, proposed Treasury Regulations under Section 1291(f) of the Code have been promulgated with a retroactive effective date. If finalized in their current form, those proposed Treasury Regulations may require gain recognition in the following circumstances: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shareholder owns stock of a foreign corporation (such as Selling Shareholders), and that foreign corporation disposes of stock of another foreign corporation (such as Company or a subsidiary of the Company), then the U.S. shareholder may be treated as indirectly disposing of the Company shares—and must recognize gain—if Future NRG is or was a PFIC during a Selling Shareholder’s holding period and Company (or a subsidiary of the Company) was also a PFIC during the period the shareholder indirectly held shares of the Company (or the subsidiary of the Company), and no QEF election was made for Company (or such subsidiary). However, if the upper-tier foreign corporation has never been a PFIC and is not a controlled foreign corporation, the U.S. shareholder is not treated under the PFIC rules as owning shares of the lower-tier PFIC and no gain or inclusion results to the U.S. shareholder from disposition of the Company by Selling Shareholders. In the present circumstances no MTM election may be made for Company because it is not publicly traded.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these rules apply to cause a Selling Shareholders U.S. Holder to recognize gain upon the disposition of the Company by Selling Shareholders: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Holder’s gain will be allocated ratably over the U.S. Holder’s indirect holding period for such U.S. Holder’s Company (or the subsidiary of the Company) shares;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gain allocated to the U.S. Holder’s taxable year in which the U.S. Holder recognized the gain, or to the period in the U.S. Holder’s holding period before the first day of the first taxable year in which Company (or its subsidiary) was a PFIC, will be taxed as ordinary income;</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gain allocated to other taxable years (or portions thereof) of the U.S. Holder and included in such U.S. Holder’s holding period would be taxed at the highest tax rate in effect for that year and applicable to the U.S. Holder;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additional tax equal to the interest charge generally applicable to underpayments of tax will be imposed on the U.S. Holder in respect of the tax attributable to each such other taxable year of such U.S. Holder.</w:t>
            </w:r>
          </w:p>
        </w:tc>
      </w:tr>
    </w:tbl>
    <w:p>
      <w:pPr>
        <w:pStyle w:val="TextBody"/>
        <w:shd w:fill="FFFFFF" w:val="clear"/>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difficult to predict whether, in what form and with what effective date, final Treasury Regulations under Section 1291(f) of the Code may be adopted or how any such Treasury Regulations would apply. Therefore, U.S. Holders of Future NRG shares that have not made a timely QEF Election (or a QEF Election along with a purging election) or a mark-to-market election (each as defined below) with respect to the Company (or any subsidiary of the Company) that was a PFIC during such period may, pursuant to the proposed Treasury Regulations, be subject to taxation under the PFIC rules upon the Transaction. An Electing Shareholder (as defined below) generally would not be subject to the adverse PFIC rules discussed above with respect to their Selling Shareholders stock but rather would include annually in gross income its pro rata share of the ordinary earnings and net capital gain of Future NRG, whether or not such amounts are actually distributed.</w:t>
      </w:r>
    </w:p>
    <w:p>
      <w:pPr>
        <w:pStyle w:val="TextBody"/>
        <w:shd w:fill="FFFFFF" w:val="clear"/>
        <w:bidi w:val="0"/>
        <w:spacing w:before="0" w:after="0"/>
        <w:ind w:left="0" w:right="0" w:firstLine="49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gain recognized pursuant to PFIC rules by a Selling Shareholders U.S. Holder as a result of the Transaction would be taxable income to such U.S. Holder, taxed under the PFIC rules in the manner set forth above, with no corresponding receipt of cash.</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QEF Election and Mark-to-Market Election — </w:t>
      </w:r>
      <w:r>
        <w:rPr>
          <w:rFonts w:ascii="Times New Roman;Times;Serif" w:hAnsi="Times New Roman;Times;Serif"/>
          <w:b w:val="false"/>
          <w:i w:val="false"/>
          <w:caps w:val="false"/>
          <w:smallCaps w:val="false"/>
          <w:sz w:val="20"/>
        </w:rPr>
        <w:t>The impact of the PFIC rules on a U.S. shareholder of Future NRG will depend on whether Future NRG is or has been a PFIC at any time during such U.S. Holder’s holding period for Future NRG shares, and similarly whether the Company (or a subsidiary of the Company) has been a PFIC at any time during such U.S. Holder’s indirect holding period of the Company (or a subsidiary of the Company) shares, and whether the U.S. Holder has made a timely and effective election to treat the Company (or a subsidiary of the Company) as a “qualified electing fund” under Section 1295 of the Code for the taxable year that is the first year in the U.S. Holder’s indirect holding period of the Company (or a subsidiary of the Company) shares during which Selling Shareholders qualified as a PFIC (a “QEF Election”) or, if in a later taxable year, the U.S. Holder made a QEF Election along with a purging election. A purging election creates a deemed sale of the Company shares by Selling Shareholders for purposes of calculating Selling Shareholders U.S. Holder’s income and gain with respect to the Company (or a subsidiary of the Company) under the PFIC rules. As a result of any such purging election, the a Selling Shareholders U.S. Holder would have a new basis and holding period in its Selling Shareholders Stock. U.S. Holders are urged to consult their own tax advisors as to the application of the rules governing purging elections to their particular circumstances.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Holder’s ability to make a QEF Election (or a QEF Election along with a purging election) with respect to Company is contingent upon, among other things, the provision by Selling Shareholders of a “PFIC Annual Information Statement” to such U.S. Holder. A Selling Shareholders U.S. Holder that made a QEF Election (or a QEF Election along with a purging election) may be referred to as an “Electing Shareholder” and a U.S. Holder that did not make a QEF Election may be referred to as a “Non-Electing Shareholder.”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THE RULES DEALING WITH PFICS ARE VERY COMPLEX AND ARE IMPACTED BY VARIOUS FACTORS IN ADDITION TO THOSE DESCRIBED ABOVE. ALL SELLING SHAREHOLDERS U.S. HOLDERS ARE URGED TO CONSULT THEIR OWN TAX ADVISORS REGARDING THE CONSEQUENCES TO THEM OF THE PFIC RULES, INCLUDING, WITHOUT LIMITATION, WHETHER A QEF ELECTION (OR A QEF ELECTION ALONG WITH A PURGING ELECTION), A MARK-TO-MARKET ELECTION OR ANY OTHER ELECTION IS AVAILABLE AND THE CONSEQUENCES TO THEM OF ANY SUCH ELECTION, AND THE IMPACT OF ANY PROPOSED OR FINAL PFIC TREASURY REGULATIONS.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PRECEDING DISCUSSION DOES NOT PURPORT TO BE A COMPLETE ANALYSIS OR DISCUSSION OF ALL OF THE TRANSACTION’S POTENTIAL TAX EFFECTS. SELLING SHAREHOLDERS SHOULD CONSULT TAX ADVISORS WITH RESPECT TO THE APPLICATION OF U.S. FEDERAL INCOME TAX LAWS TO ITS PARTICULAR SITUATION AS WELL AS ANY TAX CONSEQUENCES OF THE TRANSACTION, INCLUDING TAX REPORTING REQUIREMENTS, AND THE OWNERSHIP AND DISPOSITION OF THE PARENT COMMON STOCK RECEIVED, ARISING UNDER THE U.S. FEDERAL, STATE, LOCAL, AND OTHER APPLICABLE INCOME, ESTATE, GIFT OR OTHER TAX LAWS OR UNDER ANY APPLICABLE INCOME TAX TREATY. U.S. PERSONS WHO OWN SELLING SHAREHOLDERS STOCK SHOULD CONSULT THEIR TAX ADVISORS AS TO THE SPECIFIC TAX CONSEQUENCES TO THEM OF THE TRANSACTION, INCLUDING TAX RETURN REPORTING REQUIREMENTS AND THE APPLICABILITY AND EFFECT OF FEDERAL, STATE, LOCAL, AND OTHER APPLICABLE TAX LAWS.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5" w:name="ak_027"/>
      <w:bookmarkEnd w:id="55"/>
      <w:r>
        <w:rPr>
          <w:rFonts w:ascii="Times New Roman;Times;Serif" w:hAnsi="Times New Roman;Times;Serif"/>
          <w:b/>
          <w:i w:val="false"/>
          <w:caps w:val="false"/>
          <w:smallCaps w:val="false"/>
          <w:sz w:val="20"/>
        </w:rPr>
        <w:t>Material Consequences of Post-Transaction Ownership and Disposition of Bio Green Med Solution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Consequences to the U.S. Holders Parent of Post-Transaction Ownership of Parent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Distributions on Parent Common Stock to Parent U.S. Holders — </w:t>
      </w:r>
      <w:r>
        <w:rPr>
          <w:rFonts w:ascii="Times New Roman;Times;Serif" w:hAnsi="Times New Roman;Times;Serif"/>
          <w:b w:val="false"/>
          <w:i w:val="false"/>
          <w:caps w:val="false"/>
          <w:smallCaps w:val="false"/>
          <w:sz w:val="20"/>
        </w:rPr>
        <w:t>If, after the Transaction, Parent makes distributions of cash or property on its common stock, those payments would constitute dividends for U.S. federal income tax purposes to the extent paid from current or accumulated earnings and profits, as determined under U.S. federal income tax principles. To the extent such distributions exceeded both current and accumulated earnings and profits, the excess would constitute a return of capital and would first reduce any U.S. Holder’s tax basis of Parent, in Parent Common Stock, but not below zero, and then would be treated by the U.S. Holder of Parent as gain from the sale of Parent Common Stock as described below under “—</w:t>
      </w:r>
      <w:r>
        <w:rPr>
          <w:rFonts w:ascii="Times New Roman;Times;Serif" w:hAnsi="Times New Roman;Times;Serif"/>
          <w:b w:val="false"/>
          <w:i/>
          <w:caps w:val="false"/>
          <w:smallCaps w:val="false"/>
          <w:sz w:val="20"/>
        </w:rPr>
        <w:t>Gain on Disposition of Common Stock of the Parent by the Company U.S. 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to any U.S. Holder of Parent Common Stock that is a taxable corporation generally would qualify for a dividends received deduction if the requisite holding period were satisfied. With certain exceptions (including, but not limited to, dividends treated as investment income for purposes of investment interest deduction limitations), and provided the Parent Common Stock was held for more than 60 days during the 121-day period beginning 60 days before the ex-dividend date and certain other holding period requirements were met, dividends paid to a non-corporate Parent U.S. Holder generally would constitute “qualified dividends” that would be subject to tax at the maximum tax rate accorded to long-term capital gains. Dividends paid by Parent generally would be treated as income from U.S. sources. The U.S. Holders of Parent Common Stock should consult their own tax advisors regarding the holding period and other requirements that must be satisfied in order to qualify for the reduced maximum tax rate on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Gain on Disposition of Common Stock of the Parent by the Company U.S. Holders — </w:t>
      </w:r>
      <w:r>
        <w:rPr>
          <w:rFonts w:ascii="Times New Roman;Times;Serif" w:hAnsi="Times New Roman;Times;Serif"/>
          <w:b w:val="false"/>
          <w:i w:val="false"/>
          <w:caps w:val="false"/>
          <w:smallCaps w:val="false"/>
          <w:sz w:val="20"/>
        </w:rPr>
        <w:t>If any U.S. Holder of Parent Common Stock sells or otherwise disposes of Parent Common Stock in a taxable transaction, the U.S. Holder of Parent Common Stock will generally recognize capital gain or loss equal to the difference between the amount realized and the Company U.S. Holder’s adjusted tax basis in the Parent Common Stock. The capital gain or loss will be long-term capital gain or loss if the U.S. Holders of Parent Common Stock holding period for the Parent Common Stock is more than one year at the time of the disposition. Long-term capital gain of a non-corporate U.S. Holder of Parent Common Stock is generally taxed at preferential rates. The deductibility of capital losses is subject to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Information Reporting and Backup Withholding — </w:t>
      </w:r>
      <w:r>
        <w:rPr>
          <w:rFonts w:ascii="Times New Roman;Times;Serif" w:hAnsi="Times New Roman;Times;Serif"/>
          <w:b w:val="false"/>
          <w:i w:val="false"/>
          <w:caps w:val="false"/>
          <w:smallCaps w:val="false"/>
          <w:sz w:val="20"/>
        </w:rPr>
        <w:t>The Parent U.S. Holders may be subject to information withholding and/or backup withholding with respect to gross proceeds from the disposition of securities or from payments of dividends. Backup withholding (currently at the rate of 24%) may apply under certain circumstances if any Parent U.S. Holder (1) fails to furnish a social security or other taxpayer identification number, or a TIN, (2) furnishes an incorrect TIN, (3) fails to report interest or dividends properly, or (4) fails to provide a certified statement on IRS Form W-9, signed under penalties of perjury, that the TIN provided is correct, that the Parent U.S. Holder is not subject to backup withholding, and that the Parent U.S. Holder is a U.S. person for U.S. federal income tax purposes. Any amount withheld from a payment under the backup withholding rules is allowable as a credit against (and may entitle any Parent U.S. Holder to a refund with respect to) such Parent U.S. Holder’s federal income tax liability, provided that the required information is timely furnished to the IRS. Certain persons, including corporations and certain financial institutions, that demonstrate this fact if requested are exempt from information reporting and backup withholding. The Parent U.S. Holders should consult with tax advisors as to their qualification for exemption from 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Consequences to the Non-U.S. Holders of Ownership of Parent Common Stock, including Selling Shareholders after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Distributions on Parent Common Stock to any Non-U.S. Holder of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Parent made distributions of cash or property on Parent Common Stock, those payments would constitute dividends for U.S. federal income tax purposes to the extent paid from current or accumulated earnings and profits, as determined under U.S. federal income tax principles. To the extent such distributions exceeded both current and accumulated earnings and profits, the excess would constitute a return of capital and would first reduce any Non-U.S. Holder’s tax basis in Parent Common Stock, but not below zero, and then would be treated by any Non-U.S. Holder as gain from the sale of stock as described below under “—</w:t>
      </w:r>
      <w:r>
        <w:rPr>
          <w:rFonts w:ascii="Times New Roman;Times;Serif" w:hAnsi="Times New Roman;Times;Serif"/>
          <w:b w:val="false"/>
          <w:i/>
          <w:caps w:val="false"/>
          <w:smallCaps w:val="false"/>
          <w:sz w:val="20"/>
        </w:rPr>
        <w:t>Gain on Disposition of Parent Common Stock by the Non-U.S. Holders</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of effectively-connected income, backup withholding, and FATCA, a dividend paid to any Non-U.S. Holder of Parent Common Stock generally will be subject to U.S. withholding tax either at a rate of 30% of the gross amount of the dividend or such lower rate as may be specified by an applicable income tax treaty. The United States does not maintain a comprehensive income tax treaty with Malaysia. To receive a reduced treaty rate, any Non-U.S. Holder of Parent Common Stock must provide an appropriate IRS Form W-8 (or applicable successor form) and certify qualification for the reduced rate. If any Non-U.S. Holder is eligible for a reduced rate of U.S. withholding tax pursuant to an income tax treaty, such Non-U.S. Holder may obtain a refund or credit of any excess amounts withheld by timely filing an appropriate claim with the 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that are received by any Non-U.S. Holder of Parent Common Stock and that are (a) effectively connected with such Non-U.S. Holder’s conduct of a trade or business in the United States but, (b) not eligible for relief from United States taxation under the business profits article of an applicable income tax treaty between such Non-U.S. Holder’s country of residence and the United States (such relief is generally available if the dividend is not attributable to a permanent establishment or a fixed base maintained by such Non-U.S. Holder in the United States), (c) are generally exempt from the 30% withholding tax if certain certification and disclosure requirements are satisfied. To obtain this exemption, any Non-U.S. Holder of Parent Common Stock must provide an IRS Form W-8ECI (or applicable successor form) properly certifying such exemption. However, such effectively connected dividends, although not subject to withholding tax, generally are taxed at the same U.S. federal income tax rates as are applicable to U.S. persons, net of certain deductions and credits. In addition, dividends received by a corporate Non-U.S. Holder of Parent Common Stock that are effectively connected with the conduct of a trade or business in the U.S. may also be subject to a branch profits tax at a rate of 30% or such lower rate as may be specified by an applicable income tax treaty. Non-U.S. Holders of Parent Common Stock should consult tax advisors regarding any applicable income tax or other treaties that may provide for different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documentation provided to an applicable withholding agent may need to be updated in certain circumstances. The certification requirements described above also may require any Non-U.S. Holder of Parent Common Stock to provide a United States taxpayer identification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withholding rules that may apply to dividends, including dividends paid to foreign financial institutions (as specifically defined by the applicable rules) or to certain other foreign entities that have substantial direct or indirect United States owners, see the discussion below under the headings “—</w:t>
      </w:r>
      <w:r>
        <w:rPr>
          <w:rFonts w:ascii="Times New Roman;Times;Serif" w:hAnsi="Times New Roman;Times;Serif"/>
          <w:b w:val="false"/>
          <w:i/>
          <w:caps w:val="false"/>
          <w:smallCaps w:val="false"/>
          <w:sz w:val="20"/>
        </w:rPr>
        <w:t>Information Reporting and Backup Withholding</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Withholdable Payments to Foreign Financial Institutions and Other Foreign Entities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Gain on Disposition of Parent Common Stock by the Non-U.S. Holders — </w:t>
      </w:r>
      <w:r>
        <w:rPr>
          <w:rFonts w:ascii="Times New Roman;Times;Serif" w:hAnsi="Times New Roman;Times;Serif"/>
          <w:b w:val="false"/>
          <w:i w:val="false"/>
          <w:caps w:val="false"/>
          <w:smallCaps w:val="false"/>
          <w:sz w:val="20"/>
        </w:rPr>
        <w:t>Subject to the discussion below under the headings “—</w:t>
      </w:r>
      <w:r>
        <w:rPr>
          <w:rFonts w:ascii="Times New Roman;Times;Serif" w:hAnsi="Times New Roman;Times;Serif"/>
          <w:b w:val="false"/>
          <w:i/>
          <w:caps w:val="false"/>
          <w:smallCaps w:val="false"/>
          <w:sz w:val="20"/>
        </w:rPr>
        <w:t>Information Reporting and Backup Withholding</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Withholdable Payments to Foreign Financial Institutions and Other Foreign Entities</w:t>
      </w:r>
      <w:r>
        <w:rPr>
          <w:rFonts w:ascii="Times New Roman;Times;Serif" w:hAnsi="Times New Roman;Times;Serif"/>
          <w:b w:val="false"/>
          <w:i w:val="false"/>
          <w:caps w:val="false"/>
          <w:smallCaps w:val="false"/>
          <w:sz w:val="20"/>
        </w:rPr>
        <w:t>,” any Non-U.S. Holder of Parent Common Stock (such as Selling Shareholders) generally will not be required to pay U.S. federal income tax or withholding tax on any gain recognized upon the sale, exchange or other taxable disposition of Parent Common Stock unless: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gain was effectively connected with the conduct by the Non-U.S. Holder of a trade or business within the United States provided that, if a tax treaty applied, the gain was not exempt from tax under the business profits article of the treaty (such relief is generally available under an applicable tax treaty if the gain is not attributable to a permanent establishment or fixed place of business maintained by the Non-U.S. Holder in the United States;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certain capital gains of any Non-U.S. Holder of Parent Common Stock that is an individual, such holder is present in the United States for 183 days or more during the taxable year in which the capital gain is recognized and certain other conditions are met; or Parent Common Stock constitutes a United States real property interest by reason of Parent having the status of a “United States real property holding corporation” (a “USRPHC”), for U.S. federal income tax purposes at any time within the shorter of the five-year period preceding such Non-U.S. Holder’s disposition of such Parent Common Stock and the Non-U.S. Holder’s holding period, in which case the Non-U.S. Holder of Parent Common Stock generally will be taxed on net gain derived from the sale or disposition at the rates applicable to U.S. persons.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does not believe that it currently is or will become a USRPHC, and the remainder of this discussion assumes that is the case. However, because the determination of whether a corporation is a USRPHC depends on the fair market value of its U.S. real property relative to the fair market value of its other business assets, there can be no assurance that Parent will not become a USRPHC in the future. The Non-U.S. Holders of Parent Common Stock should consult their tax advisors regarding any applicable income tax or other treaties that may provide for different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Information Reporting and Backup Withholding — </w:t>
      </w:r>
      <w:r>
        <w:rPr>
          <w:rFonts w:ascii="Times New Roman;Times;Serif" w:hAnsi="Times New Roman;Times;Serif"/>
          <w:b w:val="false"/>
          <w:i w:val="false"/>
          <w:caps w:val="false"/>
          <w:smallCaps w:val="false"/>
          <w:sz w:val="20"/>
        </w:rPr>
        <w:t>Parent or the applicable paying agent must report annually to the IRS the amount of dividends on Parent Common Stock paid to the Non-U.S. Holders and the amount of tax withheld, if any. A similar report will be sent to each the Non-U.S. Holder. Copies of this information reporting may also be made available under the provisions of a specific income tax treaty or agreement with the tax authorities in any Non-U.S. Holder’s country of residence.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Non-U.S. Holders will generally be subject to backup withholding for dividends on Parent Common Stock paid to such Non-U.S. Holders unless an exemption is established by, for example, properly certifying non-United States status on an appropriate IRS Form W-8 (or applicable successor form). Notwithstanding the foregoing, backup withholding and information reporting nevertheless may apply if either Parent or its paying agent has actual knowledge, or reason to know, that a holder of Parent Common Stock is a United States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reporting and backup withholding generally are not required with respect to the amount of any proceeds from the sale or other disposition of Parent Common Stock by any Non-U.S. Holder outside the United States through a foreign office of a foreign broker that does not have certain specified connections to the U.S. However, if any Non-U.S. Holder sells or otherwise disposes of shares of Parent Common Stock through a U.S. broker or the U.S. offices of a foreign broker, the broker will generally be required to report to the IRS the amount of proceeds paid to such Non-U.S. Holder and also to backup withhold on that amount unless the broker is provided with appropriate certification of the Non-U.S. Holder’s status as a non-United States person, or an exemption is otherwise established. Information reporting will also apply if any Non-U.S. Holder sells shares of common stock through a foreign broker deriving more than a specified percentage of its income from U.S. sources or having certain other connections to the U.S., unless such broker has documentary evidence in its records that such Non-U.S. Holder of Parent Common Stock is a non-U.S. person and certain other conditions are met, or an exemption is otherwise established.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Any amounts withheld from a payment under the backup withholding rules may be refunded or credited against any Non-U.S. Holders of Parent Common Stock U.S. federal income tax liability, if any, provided that an appropriate claim is timely filed with the IRS. The Non-U.S. Holders of Parent Common Stock should consult their tax advisors regarding the application of the information reporting and backup withholding rules to investment in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Withholdable Payments to Foreign Financial Institutions and Other Foreign Entities — </w:t>
      </w:r>
      <w:r>
        <w:rPr>
          <w:rFonts w:ascii="Times New Roman;Times;Serif" w:hAnsi="Times New Roman;Times;Serif"/>
          <w:b w:val="false"/>
          <w:i w:val="false"/>
          <w:caps w:val="false"/>
          <w:smallCaps w:val="false"/>
          <w:sz w:val="20"/>
        </w:rPr>
        <w:t>The Foreign Account Tax Compliance Act, or FATCA, imposes a U.S. federal withholding tax of 30% on certain payments to “foreign financial institutions” (as specifically defined under these rules) and certain other non-U.S. persons that fail to comply with certain information reporting and certification requirements pertaining to their direct and indirect U.S. security holders and/or U.S. account holders. Such payments include dividends on Parent Common Stock. Under certain circumstances, any Non-U.S. Holder of Parent Common Stock may be eligible for refunds or credits of such taxes. Notwithstanding the foregoing, the IRS has issued proposed Regulations upon which taxpayers may generally rely, that exclude gross proceeds from the sale or other disposition of stock from the application of the withholding tax imposed under FATCA. An intergovernmental agreement between the U.S. and an applicable foreign country may modify the requirements described in this paragraph. The Non-U.S. Holders of Parent Common Stock should consult with tax advisors regarding the possible implications of this legislation and any applicable intergovernmental agreements on investment in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U.S. Federal Estate Tax — </w:t>
      </w:r>
      <w:r>
        <w:rPr>
          <w:rFonts w:ascii="Times New Roman;Times;Serif" w:hAnsi="Times New Roman;Times;Serif"/>
          <w:b w:val="false"/>
          <w:i w:val="false"/>
          <w:caps w:val="false"/>
          <w:smallCaps w:val="false"/>
          <w:sz w:val="20"/>
        </w:rPr>
        <w:t>Shares of Parent Common Stock that are owned or treated as owned by an individual who is not a citizen or resident of the United States (as specially defined for U.S. federal estate tax purposes) at the time of death are considered U.S. situs assets and will be included in the individual’s gross estate for U.S. federal estate tax purposes. Such shares, therefore, may be subject to U.S. federal estate tax, unless an applicable estate tax or other treaty provides otherwise.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SUMMARY IS NOT INTENDED TO BE CONSTRUED AS LEGAL ADVICE. SELLING SHAREHOLDERS AND ALL U.S. HOLDERS AND NON-U.S. HOLDERS OF SELLING SHAREHOLDERS STOCK ARE URGED TO CONSULT WITH TAX ADVISORS WITH RESPECT TO THE APPLICATION OF U.S. FEDERAL INCOME TAX LAWS TO THEIR PARTICULAR SITUATION, AS WELL AS, IN THE CASE OF SELLING SHAREHOLDERS, ANY TAX CONSEQUENCES OF THE RECEIPT, OWNERSHIP, AND DISPOSITION OF PARENT COMMON STOCK ARISING UNDER THE LAWS OF ANY STATE, LOCAL, NON-UNITED STATES OR OTHER TAXING JURISDICTION OR UNDER ANY APPLICABLE TAX TREATY, INCLUDING THE CONSEQUENCES OF ANY PROPOSED CHANGE IN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6" w:name="ak_028"/>
      <w:bookmarkEnd w:id="56"/>
      <w:r>
        <w:rPr>
          <w:rFonts w:ascii="Times New Roman;Times;Serif" w:hAnsi="Times New Roman;Times;Serif"/>
          <w:b/>
          <w:i w:val="false"/>
          <w:caps w:val="false"/>
          <w:smallCaps w:val="false"/>
          <w:sz w:val="20"/>
        </w:rPr>
        <w:t>Anticipated Accounting Treatment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will be recorded as a business combination under the acquisition method of accounting in accordance with U.S. GAAP and IFRS (i.e., ASC 805/IFRS 3) The Transaction will be treated by BGMS as a business combination under the acquisition method of accounting for business combinations in accordance with accounting principles generally accepted in the United States, or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accounting purposes, Future NRG is considered the accounting acquirer in the Transaction due to the Selling Shareholders control over BGMS after the Closing under U.S. GAAP, as defined in Accounting Standards Codification (“ASC 805-10”). ASC 805 applies to public and privately held entities and is applicable to all transactions or other events that meet the definition of a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of Parent and the Company have determined a preliminary estimate of the purchase price calculated, as described in Note 2 to the unaudited pro forma condensed combined financial statements. The net tangible assets acquired and liabilities assumed in connection with the Transaction are recorded at their estimated acquisition date fair values. The acquisition method of accounting is dependent upon certain valuations and any other studies and calculations deemed necessary that have yet to commence or progress to a stage where there is sufficient information for a definitive measurement. A final determination of these estimated fair values, which cannot be made prior to the completion of the Transaction, will be based on the actual net tangible assets of Parent that exist as of the date of completion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7" w:name="ak_029"/>
      <w:bookmarkEnd w:id="57"/>
      <w:r>
        <w:rPr>
          <w:rFonts w:ascii="Times New Roman;Times;Serif" w:hAnsi="Times New Roman;Times;Serif"/>
          <w:b/>
          <w:i w:val="false"/>
          <w:caps w:val="false"/>
          <w:smallCaps w:val="false"/>
          <w:sz w:val="20"/>
        </w:rPr>
        <w:t>Nasdaq Stock Market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Common Stock currently is listed on The Nasdaq Capital Market under the symbol “BGMS.” Parent has agreed to use commercially reasonable efforts to (i) maintain its existing listing on The Nasdaq Capital Market, (ii) prepare and submit to The Nasdaq Stock Market an application for the additional listing of the shares of Parent Common Stock to be issued to Selling Shareholders pursuant to the Transaction, and (iii) cause such shares to be approved for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Business Combination Agreement, each of the Company’s and Parent’s obligation to complete the Transaction is subject to the satisfaction or waiver by each of the parties, at or prior to the Transaction, of various conditions, including that the existing shares of Parent Common Stock must have been continually listed on The Nasdaq Capital Market, Parent must have caused the shares of Parent Common Stock to be issued in the Transaction to be approved for listing on The Nasdaq Stock Market as of the effective time of the Transaction. Parent anticipates that its common stock will be listed on The Nasdaq Stock Market following the closing of the Transaction under the current trading symbol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8" w:name="ak_030"/>
      <w:bookmarkEnd w:id="58"/>
      <w:r>
        <w:rPr>
          <w:rFonts w:ascii="Times New Roman;Times;Serif" w:hAnsi="Times New Roman;Times;Serif"/>
          <w:b/>
          <w:i w:val="false"/>
          <w:caps w:val="false"/>
          <w:smallCaps w:val="false"/>
          <w:sz w:val="20"/>
        </w:rPr>
        <w:t>Appraisal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Parent Common Stock are not entitled to appraisal rights in connection with the Transaction.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9" w:name="ak_031"/>
      <w:bookmarkEnd w:id="59"/>
      <w:r>
        <w:rPr>
          <w:rFonts w:ascii="Times New Roman;Times;Serif" w:hAnsi="Times New Roman;Times;Serif"/>
          <w:b/>
          <w:i w:val="false"/>
          <w:caps w:val="false"/>
          <w:smallCaps w:val="false"/>
          <w:sz w:val="20"/>
        </w:rPr>
        <w:t>THE BUSINESS COMBINATION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is a summary of the material terms of the Business Combination Agreement. A copy of the Business Combination Agreement is attached as Annex A to this proxy statement/prospectus and is incorporated by reference into this proxy statement/prospectus. The Business Combination Agreement has been attached to this proxy statement/prospectus to provide you with information regarding its terms. It is not intended to provide any other factual information about Parent or the Company. The following description does not purport to be complete and is qualified in its entirety by reference to the Business Combination Agreement. You should refer to the full text of the Business Combination Agreement for details of the Transaction and the terms and conditions of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Business Combination Agreement contains representations and warranties that Parent, on the one hand, and the Company and its stockholders, on the other hand, have made to one another as of specific dates. These representations and warranties have been made for the benefit of the other parties to the Business Combination Agreement and may be intended not as statements of fact but rather as a way of allocating the risk to one of the parties if those statements prove to be incorrect. In addition, the assertions embodied in the representations and warranties are qualified by information in confidential disclosure schedules exchanged by the parties in connection with signing the Business Combination Agreement. While Parent and the Company do not believe that these disclosure schedules contain information required to be publicly disclosed under the applicable securities laws, other than information that has already been disclosed, the disclosure schedules do contain information that modifies, qualifies and creates exceptions to the representations and warranties set forth in the attached Business Combination Agreement. Accordingly, you should not rely on the representations and warranties as current characterizations of factual information about Parent or the Company, because they were made as of specific dates, may be intended merely as a risk allocation mechanism between Parent, the Company and its stockholders and are modified by the disclosure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0" w:name="ak_032"/>
      <w:bookmarkEnd w:id="60"/>
      <w:r>
        <w:rPr>
          <w:rFonts w:ascii="Times New Roman;Times;Serif" w:hAnsi="Times New Roman;Times;Serif"/>
          <w:b/>
          <w:i w:val="false"/>
          <w:caps w:val="false"/>
          <w:smallCaps w:val="false"/>
          <w:sz w:val="20"/>
        </w:rPr>
        <w:t>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a Delaware corporation (“BGMS” or “Parent”), Future NRG Sdn. Bhd., a Malaysian private limited company (the “Company” or “Future NRG”) and all of the shareholders of the Company (collectively, the “Selling Shareholders” and together with Parent, and the Company, the “Parties” and each, a “Party”) entered into a Business Combination Agreement dated as of June 4, 2026 (collectively, the “Business Combination Agreement”). The Parties thereto intend to effect a voluntary share exchange between Parent and the Selling Shareholders (the “Exchange”), in which the Company will become a wholly-owned subsidiary of Parent, in accordance with the terms of the Business Combination Agreement and the rules under Delaware General Corporation Law (the “DGCL”) and the Malaysian Companies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and in accordance with the DGCL, at the closing of the Exchange (the “Closing”), the Selling Shareholders shall convey, assign and transfer all of their right, title and interest to 100% of the ordinary shares of the Company (individually, a “Share” and collectively, the “Shares”) to Parent by delivering to Parent executed and transferrable Share certificates (if certificated) endorsed in blank (or accompanied by duly executed stock powers endorsed in blank) in proper form for transfer, or if uncertificated, other applicable transfer instrument in accordance with the Malaysian Companies Act. The Shares transferred to Parent at the Closing shall constitute one hundred (100%) percent of the issued and outstanding capital shares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its acquisition of the Shares and without any action on the part of any Party or the holders of securities of Parent or the Company, each Share issued and outstanding immediately prior to the date and time of the filing of the Malaysia Form of Transfer or at such later date or time as may be agreed by the Company and Parent in writing and specified in the Malaysia Form of Transfer in accordance with relevant provisions of the Malaysian Companies Act (the “Effective Time”) shall be converted into, and the holder thereof shall be entitled to receive a number of shares of Parent common stock, par value $0.001 (the “Parent Common Stock”) equal to the quotient of (i) the Transaction Consideration Shares (as defined below) divided by (ii) the total number of Shares issued and outstanding immediately prior to the Effective Time.</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amount of Parent Common Stock (the “Exchange Shares”) shall be issued to the Selling Shareholders by issuance of book-entry shares in accordance with the applicable provisions of the DGCL, and the Transfer Agent shall be instructed to update the register of stockholders of Parent. Transaction Consideration Shares means that number of Parent Common Stock equal to (x) the quotient of Aggregate Transaction Consideration Value divided </w:t>
      </w:r>
      <w:r>
        <w:rPr>
          <w:rFonts w:ascii="Times New Roman;Times;Serif" w:hAnsi="Times New Roman;Times;Serif"/>
          <w:b w:val="false"/>
          <w:i/>
          <w:caps w:val="false"/>
          <w:smallCaps w:val="false"/>
          <w:sz w:val="20"/>
        </w:rPr>
        <w:t>by</w:t>
      </w:r>
      <w:r>
        <w:rPr>
          <w:rFonts w:ascii="Times New Roman;Times;Serif" w:hAnsi="Times New Roman;Times;Serif"/>
          <w:b w:val="false"/>
          <w:i w:val="false"/>
          <w:caps w:val="false"/>
          <w:smallCaps w:val="false"/>
          <w:sz w:val="20"/>
        </w:rPr>
        <w:t xml:space="preserve"> (y) thirty (30) day VWAP immediately prior to the date on which the closing occurs and the transactions contemplated in the Business Combination Agreement become effective (the “Closing Date”). “Aggregate Transaction Consideration Value” means $2,000,000,000.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 w:name="ak_033"/>
      <w:bookmarkEnd w:id="61"/>
      <w:r>
        <w:rPr>
          <w:rFonts w:ascii="Times New Roman;Times;Serif" w:hAnsi="Times New Roman;Times;Serif"/>
          <w:b/>
          <w:i w:val="false"/>
          <w:caps w:val="false"/>
          <w:smallCaps w:val="false"/>
          <w:sz w:val="20"/>
        </w:rPr>
        <w:t>Completion and Effectiveness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the Closing of the Exchange shall take place no later than three business days after the date on which the conditions to Closing set forth in the Business Combination Agreement shall have been satisfied or, to the extent permitted thereunder, waived by the appropriate Party (other than those conditions that by their nature are to be satisfied at the Closing, but subject to the satisfaction or, to the extent permitted hereunder, waiver of all such conditions) or at such other time, date or location as the parties hereto agree. At the time of the Closing, Parent, the Company and the Selling Shareholders shall deliver the certificates and other documents and instruments required to be delivered under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Business Combination Agreement, at the Closing, the parties hereto shall (a) cause a Form Section 105 (Form of Transfer of Securities) in substantially the form of Exhibit B to the Business Combination Agreement (the “Malaysia Form of Transfer”) to be executed, acknowledged and filed with the Companies Commission of Malaysia, as provided in sections 105 and 106 of the Malaysian Companies Act and (b) take all such other and further actions as may be required by the Malaysian Companies Act or other applicable Law to make the Exchange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federal income tax purposes, the Exchange is intended to constitute a tax-free exchange of property within the meaning of Section 351 of the Internal Revenue Code of 1986, as amended (the “Code”), and the Parties shall report the transactions contemplated by the Business Combination Agreement consistent with such intent and shall take no position in any tax filing or legal proceeding inconsistent therewith. None of Parent, the Company or the Selling Shareholders has taken or failed to take, and after the Effective Time, Parent shall not take or fail to take, any action which reasonably could be expected to cause the Exchange to fail to qualify as a tax-free exchange of property within the meaning of Section 351 of the Code. Nevertheless, there can be no assurance that the IRS will not challenge the qualification of the Exchange as a tax-free exchange under Section 351. Parent stockholders are urged to consult their own tax advisors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after the Transaction, (a) current Parent stockholders are expected to own approximately less than 1.0% of Parent, and (b) the Selling Shareholders are expected to own approximately over 99.0% of Parent. Shares of Parent Common Stock are currently listed on The Nasdaq Capital Market under the symbol “BGMS.” On June 15, 2026, the last trading day before the date of the initial filing of this proxy statement/prospectus, the closing sale price of Parent Common Stock was $0.83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will be completed as promptly as practicable after all of the conditions to completion of the Transaction are satisfied or waived, including the approval of the stockholders of BGMS. BGMS and Future NRG are working to complete the Transaction as quickly as practicable. However, BGMS and Future NRG cannot predict the exact timing of the completion of the Transaction because it is subject to various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stock options that are outstanding immediately prior to the effective time of the Transaction will remain outstanding following the effective time of the Transaction. Likewise, any outstanding warrants to purchase shares of Parent Common Stock that are outstanding immediately prior to the effective time of the Transaction will remain outstanding following the effective time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after the Transaction, it is estimated BGMS stockholders will own approximately less than 1.0% of Parent Common Stock at the Closing of the Transaction and subject to adjustment as provided in the Business Combination Agreement.</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 w:name="gg_001"/>
      <w:bookmarkEnd w:id="62"/>
      <w:r>
        <w:rPr>
          <w:rFonts w:ascii="Times New Roman;Times;Serif" w:hAnsi="Times New Roman;Times;Serif"/>
          <w:b/>
          <w:i w:val="false"/>
          <w:caps w:val="false"/>
          <w:smallCaps w:val="false"/>
          <w:sz w:val="20"/>
        </w:rPr>
        <w:t>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stock options that are outstanding immediately prior to the effective time of the Transaction will remain outstanding following the effective time of the Transaction. Likewise, any outstanding warrants to purchase shares of Parent Common Stock that are outstanding immediately prior to the effective time of the Transaction will remain outstanding following the effective time of the Transaction.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after the Transaction, it is estimated BGMS securityholders will own less than 1.0% of Parent Common Stock at the Closing of the Transaction and subject to adjustment as provided in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3" w:name="DA_001"/>
      <w:bookmarkEnd w:id="63"/>
      <w:r>
        <w:rPr>
          <w:rFonts w:ascii="Times New Roman;Times;Serif" w:hAnsi="Times New Roman;Times;Serif"/>
          <w:b/>
          <w:i w:val="false"/>
          <w:caps w:val="false"/>
          <w:smallCaps w:val="false"/>
          <w:sz w:val="20"/>
        </w:rPr>
        <w:t>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Parent Common Stock will be issued in connection with the Transaction. Instead, all fractional shares of Parent Common Stock that are issuable to Selling Shareholders will be aggregated and will be rounded up into one full share of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4" w:name="ak_035"/>
      <w:bookmarkEnd w:id="64"/>
      <w:r>
        <w:rPr>
          <w:rFonts w:ascii="Times New Roman;Times;Serif" w:hAnsi="Times New Roman;Times;Serif"/>
          <w:b/>
          <w:i w:val="false"/>
          <w:caps w:val="false"/>
          <w:smallCaps w:val="false"/>
          <w:sz w:val="20"/>
        </w:rPr>
        <w:t>Representations and 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Agreement contains customary representations and warranties made by BGMS, Selling Shareholders and the Company relating to their respective businesses, as well as other facts pertinent to the Transaction. These representations and warranties are subject to materiality, knowledge and other similar qualifications in many respects and expire at the effective time of the Transaction or termination of the Business Combination Agreement, as further described below. The representations and warranties of each of BGMS, Selling Shareholders and the Company have been made solely for the benefit of the other parties and those representations and warranties should not be relied on by any other person. In addition, those representations and warranties may be intended not as statements of actual fact, but rather as a way of allocating risk among the parties, may have been modified by the disclosure schedules delivered in connection with the Business Combination Agreement, are subject to the materiality standard described in the Business Combination Agreement, which may differ from what may be viewed as material by you, will not survive completion of the Transaction and cannot be the basis for any claims under the Business Combination Agreement by the other parties after termination of the Business Combination Agreement, and were made only as of the date of the Business Combination Agreement or another date as is specified in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BGMS, and the Selling Shareholders has agreed to customary representations, warranties and covenants in the Business Combination Agreement including (a) using commercially reasonable efforts to obtain the requisite approval of its shareholders, (b) non-solicitation of alternative acquisition proposals, (c) the conduct of their respective businesses during the period between the date of signing the Business Combination Agreement and the closing of the Exchange, (d) the Company using commercially reasonable efforts to maintain the existing listing of the Company common stock on The Nasdaq Capital Market and cause the shares of Company common stock to be issued in connection with the Exchange to be approved for listing on The Nasdaq Capital Market prior to the closing of the Exchange, and (e) the Company filing with the SEC and causing to become effective this proxy statement/ prospectus to register the Exchange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of the Company and Selling Shareholders include: (a) Standing and Corporate Power; (b) Subsidiaries; (c) Capital Structure of the Company; (d) Corporate Authority; Noncontravention; (e) Governmental Authorization; (f) Financial Statements; (g) Absence of Certain Changes or Events; (h) Certain Fees; (i) Litigation; Labor Matters; Compliance with Laws; (j) Benefit Plans; (k) Tax Returns and Tax Payments; (l) Environmental Matters; (m) Material Contract Defaults; (n) Accounts Receivable; (o) Properties; (p) Intellectual Property; (q) Board Recommendation and Affirmative Vote; (r) Undisclosed Liabilities; (s) Cybersecurity; (t) Parent Information; (u) Transactions with Affiliates; (v) Certain Business Practices; and (w) Independent Investigation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of the Parent include: (a) Organization, Standing and Corporate Power; (b) Subsidiaries; (c) Capital Structure of Parent; (d) Corporate Authority; Noncontravention; (e) Government; (f) Authorization; (g) SEC Documents; Undisclosed Liabilities; Financial Statements; (h) Absence of Certain Changes; (i) Certain Fees; (j) Litigation; Labor Matters; Compliance with Laws; (k) Benefit Plans; (l) Tax Returns and Tax Payments; (m) Environmental Matters; (n) Material Contract Defaults; (o) Accounts Receivable; (p) Properties; (q) Intellectual Property; (r) Board Determination and Vote Required; (s) Required Parent Share Issuance Approval; (t) Undisclosed Liabilities; (u) Independent Investigation; (v) No Other Representations or Warranties; and (w) Full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portions of Parent and the Company’s representations and warranties are qualified as to “materiality” or “material adverse effect.” Under the Business Combination Agreement, a material adverse effect means, with respect to any Person, a material adverse effect on the condition (financial or otherwise), business, assets, liabilities or the results of operations of such Person and its Subsidiaries taken as a whole; provided, however, that any adverse change, event, development or effect arising from or relating to any of the following shall not be taken into account in determining whether there has been a Material Adverse Effect: (a) general business or economic conditions, (b) national or international political or social conditions, including the engagement by the United States or Malaysia in hostilities, whether or not pursuant to the declaration of a national emergency or war, or the occurrence of any military or terrorist attack upon the United States or Malaysia, respectively, or any of its territories, possessions, or diplomatic or consular offices or upon any military installation, equipment or personnel of the United States or Malaysia, respectively, (c) financial, banking, or securities markets (including any disruption thereof and any decline in the price of any security or any market index), (d) changes in IFRS, (e) changes in laws, rules, regulations, orders, or other binding directives issued by any Governmental Entity or (f) the taking of any action required by the Business Combination Agreement.</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5" w:name="cct_001"/>
      <w:bookmarkEnd w:id="65"/>
      <w:r>
        <w:rPr>
          <w:rFonts w:ascii="Times New Roman;Times;Serif" w:hAnsi="Times New Roman;Times;Serif"/>
          <w:b/>
          <w:i w:val="false"/>
          <w:caps w:val="false"/>
          <w:smallCaps w:val="false"/>
          <w:sz w:val="20"/>
        </w:rPr>
        <w:t>Conditions to the Completion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respective obligations of Parent and the Company to consummate the Transactions are subject to the satisfaction or waiver in writing prior to the Effective Time of the following conditions: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Consummation of the Exchange is subject to certain closing conditions with respect to the Company include: (a) Conduct of the Company Business; (b) Satisfaction of Conditions Precedent; (c) No Other Negotiations; (d) Access; and (e) Notification of Certain Matters.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Consummation of the Exchange is subject to certain closing conditions with respect to the Parent include: (a) Obligations of Parent; (b) Conduct of the Parent Business; (c) Access; (d) Notification of Certain Matters; (e) Listing; (f) Satisfaction of Conditions Precedent; (g) Section 16 Matters; and (h) No Other Negotiations.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6" w:name="ak_036"/>
      <w:bookmarkEnd w:id="66"/>
      <w:r>
        <w:rPr>
          <w:rFonts w:ascii="Times New Roman;Times;Serif" w:hAnsi="Times New Roman;Times;Serif"/>
          <w:b/>
          <w:i w:val="false"/>
          <w:caps w:val="false"/>
          <w:smallCaps w:val="false"/>
          <w:sz w:val="20"/>
        </w:rPr>
        <w:t>Covenants; Conduct of Business Pending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date of the Business Combination Agreement until the earlier of the Effective Time or the termination of the Agreement in accordance with its terms, the Company and BGMS management each agreed that it will conduct its business in the ordinary course and in compliance with all applicable laws, rules, regulations, and certain material contracts and will provide the other party with prompt notice upon the occurrence of certain events or discovery of certain conditions, facts or circumstances. Consummation of the Exchange is subject to certain closing conditions with respect to the Company and Parent include: (a) Notices of Certain Events; (b) Public Announcements and Confidentiality; (c) Transfer Taxes; (d) Reasonable Efforts; (e) Fees and Expenses; (f) Legends; (g) Registration Statement; (h) Proxy Statement; (i) Company Shareholder Written Consent; and (j) Parent Stockholder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7" w:name="ak_037"/>
      <w:bookmarkEnd w:id="67"/>
      <w:r>
        <w:rPr>
          <w:rFonts w:ascii="Times New Roman;Times;Serif" w:hAnsi="Times New Roman;Times;Serif"/>
          <w:b/>
          <w:i w:val="false"/>
          <w:caps w:val="false"/>
          <w:smallCaps w:val="false"/>
          <w:sz w:val="20"/>
        </w:rPr>
        <w:t>Disclosure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promptly as practicable following the date of the Business Combination Agreement, the parties agreed to prepare and file with the SEC this proxy statement/prospectus and BGMS management agreed to prepare and file with the SEC a registration statement on Form S-4, of which this proxy statement/prospectus is a part, in connection with the registration under the Securities Act of the shares of the Exchange Shares to be issued pursuant to the Transaction. BGMS management agreed to use its commercially reasonable efforts to cause the registration statement to become effective as promptly as practicable, and take all or any action required under any applicable federal and state securities and other laws in connection with the issuance of shares of Parent Common Stock pursuant to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BGMS, Selling Shareholders and the Company agreed to use their commercially reasonable efforts to cause the registration statement on Form S-4, of which this proxy statement/prospectus is a part, to comply with the applicable rules and regulations promulgated by the SEC in all material respects. The Company shall reasonably cooperate with Parent and provide, and cause its representatives to provide, Parent and its representatives, with all true, correct and complete information regarding the Company that is required by law to be included in the Registration Statement or reasonably requested by Parent to be included in the Registration Statement. BGMS management agreed to mail this proxy statement/prospectus to its stockholders promptly after the registration statement on Form S-4 is declared effective by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8" w:name="ak_038"/>
      <w:bookmarkEnd w:id="68"/>
      <w:r>
        <w:rPr>
          <w:rFonts w:ascii="Times New Roman;Times;Serif" w:hAnsi="Times New Roman;Times;Serif"/>
          <w:b/>
          <w:i w:val="false"/>
          <w:caps w:val="false"/>
          <w:smallCaps w:val="false"/>
          <w:sz w:val="20"/>
        </w:rPr>
        <w:t>Meeting of BGMS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is obligated under the Business Combination Agreement to call, give notice of and hold a meeting of its stockholders for the purposes of voting on the Proposals. The BGMS stockholders’ meeting will be held (on a date selected by BGMS in consultation with the Company) not later than 45 days after the effective date of the registration statement on Form S-4 pursuant to the Business Combination Agreement.</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9" w:name="ak_039"/>
      <w:bookmarkEnd w:id="69"/>
      <w:r>
        <w:rPr>
          <w:rFonts w:ascii="Times New Roman;Times;Serif" w:hAnsi="Times New Roman;Times;Serif"/>
          <w:b/>
          <w:i w:val="false"/>
          <w:caps w:val="false"/>
          <w:smallCaps w:val="false"/>
          <w:sz w:val="20"/>
        </w:rPr>
        <w:t>Regulatory Approvals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BGMS management nor the Company is required to make any filings or to obtain approvals or clearances from any antitrust regulatory authorities in the United States or other countries to complete the Transaction. In the United States, BGMS must comply with applicable federal and state securities laws and the rules and regulations of The Nasdaq Stock Market LLC in connection with the issuance of shares of Parent Common Stock in the Transaction, including the filing with the SEC of this proxy statement/prospectus. The Business Combination Agreement provides that the Company and BGMS management shall respond as promptly as is practicable in compliance with: (i) any inquiries or requests received from the Federal Trade Commission or the Department of Justice for information or documentation; and (ii) any inquiries or requests received from any other governmental body in connection with antitrust or competition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0" w:name="ak_040"/>
      <w:bookmarkEnd w:id="70"/>
      <w:r>
        <w:rPr>
          <w:rFonts w:ascii="Times New Roman;Times;Serif" w:hAnsi="Times New Roman;Times;Serif"/>
          <w:b/>
          <w:i w:val="false"/>
          <w:caps w:val="false"/>
          <w:smallCaps w:val="false"/>
          <w:sz w:val="20"/>
        </w:rPr>
        <w:t>Nasdaq Stock Market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Common Stock currently is listed on The Nasdaq Capital Market under the symbol “BGMS.” BGMS management has agreed to use commercially reasonable efforts to (i) maintain its existing listing on The Nasdaq Capital Market, (ii) prepare and submit to The Nasdaq Stock Market an application for the listing of the Exchange Shares to be issued to Selling Shareholders pursuant to the Transaction, and (iii) cause such shares to be approved for listing on The Nasdaq Capital Market. In addition, under the Business Combination Agreement, each of the Parties’ obligation to complete the Transaction is subject to the satisfaction or waiver by each of the parties, at or prior to the Transaction, of various conditions, including that the existing shares of Parent Common Stock must have been continually listed on The Nasdaq Capital Market, and BGMS must have caused the shares of Parent Common Stock to be issued in the Transaction to be approved for listing on The Nasdaq Stock Market as of the effective time of the Transaction. For further information, see the section entitled “</w:t>
      </w:r>
      <w:r>
        <w:rPr>
          <w:rFonts w:ascii="Times New Roman;Times;Serif" w:hAnsi="Times New Roman;Times;Serif"/>
          <w:b w:val="false"/>
          <w:i/>
          <w:caps w:val="false"/>
          <w:smallCaps w:val="false"/>
          <w:sz w:val="20"/>
        </w:rPr>
        <w:t>Risk Factors—Risks Related to Being a Public Company</w:t>
      </w:r>
      <w:r>
        <w:rPr>
          <w:rFonts w:ascii="Times New Roman;Times;Serif" w:hAnsi="Times New Roman;Times;Serif"/>
          <w:b w:val="false"/>
          <w:i w:val="false"/>
          <w:caps w:val="false"/>
          <w:smallCaps w:val="false"/>
          <w:sz w:val="20"/>
        </w:rPr>
        <w:t>.” BGMS anticipates that its common stock will be listed on The Nasdaq Stock Market following the closing of the Transaction under the current trading symbol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1" w:name="ak_041"/>
      <w:bookmarkEnd w:id="71"/>
      <w:r>
        <w:rPr>
          <w:rFonts w:ascii="Times New Roman;Times;Serif" w:hAnsi="Times New Roman;Times;Serif"/>
          <w:b/>
          <w:i w:val="false"/>
          <w:caps w:val="false"/>
          <w:smallCaps w:val="false"/>
          <w:sz w:val="20"/>
        </w:rPr>
        <w:t>Termination of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Agreement may be terminated at any time prior to the Effective Time, whether before or after approval of the Exchange by the shareholders of the Company and Parent, unless specified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mutual written agreement of the Company and Parent duly authorized by the Boards of Directors of the Company and Parent;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either the Company or Parent, if the other Party has breached any representation, warranty, covenant or agreement of such other Party set forth in the Business Combination Agreement and such breach has resulted or is reasonably be expected to result in a Material Adverse Effect on such other Party or would prevent or materially delay the consummation of the Exchange;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either the Company or Parent, if all the conditions to the obligations of such Party for Closing the Exchange shall not have been satisfied or waived on or before the Final Date (as defined below); provided that in the event the SEC has declared effective under the Securities Act the Registration Statement by the Final Date, then either the Company or Parent shall be entitled to extend the Final Date for an additional sixty (60) days in order to hold the Parent Stockholder Meeting and obtain the Parent Stockholder Exchange Vote; provided, however, that the right to terminate the Business Combination Agreement pursuant to Section 8.1(c) shall not be available to any Party whose breach of any representation, warranty, covenant or agreement set forth in the Business Combination Agreement has been the cause of, or resulted in, such failure;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either the Company or Parent, if any Law, permanent injunction or other Order by any Governmental Entity which would make illegal or otherwise restrain or prohibit the consummation of the Exchange shall have been issued, entered, or enacted and shall have become final and nonappealable; provided, however, that the right to terminate the Business Combination Agreement pursuant to Section 8.1(d) shall not be available to any Party whose breach of any representation, warranty, covenant or agreement set forth in the Business Combination Agreement has been the cause of, or resulted in, the issuance, entry, or enactment of any such Law or Order;</w:t>
            </w:r>
          </w:p>
        </w:tc>
      </w:tr>
    </w:tbl>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either the Company or Parent if (i) the Parent Stockholder Meeting (including any adjournments and postponements thereof) shall have been held and completed and Parent’s stockholders shall have taken a final vote on the Parent Stockholder Matters, and (ii) the Parent Stockholder Exchange Approval Matter shall not have been approved at the Parent Stockholder Meeting (or at any adjournment or postponement thereof) by the Parent Stockholder Exchange Vote; provided, however, that the right to terminate the Business Combination Agreement under Section 8.1(e) shall not be available to Parent where the failure to obtain the Parent Stockholder Exchange Vote shall have been caused by the action or failure to act of Parent and such action or failure to act constitutes a material breach by Parent of the Business Combination Agreement; or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6"/>
        <w:gridCol w:w="997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Parent if the Required Company Shareholder Vote shall not have been obtained within two (2) Business Days of the Registration Statement becoming effective in accordance with the provisions of the Securities Act; provided, however, that once the Required Company Shareholder Vote has been obtained, Parent may not terminate the Business Combination Agreement pursuant to Section 8.1(d).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the “Final Date” is December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2" w:name="ak_042"/>
      <w:bookmarkEnd w:id="72"/>
      <w:r>
        <w:rPr>
          <w:rFonts w:ascii="Times New Roman;Times;Serif" w:hAnsi="Times New Roman;Times;Serif"/>
          <w:b/>
          <w:i w:val="false"/>
          <w:caps w:val="false"/>
          <w:smallCaps w:val="false"/>
          <w:sz w:val="20"/>
        </w:rPr>
        <w:t>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Agreement may be amended with the approval of the respective boards of directors of the Company and Parent at any time (whether before or after the adoption and approval of the Business Combination Agreement by the Company’s shareholders or before or after obtaining the Parent stockholder vote); provided, however, that after any such approval of the Business Combination Agreement by a Party’s stockholders, no amendment shall be made which by Law requires further approval of such stockholders without the further approval of such stockholders. The Business Combination Agreement may not be amended except by an instrument in writing signed on behalf of each of the Company and Parent</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3" w:name="ak_043"/>
      <w:bookmarkEnd w:id="73"/>
      <w:r>
        <w:rPr>
          <w:rFonts w:ascii="Times New Roman;Times;Serif" w:hAnsi="Times New Roman;Times;Serif"/>
          <w:b/>
          <w:i w:val="false"/>
          <w:caps w:val="false"/>
          <w:smallCaps w:val="false"/>
          <w:sz w:val="20"/>
        </w:rPr>
        <w:t>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Agreement provides that all fees and expenses incurred by any Party in connection with the Business Combination Agreement and the transactions contemplated hereby shall be paid by the Party incurring such fees and expenses. Fees and expenses incurred by any Party in connection with the transactions contemplated by the Business Combination Agreement shall include, without limitation, out-of-pocket fees and expenses incurred for legal, financial, accounting and other advisors.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4" w:name="ak_044"/>
      <w:bookmarkEnd w:id="74"/>
      <w:r>
        <w:rPr>
          <w:rFonts w:ascii="Times New Roman;Times;Serif" w:hAnsi="Times New Roman;Times;Serif"/>
          <w:b/>
          <w:i w:val="false"/>
          <w:caps w:val="false"/>
          <w:smallCaps w:val="false"/>
          <w:sz w:val="20"/>
        </w:rPr>
        <w:t>MATTERS BEING SUBMITTED TO A VOTE OF THE STOCKHOLDERS OF BGMS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5" w:name="ak_045"/>
      <w:bookmarkEnd w:id="75"/>
      <w:r>
        <w:rPr>
          <w:rFonts w:ascii="Times New Roman;Times;Serif" w:hAnsi="Times New Roman;Times;Serif"/>
          <w:b/>
          <w:i w:val="false"/>
          <w:caps w:val="false"/>
          <w:smallCaps w:val="false"/>
          <w:sz w:val="20"/>
          <w:u w:val="single"/>
        </w:rPr>
        <w:t>Proposal No. 1</w:t>
      </w:r>
      <w:r>
        <w:rPr>
          <w:rFonts w:ascii="Times New Roman;Times;Serif" w:hAnsi="Times New Roman;Times;Serif"/>
          <w:b/>
          <w:i w:val="false"/>
          <w:caps w:val="false"/>
          <w:smallCaps w:val="false"/>
          <w:sz w:val="20"/>
        </w:rPr>
        <w:t>: Approval of the Issuance of Common Stock in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stockholders will be asked to approve the issuance of shares of Parent common stock, par value $0.001 per share (“Common Stock” or “Parent Common Stock”), pursuant to the Business Combination Agreement. Immediately following the Transaction, (a) current BGMS stockholders are expected to own approximately less than 1.0% of the common stock of BGMS and (b) Selling Shareholders are expected to own approximately more than 99.0% of the common stock of BGMS, in each case calculated on a pro forma basis after giving effect to the Transaction. These ownership percentages are estimates and may be subject to adjustment prior to Closing as set forth in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reasons for and other aspects of the Business Combination Agreement, the Transaction and the issuance of the Exchange Shares of BGMS pursuant to the Business Combination Agreement are described in detail in the sections entitled “</w:t>
      </w:r>
      <w:r>
        <w:rPr>
          <w:rFonts w:ascii="Times New Roman;Times;Serif" w:hAnsi="Times New Roman;Times;Serif"/>
          <w:b w:val="false"/>
          <w:i/>
          <w:caps w:val="false"/>
          <w:smallCaps w:val="false"/>
          <w:sz w:val="20"/>
        </w:rPr>
        <w:t>The Business Combination Agreement</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The Transaction</w:t>
      </w:r>
      <w:r>
        <w:rPr>
          <w:rFonts w:ascii="Times New Roman;Times;Serif" w:hAnsi="Times New Roman;Times;Serif"/>
          <w:b w:val="false"/>
          <w:i w:val="false"/>
          <w:caps w:val="false"/>
          <w:smallCaps w:val="false"/>
          <w:sz w:val="20"/>
        </w:rPr>
        <w:t xml:space="preserve">.” A copy of the Business Combination Agreement is attached as </w:t>
      </w:r>
      <w:r>
        <w:rPr>
          <w:rFonts w:ascii="Times New Roman;Times;Serif" w:hAnsi="Times New Roman;Times;Serif"/>
          <w:b w:val="false"/>
          <w:i/>
          <w:caps w:val="false"/>
          <w:smallCaps w:val="false"/>
          <w:sz w:val="20"/>
        </w:rPr>
        <w:t>Annex A</w:t>
      </w:r>
      <w:r>
        <w:rPr>
          <w:rFonts w:ascii="Times New Roman;Times;Serif" w:hAnsi="Times New Roman;Times;Serif"/>
          <w:b w:val="false"/>
          <w:i w:val="false"/>
          <w:caps w:val="false"/>
          <w:smallCaps w:val="false"/>
          <w:sz w:val="20"/>
        </w:rPr>
        <w:t xml:space="preserve"> to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Required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shares of Parent Common Stock is required to approve Proposal No. 1. Each of Proposal No. 1, Proposal No. 2, Proposal No. 3, Proposal No. 4 and Proposal No. 5 are conditioned upon each other. Therefore, the Transaction cannot be consummated without the approval of Proposal No. 1, Proposal No. 2, Proposal No. 3, Proposal No. 4 and Proposal No.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Recommendation of Board of Directors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THAT STOCKHOLDERS VOTE “FOR” PROPOSAL 1 TO APPROVE THE ISSUANCE OF PARENT COMMON STOCK PURSUANT TO THE BUSINESS COMBINATION AGREEMENT.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6" w:name="ak_046"/>
      <w:bookmarkEnd w:id="76"/>
      <w:r>
        <w:rPr>
          <w:rFonts w:ascii="Times New Roman;Times;Serif" w:hAnsi="Times New Roman;Times;Serif"/>
          <w:b/>
          <w:i w:val="false"/>
          <w:caps w:val="false"/>
          <w:smallCaps w:val="false"/>
          <w:sz w:val="20"/>
          <w:u w:val="single"/>
        </w:rPr>
        <w:t>Proposal No. 2</w:t>
      </w:r>
      <w:r>
        <w:rPr>
          <w:rFonts w:ascii="Times New Roman;Times;Serif" w:hAnsi="Times New Roman;Times;Serif"/>
          <w:b/>
          <w:i w:val="false"/>
          <w:caps w:val="false"/>
          <w:smallCaps w:val="false"/>
          <w:sz w:val="20"/>
        </w:rPr>
        <w:t>: Approval of the Potential Issuance of Greater than 20% in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stockholders will be asked to approve, for purposes of complying with Nasdaq Listing Rule 5635(d), the issuance of more than 20% of the issued and outstanding shares of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Proposal on Current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Nasdaq Proposal is adopted, BGMS management could potentially issue shares representing more than 20% of the outstanding shares of our common stock in connection with the Transaction. The current formula pursuant to the Business Combination Agreement provides for a total number of Exchange Shares to be issued to Selling Shareholders equal to approximately more than 99.0% of the outstanding stock of BGMS at the time of the Closing. The issuance of such shares would result in substantial dilution to the BGMS stockholders and would afford such stockholders a smaller percentage interest in the voting power, liquidation value and aggregate book value of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Nasdaq Proposal is adopted, BGMS management would be able to issue a higher percentage of Exchange Shares of common stock to Selling Shareholders as consideration in the Transaction. We anticipate that Selling Shareholders will hold approximately more than 99.0% of our outstanding shares of common stock, and the current BGMS stockholders will hold approximately less than 1.0% of our outstanding common stock immediately following completion of the Transaction but there is no certainty of the final percentages until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Nasdaq Proposal is not approved and we need additional Exchange Shares to consummate the Transaction on its current terms, BGMS management would be unable to issue such Exchange Shares without being in violation of Nasdaq Listing Rule 5635(d), which could result in the delisting of our securities from the Nasdaq Capital Market. If Nasdaq delists our securities from trading on its exchange, we could face significant material adverse consequences, including:</w:t>
      </w:r>
    </w:p>
    <w:p>
      <w:pPr>
        <w:pStyle w:val="TextBody"/>
        <w:bidi w:val="0"/>
        <w:spacing w:before="0" w:after="0"/>
        <w:ind w:left="0" w:right="0" w:hanging="0"/>
        <w:jc w:val="both"/>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38"/>
        <w:gridCol w:w="170"/>
        <w:gridCol w:w="4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availability of market quotations for our securities;</w:t>
            </w:r>
          </w:p>
        </w:tc>
      </w:tr>
    </w:tbl>
    <w:p>
      <w:pPr>
        <w:pStyle w:val="TextBody"/>
        <w:bidi w:val="0"/>
        <w:spacing w:before="0" w:after="0"/>
        <w:ind w:left="0" w:right="0" w:firstLine="50"/>
        <w:jc w:val="both"/>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170"/>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liquidity with respect to our securities;</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that our shares are a “penny stock,” which will require brokers trading in our securities to adhere to more stringent rules, possibly resulting in a reduced level of trading activity in the secondary trading market for our securities;</w:t>
            </w:r>
          </w:p>
        </w:tc>
      </w:tr>
    </w:tbl>
    <w:p>
      <w:pPr>
        <w:pStyle w:val="TextBody"/>
        <w:bidi w:val="0"/>
        <w:spacing w:before="0" w:after="0"/>
        <w:ind w:left="0" w:right="0" w:firstLine="50"/>
        <w:jc w:val="both"/>
        <w:rPr>
          <w:caps w:val="false"/>
          <w:smallCaps w:val="false"/>
        </w:rPr>
      </w:pPr>
      <w:r>
        <w:rPr>
          <w:caps w:val="false"/>
          <w:smallCaps w:val="false"/>
        </w:rPr>
        <w:t> </w:t>
      </w:r>
    </w:p>
    <w:tbl>
      <w:tblPr>
        <w:tblW w:w="7158" w:type="dxa"/>
        <w:jc w:val="left"/>
        <w:tblInd w:w="0" w:type="dxa"/>
        <w:tblLayout w:type="fixed"/>
        <w:tblCellMar>
          <w:top w:w="0" w:type="dxa"/>
          <w:left w:w="0" w:type="dxa"/>
          <w:bottom w:w="0" w:type="dxa"/>
          <w:right w:w="0" w:type="dxa"/>
        </w:tblCellMar>
      </w:tblPr>
      <w:tblGrid>
        <w:gridCol w:w="38"/>
        <w:gridCol w:w="170"/>
        <w:gridCol w:w="69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amount of news and analyst coverage for the post-transaction company; and</w:t>
            </w:r>
          </w:p>
        </w:tc>
      </w:tr>
    </w:tbl>
    <w:p>
      <w:pPr>
        <w:pStyle w:val="TextBody"/>
        <w:bidi w:val="0"/>
        <w:spacing w:before="0" w:after="0"/>
        <w:ind w:left="0" w:right="0" w:firstLine="50"/>
        <w:jc w:val="both"/>
        <w:rPr>
          <w:caps w:val="false"/>
          <w:smallCaps w:val="false"/>
        </w:rPr>
      </w:pPr>
      <w:r>
        <w:rPr>
          <w:caps w:val="false"/>
          <w:smallCaps w:val="false"/>
        </w:rPr>
        <w:t> </w:t>
      </w:r>
    </w:p>
    <w:tbl>
      <w:tblPr>
        <w:tblW w:w="7683" w:type="dxa"/>
        <w:jc w:val="left"/>
        <w:tblInd w:w="0" w:type="dxa"/>
        <w:tblLayout w:type="fixed"/>
        <w:tblCellMar>
          <w:top w:w="0" w:type="dxa"/>
          <w:left w:w="0" w:type="dxa"/>
          <w:bottom w:w="0" w:type="dxa"/>
          <w:right w:w="0" w:type="dxa"/>
        </w:tblCellMar>
      </w:tblPr>
      <w:tblGrid>
        <w:gridCol w:w="38"/>
        <w:gridCol w:w="170"/>
        <w:gridCol w:w="7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decreased ability to issue additional securities or obtain additional financing in the future.</w:t>
            </w:r>
          </w:p>
        </w:tc>
      </w:tr>
    </w:tbl>
    <w:p>
      <w:pPr>
        <w:pStyle w:val="TextBody"/>
        <w:bidi w:val="0"/>
        <w:spacing w:before="0" w:after="0"/>
        <w:ind w:left="0" w:right="0" w:firstLine="5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 condition to the obligations of the Parties to close the Transaction that our common stock remain listed on The Nasdaq Capital Market. Additional terms of, reasons for and other aspects of the computation of the number of Exchange Shares of BGMS pursuant to the Business Combination Agreement are described in detail in the sections entitled “</w:t>
      </w:r>
      <w:r>
        <w:rPr>
          <w:rFonts w:ascii="Times New Roman;Times;Serif" w:hAnsi="Times New Roman;Times;Serif"/>
          <w:b w:val="false"/>
          <w:i/>
          <w:caps w:val="false"/>
          <w:smallCaps w:val="false"/>
          <w:sz w:val="20"/>
        </w:rPr>
        <w:t>The Business Combination Agreement</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The Transaction</w:t>
      </w:r>
      <w:r>
        <w:rPr>
          <w:rFonts w:ascii="Times New Roman;Times;Serif" w:hAnsi="Times New Roman;Times;Serif"/>
          <w:b w:val="false"/>
          <w:i w:val="false"/>
          <w:caps w:val="false"/>
          <w:smallCaps w:val="false"/>
          <w:sz w:val="20"/>
        </w:rPr>
        <w:t xml:space="preserve">.” A copy of the Business Combination Agreement is attached as </w:t>
      </w:r>
      <w:r>
        <w:rPr>
          <w:rFonts w:ascii="Times New Roman;Times;Serif" w:hAnsi="Times New Roman;Times;Serif"/>
          <w:b w:val="false"/>
          <w:i/>
          <w:caps w:val="false"/>
          <w:smallCaps w:val="false"/>
          <w:sz w:val="20"/>
        </w:rPr>
        <w:t>Annex A</w:t>
      </w:r>
      <w:r>
        <w:rPr>
          <w:rFonts w:ascii="Times New Roman;Times;Serif" w:hAnsi="Times New Roman;Times;Serif"/>
          <w:b w:val="false"/>
          <w:i w:val="false"/>
          <w:caps w:val="false"/>
          <w:smallCaps w:val="false"/>
          <w:sz w:val="20"/>
        </w:rPr>
        <w:t xml:space="preserve"> to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Vote Required for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Assuming that a quorum is present at the Meeting, the affirmative vote of holders of a majority of the total votes cast on this Proposal No. 2 is required. Accordingly, neither a stockholder’s failure to vote online during the special meeting or by proxy, a broker non-vote nor an abstention will be considered a “vote cast,” and thus will have no effect on the outcome of this proposal. </w:t>
      </w:r>
      <w:r>
        <w:rPr>
          <w:rFonts w:ascii="Times New Roman;Times;Serif" w:hAnsi="Times New Roman;Times;Serif"/>
          <w:b/>
          <w:i w:val="false"/>
          <w:caps w:val="false"/>
          <w:smallCaps w:val="false"/>
          <w:sz w:val="20"/>
        </w:rPr>
        <w:t>Each of Proposal No. 1, Proposal No. 2, Proposal No. 3, Proposal No. 4 and Proposal No. 5 are conditioned upon each other. Therefore, the Transaction cannot be consummated without the approval of Proposal No. 1, Proposal No. 2, Proposal No. 3, Proposal No. 4 and Proposal No.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Recommendation of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THAT STOCKHOLDERS VOTE “FOR” PROPOSAL 2 TO APPROVE, FOR PURPOSES OF COMPLYING WITH NASDAQ LISTING RULE 5635(D), THE POTENTIAL ISSUANCE OF MORE THAN 20% OF THE ISSUED AND OUTSTANDING SHARES OF PARENT COMMON STOCK.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7" w:name="ak_047"/>
      <w:bookmarkEnd w:id="77"/>
      <w:r>
        <w:rPr>
          <w:rFonts w:ascii="Times New Roman;Times;Serif" w:hAnsi="Times New Roman;Times;Serif"/>
          <w:b/>
          <w:i w:val="false"/>
          <w:caps w:val="false"/>
          <w:smallCaps w:val="false"/>
          <w:sz w:val="20"/>
          <w:u w:val="single"/>
        </w:rPr>
        <w:t>Proposal No. 3</w:t>
      </w:r>
      <w:r>
        <w:rPr>
          <w:rFonts w:ascii="Times New Roman;Times;Serif" w:hAnsi="Times New Roman;Times;Serif"/>
          <w:b/>
          <w:i w:val="false"/>
          <w:caps w:val="false"/>
          <w:smallCaps w:val="false"/>
          <w:sz w:val="20"/>
        </w:rPr>
        <w:t>: Approval of the Amendment to the Amended and Restated Certificate of Incorporation to Increase Authorized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stockholders will be asked to approve an amendment to the Amended and Restated Certificate of Incorporation of Parent to increase the number of shares of Parent Common Stock that the Parent is authorized to issue to 3,000,000,000 shares. We refer to this proposal as the “Authorized Share Increase Proposal.” The form of the proposed amendment to the Amended and Restated Certificate of Incorporation is attached to this proxy statement/prospectus as Annex 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Authorized Share Increase Proposal is a condition to the Parent’s ability to issue the shares Parent Common Stock contemplated by the Business Combination Agreement. If the Authorized Share Increase Proposal is not approved, the Parent may not have sufficient authorized shares of Parent Common Stock to issue to the Selling Shareholders, and the Parent may be unable to consummate the Business Combination on the terms contemplated by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Business Combination is not consummated because the Parent lacks sufficient authorized shares to issue the Parent Common Stock, the Parent may be required to seek alternative financing or strategic transactions, renegotiate the terms of the Business Combination Agreement, or abandon the Business Combination. There can be no assurance that any such alternatives would be available on terms acceptable to the Parent,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Purpose of the Authorized Share Increase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has entered into a Business Combination Agreement with Future NRG pursuant to which, among other things, the Parent will issue shares of its Parent Common Stock as consideration in the transactions contemplated by the Business Combination Agreement. The primary purpose of the Authorized Share Increase Proposal is to ensure that Parent has a sufficient number of authorized shares of Parent Common Stock available to issue to the Selling Shareholders in connection with the Business Combination. The Parent’s existing Amended and Restated Certificate of Incorporation does not authorize a sufficient number of shares to enable it to issue a sufficient number of Parent Common Stock or to maintain an appropriate reserve of authorized but unissued shares for future corporate purposes. Accordingly, the Board has determined that it is advisable and in the best interests of the Parent and its stockholders to amend the Amended and Restated Certificate of Incorporation to increase the authorized number of shares of common stock to 3,000,000,000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Authorized Share Increase Proposal is approved by the Parent’s stockholders and the other conditions to the closing of the Business Combination are satisfied or waived, the Parent expects to file the amendment to the Amended and Restated Certificate of Incorporation with the Secretary of State of the State of Delaware in connection with the closing of the Business Combination. The proposed amendment will become effective upon filing with the Secretary of State of the State of Delaware, or at such later time as may be specified in the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Effect of the Authorized Share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Authorized Share Increase Proposal is approved and implemented, the Parent will be authorized to issue up to 3,000,000,000 shares of common stock. The additional authorized shares of common stock will have the same rights, preferences and privileges as the shares of common stock currently authorized under the Amended and Restated Certificate of Incorporation. The increase in authorized shares will not, by itself, affect the rights of existing holders of the Parent Common Stock, except to the extent that future issuances of common stock, including the issuance of the Parent Common Stock in the Business Combination, may dilute existing stockholders’ ownership interests, voting power and, depending on the circumstances of such issuance, economic interests in the Parent.</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the Authorized Share Increase Proposal will not result in the issuance of any shares of common stock by itself. However, if the Business Combination is completed, the Parent will issue the Transaction Consideration Shares pursuant to the Business Combination Agreement. In addition, following the effectiveness of the amendment, the Board will generally be able to issue additional authorized and unissued shares of common stock from time to time, without further stockholder approval, except as may be required by applicable law, the rules and regulations of the Securities and Exchange Commission, the rules of The Nasdaq Stock Market LLC, or the terms of any securities or agreements of the Parent.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additional authorized shares may provide the Parent with flexibility to issue shares in connection with future financing transactions, strategic transactions, equity incentive plans, acquisitions, stock dividends or splits, or other general corporate purposes. However, except for the issuance of the Transaction Consideration Shares pursuant to the Business Combination Agreement and any other issuances described in this proxy statement/prospectus, the Parent has no present plan, arrangement or understanding to issue any additional shares that would become available as a result of the Authorized Share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illustrative purposes only, if a stockholder owned 1,000,000 shares of common stock immediately before the issuance of the Transaction Consideration Shares and there were 100,000,000 shares of common stock outstanding immediately before such issuance, that stockholder would own 1.0% of the outstanding common stock immediately before the issuance. If the Parent issued 200,000,000 Transaction Consideration Shares, resulting in 300,000,000 shares of common stock outstanding immediately after such issuance, and the stockholder did not acquire additional shares, the stockholder would own approximately 0.33% of the outstanding common stock immediately after the issuance. If the Parent issued 500,000,000 Transaction Consideration Shares, resulting in 600,000,000 shares of common stock outstanding immediately after such issuance, the stockholder would own approximately 0.17% of the outstanding common stock immediately after the issuance. These examples are hypothetical and are included solely to illustrate the potential dilutive effect of issuing additional shares; the actual dilution experienced by stockholders will depend on the number of shares outstanding immediately before the Business Combination, the number of Transaction Consideration Shares actually issued, and any other issuances described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Interests of Certain Persons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Parent’s directors and executive officers may have interests in the Business Combination that are different from, or in addition to, the interests of the Parent’s stockholders generally. Stockholders should carefully review the sections of this proxy statement/prospectus describing the Business Combination, the Business Combination Agreement, the Transaction Consideration Shares, and the interests of the Parent’s directors and executive officers in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Vote Required for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Authorized Share Increase Proposal requires the affirmative vote of the holders of a majority of the voting power of the outstanding shares of the Parent’s capital stock entitled to vote thereon. Abstentions and broker non-votes, if any, will have the same effect as votes “AGAINST” the Authorized Share Increase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Recommendation of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unanimously determined that the Authorized Share Increase Proposal is advisable and in the best interests of the Parent and its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 THAT STOCKHOLDERS VOTE “FOR” THE APPROVAL OF THE AMENDMENT TO THE AMENDED AND RESTATED CERTIFICATE OF INCORPORATION TO INCREASE THE NUMBER OF AUTHORIZED SHARES OF COMMON STOCK TO 3,000,000,000 SHARES.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8" w:name="ak_048"/>
      <w:bookmarkEnd w:id="78"/>
      <w:r>
        <w:rPr>
          <w:rFonts w:ascii="Times New Roman;Times;Serif" w:hAnsi="Times New Roman;Times;Serif"/>
          <w:b/>
          <w:i w:val="false"/>
          <w:caps w:val="false"/>
          <w:smallCaps w:val="false"/>
          <w:sz w:val="20"/>
          <w:u w:val="single"/>
        </w:rPr>
        <w:t>Proposal No. 4</w:t>
      </w:r>
      <w:r>
        <w:rPr>
          <w:rFonts w:ascii="Times New Roman;Times;Serif" w:hAnsi="Times New Roman;Times;Serif"/>
          <w:b/>
          <w:i w:val="false"/>
          <w:caps w:val="false"/>
          <w:smallCaps w:val="false"/>
          <w:sz w:val="20"/>
        </w:rPr>
        <w:t>: Approval of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Special Meeting, stockholders will also be asked to approve an amendment to the Amended and Restated Certificate of Incorporation to effect a reverse stock split of the issued and outstanding shares of Parent Common Stock, at a reverse stock split ratio (the “Reverse Stock Split”) to be determined by the Board within a range of not less than 1:4 and not more than 1:16. The form of amendment to the Amended and Restated Certificate of Incorporation giving effect to the reverse stock split will be included in </w:t>
      </w:r>
      <w:r>
        <w:rPr>
          <w:rFonts w:ascii="Times New Roman;Times;Serif" w:hAnsi="Times New Roman;Times;Serif"/>
          <w:b/>
          <w:i w:val="false"/>
          <w:caps w:val="false"/>
          <w:smallCaps w:val="false"/>
          <w:sz w:val="20"/>
        </w:rPr>
        <w:t>Annex C</w:t>
      </w:r>
      <w:r>
        <w:rPr>
          <w:rFonts w:ascii="Times New Roman;Times;Serif" w:hAnsi="Times New Roman;Times;Serif"/>
          <w:b w:val="false"/>
          <w:i w:val="false"/>
          <w:caps w:val="false"/>
          <w:smallCaps w:val="false"/>
          <w:sz w:val="20"/>
        </w:rPr>
        <w:t xml:space="preserve"> or in a separate annex to this proxy statement/prospectus,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unanimously approved the Reverse Stock Split Proposal and recommends that stockholders vote “FOR” the approval of the Reverse Stock Split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Purpose of the Reverse Stock Split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Reverse Stock Split Proposal is to provide the Company with flexibility to adjust the number of issued and outstanding shares of Parent Common Stock in connection with the Business Combination, the Authorized Share Increase Proposal, the issuance of the Consideration Shares and the Company’s continued listing on The Nasdaq Stock Market LLC. The Board believes that a reverse stock split may be advisable to increase the per-share trading price of the Parent Common Stock, to facilitate compliance with applicable Nasdaq listing requirements, to make the Parent Common Stock more attractive to a broader range of institutional and other investors and to provide the Company with an appropriate capital structure following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Proposal is approved by the Company’s stockholders, the Board will have authority, without further action by the stockholders, to determine whether to implement the reverse stock split, the final reverse stock split ratio within the approved range and the timing of the effectiveness of the reverse stock split. The Board may determine not to effect the reverse stock split if it determines that the reverse stock split is no longer advisable or in the best interests of the Company and its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Effect of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is implemented, each specified number of issued and outstanding shares of Parent Common Stock will be combined into one share of Parent Common Stock, based on the final ratio approved by the Board. The reverse stock split will affect all holders of Parent Common Stock uniformly and will not affect any stockholder’s percentage ownership interest in the Company, except to the extent that the reverse stock split results in any stockholder receiving cash in lieu of fractional shares or otherwise affects the treatment of fractional shares as described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will reduce the number of issued and outstanding shares of Parent Common Stock. Unless otherwise provided in the amendment approved by stockholders, the reverse stock split will not reduce the number of authorized shares of Parent Common Stock. As a result, the reverse stock split could increase the number of authorized but unissued shares of Parent Common Stock available for future issuance, including issuances in connection with the Business Combination, future financings, equity incentive arrangements, acquisitions and other corporate purposes. Future issuances of Parent Common Stock or securities convertible into or exercisable for Parent Common Stock may dilute existing stockholders’ ownership interests, voting power and economic interests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may also result in proportionate adjustments to the number of shares of Parent Common Stock issuable upon exercise, conversion or settlement of outstanding equity awards, warrants, convertible securities or other rights to acquire shares of Parent Common Stock, and to the applicable exercise, conversion or purchase prices, in each case as required by the terms of those instruments and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Consequences if the Reverse Stock Split Proposal Is Not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Proposal is not approved, the Board will not have authority to effect the reverse stock split without seeking further stockholder approval. The failure to approve the Reverse Stock Split Proposal could limit the Company’s flexibility to adjust its capital structure in connection with the Business Combination and may adversely affect the Company’s ability to comply with applicable Nasdaq listing requirements or to achieve the anticipated benefits of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Reverse Stock Split Proposal requires the affirmative vote required under the Delaware General Corporation Law and the Company’s Amended and Restated Certificate of Incorporation and bylaws. Abstentions and broker non-votes, if any, will have the effect described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Recommendation of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unanimously determined that the Reverse Stock Split Proposal is advisable and in the best interests of the Parent and its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 THAT STOCKHOLDERS VOTE “FOR” THE APPROVAL OF THE REVERSE STOCK SPLIT PROPOSAL.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9" w:name="ak_049"/>
      <w:bookmarkEnd w:id="79"/>
      <w:r>
        <w:rPr>
          <w:rFonts w:ascii="Times New Roman;Times;Serif" w:hAnsi="Times New Roman;Times;Serif"/>
          <w:b/>
          <w:i w:val="false"/>
          <w:caps w:val="false"/>
          <w:smallCaps w:val="false"/>
          <w:sz w:val="20"/>
          <w:u w:val="single"/>
        </w:rPr>
        <w:t>Proposal No. 5</w:t>
      </w:r>
      <w:r>
        <w:rPr>
          <w:rFonts w:ascii="Times New Roman;Times;Serif" w:hAnsi="Times New Roman;Times;Serif"/>
          <w:b/>
          <w:i w:val="false"/>
          <w:caps w:val="false"/>
          <w:smallCaps w:val="false"/>
          <w:sz w:val="20"/>
        </w:rPr>
        <w:t>: Approval of the Future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stockholders will also be asked to approve, for purposes of complying with applicable Delaware law, the rules and regulations of the Securities and Exchange Commission, the rules of The Nasdaq Stock Market LLC and the Company’s governing documents, the issuance and sale by the Company, from time to time during the 24-month period following stockholder approval, of shares of Parent Common Stock, warrants to purchase shares of Parent Common Stock and/or other securities exercisable for, convertible into or otherwise linked to Parent Common Stock in one or more financing transactions, which we refer to as the “Future Financing.” We refer to this proposal as the “Future Financing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unanimously approved the Future Financing Proposal and recommends that stockholders vote “FOR” the approval of the Future Financing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Purpose of the Future Financing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seek to raise up to $50,000,000 in gross proceeds through one or more future financing transactions. The final terms of any Future Financing, including the type and amount of securities to be issued, the purchase price, any warrant coverage, the exercise price and term of any warrants, any registration rights, any lock-up or transfer restrictions and other material terms, will be subject to negotiation between the Company and the applicable investors. The price or price range for any securities issued in the Future Financing will be determined at the time of pricing, subject to adjustment for any stock split, reverse stock split, recapitalization, combination, consolidation or similar transaction affecting the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Future Financing Proposal is to provide the Company with flexibility to raise capital following the Business Combination without the delay and expense of seeking separate stockholder approval at the time of each financing, to the extent stockholder approval would otherwise be required under applicable Delaware law, SEC rules, Nasdaq rules or the Company’s governing documents. The Company expects to use the net proceeds from any Future Financing for working capital, acquisitions, strategic transactions, transaction expenses, integration costs, capital expenditures and other general corporate purposes, as determined by the Board and management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Principal Terms of the Future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Financing may consist of the issuance and sale of Parent Common Stock, warrants to purchase Parent Common Stock and/or other securities exercisable for, convertible into or otherwise linked to Parent Common Stock. The aggregate gross proceeds of the Future Financing are expected not to exceed $50,000,000. The Future Financing may be completed in one or more transactions, with one or more investors, within 24 months after the date on which stockholders approve the Future Financing Proposal. The Company has not yet determined the final purchase price, pricing formula, warrant coverage, warrant exercise price, warrant term or other material terms of the Future Financing, and such terms remain subject to negotiation with prospective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completes any Future Financing, the securities issued in such financing may be issued at a discount to the then-current market price of the Parent Common Stock and may include warrants or other equity-linked securities. Any such issuance could result in substantial dilution to existing stockholders and could adversely affect the market price of the Parent Common Stock. The extent of dilution will depend on the amount of capital raised, the purchase price of the securities sold, the number of shares of Parent Common Stock issued or issuable, the terms of any warrants or other equity-linked securities and whether any existing stockholders participate in the financing.</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illustrative purposes only, if the Company raised $50,000,000 through the sale of Parent Common Stock at an assumed purchase price of $1.00 per share, the Company would issue 50,000,000 shares of Parent Common Stock, before giving effect to any warrants or other equity-linked securities. If there were 300,000,000 shares of Parent Common Stock outstanding immediately before such issuance and a stockholder owned 3,000,000 shares, representing 1.0% of the outstanding Parent Common Stock before the issuance, that stockholder would own approximately 0.86% of the outstanding Parent Common Stock immediately after the issuance, assuming the stockholder did not purchase securities in the Future Financing and before giving effect to any exercise of warrants or other equity-linked securities. If warrants or other equity-linked securities are issued and subsequently exercised or converted, the dilutive effect to existing stockholders could be greater. This example is hypothetical and is included solely to illustrate the potential dilutive effect of the Future Financing; actual dilution will depend on the final terms of the Future Financing and the number of shares outstanding at the time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Consequences if the Future Financing Proposal Is Not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Future Financing Proposal is not approved, the Company may be required to seek separate stockholder approval before completing a future financing transaction to the extent such approval is required under applicable Delaware law, SEC rules, Nasdaq rules or the Company’s governing documents. The need to obtain separate stockholder approval could delay, limit or prevent the Company from raising capital on favorable terms or at all, which could adversely affect the Company’s liquidity, ability to pursue acquisitions or strategic opportunities and ability to execute its business plan following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Future Financing Proposal does not obligate the Company to complete any Future Financing, and there can be no assurance that the Company will be able to complete any Future Financing on acceptable terms, or at all. The Board may determine not to proceed with any Future Financing if it determines that doing so would not be in the best interests of the Company and its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Future Financing Proposal requires the affirmative vote required under the Delaware General Corporation Law, applicable SEC rules, Nasdaq rules and the Company’s Amended and Restated Certificate of Incorporation and bylaws. Abstentions and broker non-votes, if any, will have the effect described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Recommendation of Board of Directors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THAT STOCKHOLDERS VOTE “FOR” PROPOSAL 5 TO APPROVE THE FUTURE FINANCING PROPOSAL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0" w:name="ak_050"/>
      <w:bookmarkEnd w:id="80"/>
      <w:r>
        <w:rPr>
          <w:rFonts w:ascii="Times New Roman;Times;Serif" w:hAnsi="Times New Roman;Times;Serif"/>
          <w:b/>
          <w:i w:val="false"/>
          <w:caps w:val="false"/>
          <w:smallCaps w:val="false"/>
          <w:sz w:val="20"/>
          <w:u w:val="single"/>
        </w:rPr>
        <w:t>Proposal No. 6</w:t>
      </w:r>
      <w:r>
        <w:rPr>
          <w:rFonts w:ascii="Times New Roman;Times;Serif" w:hAnsi="Times New Roman;Times;Serif"/>
          <w:b/>
          <w:i w:val="false"/>
          <w:caps w:val="false"/>
          <w:smallCaps w:val="false"/>
          <w:sz w:val="20"/>
        </w:rPr>
        <w:t>: Approval of Possible Adjournment of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BGMS management fails to receive a sufficient number of votes to approve Proposal No. 1, Proposal No. 2, Proposal No. 3, Proposal No. 4 and Proposal No. 5, BGMS management may propose to adjourn the special meeting, for a period of not more than 30 days, for the purpose of soliciting additional proxies to approve Proposal No. 1, Proposal No. 2, Proposal No. 3, Proposal No. 4 and Proposal No. 5. BGMS management currently does not intend to propose adjournment at the special meeting unless there are sufficient votes to approve Proposal No. 1, Proposal No. 2, Proposal No. 3, Proposal No. 4 and Proposal No.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Required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shares of Parent Common Stock present in person or represented by proxy at the special meeting is required to approve Proposal No. 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Recommendation of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THAT STOCKHOLDERS VOTE “FOR” PROPOSAL 6 TO ADJOURN THE SPECIAL MEETING, IF NECESSARY, TO SOLICIT ADDITIONAL PROXIES IF THERE ARE NOT SUFFICIENT VOTES IN FAVOR OF PROPOSAL NO. 1, PROPOSAL NO. 2, PROPOSAL NO. 3, PROPOSAL NO. 4, AND PROPOSAL NO. 5.</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1" w:name="ak_051"/>
      <w:bookmarkEnd w:id="81"/>
      <w:r>
        <w:rPr>
          <w:rFonts w:ascii="Times New Roman;Times;Serif" w:hAnsi="Times New Roman;Times;Serif"/>
          <w:b/>
          <w:i w:val="false"/>
          <w:caps w:val="false"/>
          <w:smallCaps w:val="false"/>
          <w:sz w:val="20"/>
        </w:rPr>
        <w:t>BIO GREEN MED SOLUTION, INC.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(“BGMS” or “Parent” or the “Company”) is a Delaware corporation formed in 1996, a Nasdaq-listed company, formerly known as Cyclacel Pharmaceuticals, Inc., which is headquartered in Kuala Lumpur, Malaysia. BGMS is a diversified enterprise engaged in the fire protection industry, which was founded on January 5, 1996, as a clinical-stage biopharmaceutical company focused on developing cancer medicines based on cell cycle, transcriptional regulation, and mitosis biology. Its pipeline historically included drug candidates such as fadraciclib (a CDK2/9 inhibitor) and plogosertib (a PLK1 inhibitor), targeting solid tumors and hematological malignancies.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underwent a major strategic transformation commencing in early 2025. First, its United Kingdom-based subsidiary, Cyclacel Limited, was liquidated on January 24, 2025, through a creditors’ voluntary liquidation, resulting in an approximately $4.9 million gain on deconsolidation and the cessation of all fadraciclib-related R&amp;D spending.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the Company announced a major leadership and ownership transition following the acquisition of a controlling stake by Datuk Dr. Doris Wong Sing Ee. Under a Securities Purchase Agreement, Datuk Dr. Doris Wong acquired 70% of Cyclacel’s issued and outstanding shares making her the new controlling shareholder. The transaction led to significant structural changes, including the resignation of interim officers and several board members. As part of the transition, Kiu Cu Seng was appointed as Executive Director, Secretary, and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2025, the Company completed a share exchange transaction with FITTERS Diversified Berhad, a Malaysian publicly listed company, acquiring 100% of Fitters Sdn. Bhd. in exchange for Parent Common Stock (equal to 19.99% of outstanding shares). Following this acquisition, Datuk Dr. Doris Wong was appointed to the board of Fitters and its subsidiaries. The Company’s fire safety division, anchored by the Fitters Sdn. Bhd. subsidiary, is now the Company’s primary operational focus. Fitters, established in 1982 and headquartered in Kuala Lumpur, conducts its business in the Malaysian market, importing protective and fire safety equipment from international suppliers and supplying, trading, and installing that equipment for customers located in Malaysia. Its product range includes fire extinguishers, foam systems, fire-resistant doors (Pyrodor), personal protective equipment (PPE), and fire safety apparel.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BGMS sold its patent rights and assets related to plogosertib to Tethra Biosciences Inc. for $300,000 plus a potential milestone payment of $170,000. On September 12, 2025, the company completed a share exchange transaction with FITTERS Diversified Berhad, a Malaysian publicly listed company, acquiring 100% of Fitters Sdn. Bhd. in exchange for 699,158 shares of Parent Common Stock (equal to 19.99% of outstanding shares). Following this acquisition, Datuk Dr. Doris Wong Sing Ee, the company’s CEO, was appointed to the board of Fitters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our sale of Plogo and the closing of the Transaction on September 12, 2025, we now specialize in the supply and trading of protective and fire safety equipment providing a wide range of fire safety products, including fire extinguishers, foam system, fire-resistant doors, personal protective equipment, and fire safety apparel. Our mission is to deliver high-quality, certified safety solutions that enhance protection across commercial, industrial, healthcare, and residential sectors with a focus on trading and distribution to position us as a key player in Malaysia’s fire safety market, with a reputation for reliability and compliance with stringent regulatory standards.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a wide range of fire safety products, including fire extinguishers, foam system, fire-resistant doors, personal protective equipment (“PPE”). Over the past four decades, we have expanded our product portfolio to include advanced fire-fighting equipment, foam system, PPE, and safety apparel, establishing a strong presence in the industry. Our history of consistent growth reflects our commitment to quality and customer-centric innovation, positioning us as a trusted name in fire safety equipment distribution. We provide the following categories of product offerings and solutions to our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14382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667500" cy="14382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Fire Safety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distribute fire extinguishers, such as the FITTERS FIRE-X, designed for home and vehicle use, and other fire-fighting tools like foam systems. Our products are approved by BOMBA and certified by SIRIM to ensure full compliance with safety regulations. Taking the necessary fire safety precautions to protect any investment is a crucial factor in any business. Unexpected fires can end any livelihood in just a matter of seconds. We offer a complete range of fire safety systems. With more than 30-years of experience in fire safety, we pride ourselves as the “One-stop” fire protection specialist for businesses and individuals.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7143750" cy="16097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143750" cy="1609725"/>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range of Fire Safety Systems include:</w:t>
      </w:r>
    </w:p>
    <w:p>
      <w:pPr>
        <w:pStyle w:val="TextBody"/>
        <w:bidi w:val="0"/>
        <w:spacing w:before="0" w:after="0"/>
        <w:ind w:left="0" w:right="0" w:hanging="0"/>
        <w:jc w:val="both"/>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60"/>
        <w:gridCol w:w="170"/>
        <w:gridCol w:w="17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Fire Sprinkler System</w:t>
            </w:r>
          </w:p>
        </w:tc>
      </w:tr>
    </w:tbl>
    <w:tbl>
      <w:tblPr>
        <w:tblW w:w="1510" w:type="dxa"/>
        <w:jc w:val="left"/>
        <w:tblInd w:w="0" w:type="dxa"/>
        <w:tblLayout w:type="fixed"/>
        <w:tblCellMar>
          <w:top w:w="0" w:type="dxa"/>
          <w:left w:w="0" w:type="dxa"/>
          <w:bottom w:w="0" w:type="dxa"/>
          <w:right w:w="0" w:type="dxa"/>
        </w:tblCellMar>
      </w:tblPr>
      <w:tblGrid>
        <w:gridCol w:w="60"/>
        <w:gridCol w:w="170"/>
        <w:gridCol w:w="12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Sprinkler head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Flow Switch</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Pressure Switch</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Alarm Valve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Butterfly Valve</w:t>
            </w:r>
          </w:p>
        </w:tc>
      </w:tr>
    </w:tbl>
    <w:tbl>
      <w:tblPr>
        <w:tblW w:w="1735" w:type="dxa"/>
        <w:jc w:val="left"/>
        <w:tblInd w:w="0" w:type="dxa"/>
        <w:tblLayout w:type="fixed"/>
        <w:tblCellMar>
          <w:top w:w="0" w:type="dxa"/>
          <w:left w:w="0" w:type="dxa"/>
          <w:bottom w:w="0" w:type="dxa"/>
          <w:right w:w="0" w:type="dxa"/>
        </w:tblCellMar>
      </w:tblPr>
      <w:tblGrid>
        <w:gridCol w:w="60"/>
        <w:gridCol w:w="170"/>
        <w:gridCol w:w="15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Wet System Valve</w:t>
            </w:r>
          </w:p>
        </w:tc>
      </w:tr>
    </w:tbl>
    <w:tbl>
      <w:tblPr>
        <w:tblW w:w="1570" w:type="dxa"/>
        <w:jc w:val="left"/>
        <w:tblInd w:w="0" w:type="dxa"/>
        <w:tblLayout w:type="fixed"/>
        <w:tblCellMar>
          <w:top w:w="0" w:type="dxa"/>
          <w:left w:w="0" w:type="dxa"/>
          <w:bottom w:w="0" w:type="dxa"/>
          <w:right w:w="0" w:type="dxa"/>
        </w:tblCellMar>
      </w:tblPr>
      <w:tblGrid>
        <w:gridCol w:w="60"/>
        <w:gridCol w:w="170"/>
        <w:gridCol w:w="13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Pre-action valve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Deluge valve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Gate Valve</w:t>
            </w:r>
          </w:p>
        </w:tc>
      </w:tr>
    </w:tbl>
    <w:tbl>
      <w:tblPr>
        <w:tblW w:w="1210" w:type="dxa"/>
        <w:jc w:val="left"/>
        <w:tblInd w:w="0" w:type="dxa"/>
        <w:tblLayout w:type="fixed"/>
        <w:tblCellMar>
          <w:top w:w="0" w:type="dxa"/>
          <w:left w:w="0" w:type="dxa"/>
          <w:bottom w:w="0" w:type="dxa"/>
          <w:right w:w="0" w:type="dxa"/>
        </w:tblCellMar>
      </w:tblPr>
      <w:tblGrid>
        <w:gridCol w:w="60"/>
        <w:gridCol w:w="170"/>
        <w:gridCol w:w="9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CO² System</w:t>
            </w:r>
          </w:p>
        </w:tc>
      </w:tr>
    </w:tbl>
    <w:tbl>
      <w:tblPr>
        <w:tblW w:w="3445" w:type="dxa"/>
        <w:jc w:val="left"/>
        <w:tblInd w:w="0" w:type="dxa"/>
        <w:tblLayout w:type="fixed"/>
        <w:tblCellMar>
          <w:top w:w="0" w:type="dxa"/>
          <w:left w:w="0" w:type="dxa"/>
          <w:bottom w:w="0" w:type="dxa"/>
          <w:right w:w="0" w:type="dxa"/>
        </w:tblCellMar>
      </w:tblPr>
      <w:tblGrid>
        <w:gridCol w:w="60"/>
        <w:gridCol w:w="170"/>
        <w:gridCol w:w="32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3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CO² cylinder complete with accessories</w:t>
            </w:r>
          </w:p>
        </w:tc>
      </w:tr>
    </w:tbl>
    <w:tbl>
      <w:tblPr>
        <w:tblW w:w="1735" w:type="dxa"/>
        <w:jc w:val="left"/>
        <w:tblInd w:w="0" w:type="dxa"/>
        <w:tblLayout w:type="fixed"/>
        <w:tblCellMar>
          <w:top w:w="0" w:type="dxa"/>
          <w:left w:w="0" w:type="dxa"/>
          <w:bottom w:w="0" w:type="dxa"/>
          <w:right w:w="0" w:type="dxa"/>
        </w:tblCellMar>
      </w:tblPr>
      <w:tblGrid>
        <w:gridCol w:w="60"/>
        <w:gridCol w:w="170"/>
        <w:gridCol w:w="15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Fire Alarm System</w:t>
            </w:r>
          </w:p>
        </w:tc>
      </w:tr>
    </w:tbl>
    <w:tbl>
      <w:tblPr>
        <w:tblW w:w="1510" w:type="dxa"/>
        <w:jc w:val="left"/>
        <w:tblInd w:w="0" w:type="dxa"/>
        <w:tblLayout w:type="fixed"/>
        <w:tblCellMar>
          <w:top w:w="0" w:type="dxa"/>
          <w:left w:w="0" w:type="dxa"/>
          <w:bottom w:w="0" w:type="dxa"/>
          <w:right w:w="0" w:type="dxa"/>
        </w:tblCellMar>
      </w:tblPr>
      <w:tblGrid>
        <w:gridCol w:w="60"/>
        <w:gridCol w:w="170"/>
        <w:gridCol w:w="12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Smoke detector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Heat detector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Wet Chemical System / Kitchen Hood includes:</w:t>
      </w:r>
    </w:p>
    <w:p>
      <w:pPr>
        <w:pStyle w:val="TextBody"/>
        <w:bidi w:val="0"/>
        <w:spacing w:before="0" w:after="0"/>
        <w:jc w:val="center"/>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60"/>
        <w:gridCol w:w="230"/>
        <w:gridCol w:w="464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 xml:space="preserve">◌ </w:t>
            </w:r>
          </w:p>
        </w:tc>
        <w:tc>
          <w:tcPr>
            <w:tcW w:w="4640" w:type="dxa"/>
            <w:tcBorders/>
            <w:vAlign w:val="center"/>
          </w:tcPr>
          <w:p>
            <w:pPr>
              <w:pStyle w:val="TableContents"/>
              <w:bidi w:val="0"/>
              <w:spacing w:before="0" w:after="283"/>
              <w:jc w:val="both"/>
              <w:rPr/>
            </w:pPr>
            <w:r>
              <w:rPr/>
              <w:t>Wet chemical cylinder complete with accessories</w:t>
            </w:r>
          </w:p>
        </w:tc>
      </w:tr>
    </w:tbl>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PYRODOR Fire Door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supply fire-resistant doors under the “PYRODOR” brand, offering one-hour and two-hour fire resistance, along with components like PYROFRAME and PYROBOARD. These are critical for commercial and industrial buildings, meeting strict safety codes. In line with today’s stringent fire safety standards, PYRODOR offers high quality fire resistant door-sets – tested by SIRIM in accordance with the latest MS1073 Part 2 &amp; 3 and approved by Fire &amp; Rescue Department, Malaysia. PYRODOR door-sets are custom-made to accommodate stringent customer requirements. Our total commitment to the protection of life and property is hard to match. We maintain a well-planned program for continuous improvement to meet customers’ requirements. We have the one of the widest ranges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Approved and tested one-hour fire rated metal frame and wooden frame door-sets, single leaf and double leaf doors with various locksets.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Approved and tested two-hour fire rated metal frame door-sets, single leaf and double leaf doors with various locksets.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15335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620000" cy="15335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sampling of PYRODOR references include these commercial, governmental and residential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19526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620000" cy="19526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22955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620000" cy="22955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21050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620000" cy="21050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Safety Apparel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PPE portfolio includes fire-retardant apparel and workwear uniform designed to serve clients in oil and gas industry as well as other industrial sectors. We ensure that all products meet occupational safety standards. We provide fire-retardant uniforms and reflective materials, such as Scotchlite, for workers in high-risk environments, enhancing visibility and protection.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20669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620000" cy="20669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8205" w:type="dxa"/>
        <w:jc w:val="left"/>
        <w:tblInd w:w="0" w:type="dxa"/>
        <w:shd w:fill="FFFFFF" w:val="clear"/>
        <w:tblLayout w:type="fixed"/>
        <w:tblCellMar>
          <w:top w:w="0" w:type="dxa"/>
          <w:left w:w="0" w:type="dxa"/>
          <w:bottom w:w="0" w:type="dxa"/>
          <w:right w:w="0" w:type="dxa"/>
        </w:tblCellMar>
      </w:tblPr>
      <w:tblGrid>
        <w:gridCol w:w="4095"/>
        <w:gridCol w:w="4110"/>
      </w:tblGrid>
      <w:tr>
        <w:trPr/>
        <w:tc>
          <w:tcPr>
            <w:tcW w:w="4095" w:type="dxa"/>
            <w:tcBorders/>
            <w:shd w:fill="FFFFFF" w:val="clear"/>
            <w:vAlign w:val="center"/>
          </w:tcPr>
          <w:p>
            <w:pPr>
              <w:pStyle w:val="TableContents"/>
              <w:bidi w:val="0"/>
              <w:spacing w:before="0" w:after="283"/>
              <w:jc w:val="center"/>
              <w:rPr>
                <w:caps w:val="false"/>
                <w:smallCaps w:val="false"/>
              </w:rPr>
            </w:pPr>
            <w:r>
              <w:rPr>
                <w:caps w:val="false"/>
                <w:smallCaps w:val="false"/>
              </w:rPr>
              <w:drawing>
                <wp:inline distT="0" distB="0" distL="0" distR="0">
                  <wp:extent cx="2590800" cy="17526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590800" cy="1752600"/>
                          </a:xfrm>
                          <a:prstGeom prst="rect">
                            <a:avLst/>
                          </a:prstGeom>
                        </pic:spPr>
                      </pic:pic>
                    </a:graphicData>
                  </a:graphic>
                </wp:inline>
              </w:drawing>
            </w:r>
          </w:p>
        </w:tc>
        <w:tc>
          <w:tcPr>
            <w:tcW w:w="4110" w:type="dxa"/>
            <w:tcBorders/>
            <w:shd w:fill="FFFFFF" w:val="clear"/>
            <w:vAlign w:val="center"/>
          </w:tcPr>
          <w:p>
            <w:pPr>
              <w:pStyle w:val="TableContents"/>
              <w:bidi w:val="0"/>
              <w:spacing w:before="0" w:after="283"/>
              <w:jc w:val="center"/>
              <w:rPr>
                <w:caps w:val="false"/>
                <w:smallCaps w:val="false"/>
              </w:rPr>
            </w:pPr>
            <w:r>
              <w:rPr>
                <w:caps w:val="false"/>
                <w:smallCaps w:val="false"/>
              </w:rPr>
              <w:drawing>
                <wp:inline distT="0" distB="0" distL="0" distR="0">
                  <wp:extent cx="2600325" cy="1590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600325" cy="1590675"/>
                          </a:xfrm>
                          <a:prstGeom prst="rect">
                            <a:avLst/>
                          </a:prstGeom>
                        </pic:spPr>
                      </pic:pic>
                    </a:graphicData>
                  </a:graphic>
                </wp:inline>
              </w:drawing>
            </w:r>
          </w:p>
        </w:tc>
      </w:tr>
    </w:tbl>
    <w:p>
      <w:pPr>
        <w:pStyle w:val="TextBody"/>
        <w:bidi w:val="0"/>
        <w:jc w:val="center"/>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protective and safety garments, we understand the importance and need for fitted safety apparels. That is why we proudly offer custom-tailoring services for our wide selection of apparels to meet the discerning demands of corporate or individual clients. Each garment is tailored with inherently Flame Retardant fabric (Nomex or Daletec brand), FR thread and accessories, the leading fabric for high risk heat and flame protection that can withstand hazardous working conditions such as extreme heat, fires and corrosive chemicals.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advantages of PYROSUIT</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SAFEFITT</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Brand tailoring includes:</w:t>
      </w:r>
    </w:p>
    <w:p>
      <w:pPr>
        <w:pStyle w:val="TextBody"/>
        <w:bidi w:val="0"/>
        <w:spacing w:before="0" w:after="0"/>
        <w:ind w:left="0" w:right="0" w:hanging="0"/>
        <w:jc w:val="both"/>
        <w:rPr>
          <w:caps w:val="false"/>
          <w:smallCaps w:val="false"/>
        </w:rPr>
      </w:pPr>
      <w:r>
        <w:rPr>
          <w:caps w:val="false"/>
          <w:smallCaps w:val="false"/>
        </w:rPr>
        <w:t> </w:t>
      </w:r>
    </w:p>
    <w:tbl>
      <w:tblPr>
        <w:tblW w:w="3295" w:type="dxa"/>
        <w:jc w:val="left"/>
        <w:tblInd w:w="0" w:type="dxa"/>
        <w:shd w:fill="FFFFFF" w:val="clear"/>
        <w:tblLayout w:type="fixed"/>
        <w:tblCellMar>
          <w:top w:w="0" w:type="dxa"/>
          <w:left w:w="0" w:type="dxa"/>
          <w:bottom w:w="0" w:type="dxa"/>
          <w:right w:w="0" w:type="dxa"/>
        </w:tblCellMar>
      </w:tblPr>
      <w:tblGrid>
        <w:gridCol w:w="75"/>
        <w:gridCol w:w="170"/>
        <w:gridCol w:w="305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30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Permanent, dependable protection</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30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Self-extinguishing and does not burn</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30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Non-break-open protection</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30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chemical resistance</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30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Long-wear life and lower cost</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30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Reduces static</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30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Comfort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914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943600" cy="9144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the distributors of the following personal protection equipment (PPE) products: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315200" cy="435229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315200" cy="435229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896225" cy="58197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896225" cy="58197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Foam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foam blending facility in Malaysia allows for the manufacture of multiple foam concentrate products. Marketing all types of foam ancillary equipment and valves, we are able to provide the designing, installation, testing and commissioning of all foam systems. Fitters Sdn. Bhd. is a non-exclusive authorized distributor in Malaysia of SKUM and CHEMGUARD (USA) brand foam agents and foam hardware, both of which are brand names of Johnson Controls International plc (NYSE: JCI), pursuant to authorized distributor letters issued by Tyco Fire &amp; Building Products Asia Pte Ltd, an affiliate of Johnson Controls International plc. For a detailed description of this and other material supplier relationships, including the term, renewal, termination, revenue and cost structure, and liability and indemnification provisions of these authorized distributor letters, see “</w:t>
      </w:r>
      <w:r>
        <w:rPr>
          <w:rFonts w:ascii="Times New Roman;Times;Serif" w:hAnsi="Times New Roman;Times;Serif"/>
          <w:b w:val="false"/>
          <w:i/>
          <w:caps w:val="false"/>
          <w:smallCaps w:val="false"/>
          <w:sz w:val="20"/>
        </w:rPr>
        <w:t>Material Supplier Relationships</w:t>
      </w:r>
      <w:r>
        <w:rPr>
          <w:rFonts w:ascii="Times New Roman;Times;Serif" w:hAnsi="Times New Roman;Times;Serif"/>
          <w:b w:val="false"/>
          <w:i w:val="false"/>
          <w:caps w:val="false"/>
          <w:smallCaps w:val="false"/>
          <w:sz w:val="20"/>
        </w:rPr>
        <w:t>” below.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Supplier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Fitters is a non-exclusive authorized distributor, for the territory of Malaysia, of (i) SKUM and CHEMGUARD brand foam agents, SKUM water and foam monitors, and CHEMGUARD foam hardware, and (ii) TYCO brand sprinklers, spray nozzles, valves and accessories. SKUM, CHEMGUARD and TYCO are each brand names of Johnson Controls International plc (NYSE: JCI). Fitters’ authorized distributor status for these product lines is evidenced by a series of authorized distributor letters and certificates issued to Fitters by Tyco Fire &amp; Building Products Asia Pte Ltd, an affiliate of Johnson Controls International plc, most recently on April 28, 2025 (with respect to the SKUM and CHEMGUARD products) and April 28, 2025 and July 6, 2026 (with respect to the TYCO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Term and Renewal</w:t>
      </w:r>
      <w:r>
        <w:rPr>
          <w:rFonts w:ascii="Times New Roman;Times;Serif" w:hAnsi="Times New Roman;Times;Serif"/>
          <w:b w:val="false"/>
          <w:i w:val="false"/>
          <w:caps w:val="false"/>
          <w:smallCaps w:val="false"/>
          <w:sz w:val="20"/>
        </w:rPr>
        <w:t>. Each authorized distributor letter and certificate is, by its terms, valid for a period of twelve (12) months from its date of issuance. Consistent with this practice, Fitters’ authorization to distribute the SKUM and CHEMGUARD products and the TYCO products has historically been reissued by Tyco Fire &amp; Building Products Asia Pte Ltd on an annual basis (for example, the TYCO sprinkler distributor letter and certificate issued on April 28, 2025 was superseded by a renewed letter and certificate issued on July 6, 2026). The letters and certificates do not provide for any term beyond twelve months, and there is no assurance that Tyco Fire &amp; Building Products Asia Pte Ltd will continue to reissue or renew Fitters’ authorized distributor status upon the expiration of the current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Termination</w:t>
      </w:r>
      <w:r>
        <w:rPr>
          <w:rFonts w:ascii="Times New Roman;Times;Serif" w:hAnsi="Times New Roman;Times;Serif"/>
          <w:b w:val="false"/>
          <w:i w:val="false"/>
          <w:caps w:val="false"/>
          <w:smallCaps w:val="false"/>
          <w:sz w:val="20"/>
        </w:rPr>
        <w:t>. The authorized distributor letters and certificates do not contain an express early termination right, notice period, or cure mechanism. Instead, each letter and certificate simply expires automatically at the end of its twelve-month term. Tyco Fire &amp; Building Products Asia Pte Ltd retains sole discretion whether to issue a new letter or certificate to Fitters upon expiration, and it may decline to do so, or may condition any renewal on different terms, at any time and without cause.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Revenue, Fee and Cost Structure</w:t>
      </w:r>
      <w:r>
        <w:rPr>
          <w:rFonts w:ascii="Times New Roman;Times;Serif" w:hAnsi="Times New Roman;Times;Serif"/>
          <w:b w:val="false"/>
          <w:i w:val="false"/>
          <w:caps w:val="false"/>
          <w:smallCaps w:val="false"/>
          <w:sz w:val="20"/>
        </w:rPr>
        <w:t>. The authorized distributor letters and certificates do not establish any minimum purchase commitment, license fee, royalty, or revenue-sharing arrangement between Fitters and Tyco Fire &amp; Building Products Asia Pte Ltd. Fitters purchases SKUM, CHEMGUARD and TYCO branded products from Tyco Fire &amp; Building Products Asia Pte Ltd on a purchase-order basis at prevailing wholesale prices, and Fitters independently determines the pricing, marketing, and terms on which it designs, installs, sells, and services these products for its own customers in Malaysia, retaining all revenue generated from those sales and installation and service activities. Fitters bears its own costs of inventory, installation, and after-sale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Liability and Indemnification</w:t>
      </w:r>
      <w:r>
        <w:rPr>
          <w:rFonts w:ascii="Times New Roman;Times;Serif" w:hAnsi="Times New Roman;Times;Serif"/>
          <w:b w:val="false"/>
          <w:i w:val="false"/>
          <w:caps w:val="false"/>
          <w:smallCaps w:val="false"/>
          <w:sz w:val="20"/>
        </w:rPr>
        <w:t>. The authorized distributor letters and certificates contain an indemnification obligation running from Fitters to Tyco Fire &amp; Building Products Asia Pte Ltd or Johnson Controls International plc. Each letter and certificate provides that products purchased through Fitters carry the manufacturer’s standard product warranty and that Fitters receives full technical support, and, with respect to the SKUM and CHEMGUARD products, that Fitters’ employees have been trained and certified in the design, supply, installation, testing, commissioning and service of the applicable products. Fitters remains responsible for its own design, installation and service work with respect to these products and maintains its own product and general liability insurance, as described elsewhere in this proxy statement/prospectus under “</w:t>
      </w:r>
      <w:r>
        <w:rPr>
          <w:rFonts w:ascii="Times New Roman;Times;Serif" w:hAnsi="Times New Roman;Times;Serif"/>
          <w:b w:val="false"/>
          <w:i/>
          <w:caps w:val="false"/>
          <w:smallCaps w:val="false"/>
          <w:sz w:val="20"/>
        </w:rPr>
        <w:t>Risk Factors—We may be subject to product liability or warranty claims that could require us to make significant 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Other Material Supplier Relationships</w:t>
      </w:r>
      <w:r>
        <w:rPr>
          <w:rFonts w:ascii="Times New Roman;Times;Serif" w:hAnsi="Times New Roman;Times;Serif"/>
          <w:sz w:val="20"/>
        </w:rPr>
        <w:t>. Other than the relationship with Tyco Fire &amp; Building Products Asia Pte Ltd and Johnson Controls International plc described above, no single supplier individually accounts for a material portion of our purchases of specialty products, fire retardant products, or other components. We source personal protective equipment, fire extinguisher components, fire-resistant door components, and other specialty products from a number of third-party manufacturers, none of which we consider individually material to our business, and none of which has entered into an agreement with us containing minimum purchase commitments, exclusivity provisions, or other terms that we believe rise to the level of a material contract required to be filed under Item 601(b)(10)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14192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943600" cy="14192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Fire-X Fire Extinguishers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Big Extinguisher in a small can – more effective than a traditional fire extinguisher on most common fires. Our Fitters Fire-X fire extinguishers are simple to use can and spray nozzle design makes fighting fires fast and easy. Our extinguishers serve commercial, industrial, residential and government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16192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943600" cy="16192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Big Extinguisher is recommended for all daily fire suppression needs including: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13525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943600" cy="13525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Market Drivers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Malaysian fire safety and protection industry plays a crucial role in safeguarding lives and property. This sector encompasses a wide range of services, including fire detection, suppression, and prevention, as well as the manufacturing and maintenance of fire protection equipment. The fire safety and protection industry in Malaysia operates within a robust economic and regulatory framework, driven by global and regional market trends. Below, we outline key factors shaping the industry, as informed by analyses of the Malaysian economy, fire protection systems, passive fire protection, and emerging fire safety challenges related to electric vehicles (EVs).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fire safety segment in Malaysia is currently experiencing solid growth, with a projected compound annual growth rate (CAGR) of approximately 7.6% to 8.75% through 2030 and beyond according to a report titled, “</w:t>
      </w:r>
      <w:r>
        <w:rPr>
          <w:rFonts w:ascii="Times New Roman;Times;Serif" w:hAnsi="Times New Roman;Times;Serif"/>
          <w:b w:val="false"/>
          <w:i/>
          <w:caps w:val="false"/>
          <w:smallCaps w:val="false"/>
          <w:sz w:val="20"/>
        </w:rPr>
        <w:t>Malaysia Fire Protection System Market Report Size Share Growth Drivers Trends Opportunities &amp; Forecast 2025–2030</w:t>
      </w:r>
      <w:r>
        <w:rPr>
          <w:rFonts w:ascii="Times New Roman;Times;Serif" w:hAnsi="Times New Roman;Times;Serif"/>
          <w:b w:val="false"/>
          <w:i w:val="false"/>
          <w:caps w:val="false"/>
          <w:smallCaps w:val="false"/>
          <w:sz w:val="20"/>
        </w:rPr>
        <w:t>,” by Ken Research.</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Key drivers for this market are centered around regulatory evolution, rapid infrastructure expansion, increasing safety awareness, and a significant shift toward digital and eco-friendly technologies. There are several key market drivers for our business in the fire safety segment:</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Stricter Regulatory Frameworks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framework for fire safety in Malaysia is anchored in the Fire Services Act 1988 and related by-laws, under which the Fire and Rescue Department of Malaysia (“BOMBA”) enforces requirements for fire alarms, detection, suppression systems, extinguishers, and means of escape in designated building types. In parallel, the Uniform Building By-Laws under the Street, Drainage and Building Act mandate the provision, installation, and periodic inspection of fire safety equipment in commercial, industrial, high-rise residential, and public buildings as a condition for building plan approval and occupancy certification, thereby structurally supporting demand for fire safety equipment across sectors.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Mandatory Compliance</w:t>
      </w:r>
      <w:r>
        <w:rPr>
          <w:rFonts w:ascii="Times New Roman;Times;Serif" w:hAnsi="Times New Roman;Times;Serif"/>
          <w:b w:val="false"/>
          <w:i w:val="false"/>
          <w:caps w:val="false"/>
          <w:smallCaps w:val="false"/>
          <w:sz w:val="20"/>
        </w:rPr>
        <w:t>: The Fire Services Act 1988 and Uniform Building By-Laws (UBBL) serve as the primary legal anchors, mandating fire alarms, detection, and suppression systems for building plan approvals.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BOMBA Enforcement</w:t>
      </w:r>
      <w:r>
        <w:rPr>
          <w:rFonts w:ascii="Times New Roman;Times;Serif" w:hAnsi="Times New Roman;Times;Serif"/>
          <w:b w:val="false"/>
          <w:i w:val="false"/>
          <w:caps w:val="false"/>
          <w:smallCaps w:val="false"/>
          <w:sz w:val="20"/>
        </w:rPr>
        <w:t xml:space="preserve">: Stricter enforcement by the BOMBA now requires specialized certifications, such as the </w:t>
      </w:r>
      <w:r>
        <w:rPr>
          <w:rFonts w:ascii="Times New Roman;Times;Serif" w:hAnsi="Times New Roman;Times;Serif"/>
          <w:b w:val="false"/>
          <w:i/>
          <w:caps w:val="false"/>
          <w:smallCaps w:val="false"/>
          <w:sz w:val="20"/>
        </w:rPr>
        <w:t>Sijil Perakuan Bahan BOMBA</w:t>
      </w:r>
      <w:r>
        <w:rPr>
          <w:rFonts w:ascii="Times New Roman;Times;Serif" w:hAnsi="Times New Roman;Times;Serif"/>
          <w:b w:val="false"/>
          <w:i w:val="false"/>
          <w:caps w:val="false"/>
          <w:smallCaps w:val="false"/>
          <w:sz w:val="20"/>
        </w:rPr>
        <w:t xml:space="preserve"> for fire doors, ensuring only compliant products are used.</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Insurance Requirements</w:t>
      </w:r>
      <w:r>
        <w:rPr>
          <w:rFonts w:ascii="Times New Roman;Times;Serif" w:hAnsi="Times New Roman;Times;Serif"/>
          <w:b w:val="false"/>
          <w:i w:val="false"/>
          <w:caps w:val="false"/>
          <w:smallCaps w:val="false"/>
          <w:sz w:val="20"/>
        </w:rPr>
        <w:t>: Many insurance providers in Malaysia now offer lower premiums or mandate high-standard fire suppression systems as a prerequisite for coverage, particularly in commercial and industrial sectors.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Infrastructure &amp; Urban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Construction Growth: Malaysia’s construction sector is projected to reach RM 220 billion. Rapid urbanization in the Klang Valley, Johor, and Penang is driving demand for high-rise residential and mixed-use commercial protection.</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Industrial Specialization: The rise of data centers, electronics manufacturing, and logistics hubs (e-commerce) is creating a surge in demand for specialized fire stopping and clean-agent suppression systems to protect high-value assets.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Retrofit Market: Aging urban infrastructure presents a major opportunity for wireless fire alarm systems and retrofit fire stopping, as they are easier to install in existing buildings without major disruption.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Increased Safety Awareness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Public/Private Awareness: High-profile fire incidents have led to increased budgetary allocations for fire prevention from both the government and private entities.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Employee Safety: Growing corporate emphasis on workplace safety and adherence to international standards like NFPA or ISO is driving the installation of high-performance systems in the manufacturing sector.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Technological Innovations (Fire Safety 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Internet of Things (“IoT”) &amp; Smart Systems: There is a 35% increase in the adoption of IoT-enabled fire safety solutions. Real-time monitoring and integration with Building Management Systems (“BMS”) are becoming standard for modern office complexes.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Advanced Detection: Shift toward addressable/intelligent panels and AI-powered fire detection that minimizes false alarms while providing faster response times.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Eco-Friendly Solutions: Growing demand for sustainable fire safety, including fluorine-free suppression agents and low-VOC firestop products, aligned with Malaysia’s Green Building Index (“GBI”).</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See https://www.kenresearch.com/malaysia-fire-protection-system-market.</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Malaysian fire safety and protection industry plays a crucial role in safeguarding lives and property. This sector encompasses a wide range of services, including fire detection, suppression, and prevention, as well as the manufacturing and maintenance of fire protection equipment. The fire safety and protection industry in Malaysia operates within a robust economic and regulatory framework, driven by global and regional market trends. Below, we outline key factors shaping the industry, as informed by analyses of the Malaysian economy, fire protection systems, passive fire protection, and emerging fire safety challenges related to electric vehicles (EVs).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Malaysian Economy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Malaysian economy performed strongly in 2025, exceeding most initial projections despite a challenging global trade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Annual Growth: The economy expanded by 4.9% for the full year 2025. This surpassed the official government and central bank (Bank Negara Malaysia) forecast range of 4.0% to 4.8%.</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Quarterly Momentum: Growth peaked in the fourth quarter (Q4 2025) with a 5.7% year-on-year expansion, driven by robust performance in services, manufacturing, and a surge in construction.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Key Sectors: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Services: Advanced by 5.4%, remaining the largest contributor.</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Construction: Grew by 11.9%, fueled by major infrastructure and private projects.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Manufacturing: Expanded by 6.0%, supported by a rebound in the electrical and electronics (E&amp;E) sector.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Trade and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Record Trade: Total trade hit a historic high of RM3.1 trillion in 2025, the first time it has crossed the RM3 trillion mark.</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Exports: Rose 6.5% for the year, with a significant 49% surge in shipments to the U.S. in December, primarily in E&amp;E and scientific equipment.</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Foreign Direct Investment (FDI): Malaysia remained a key destination for supply chain realignments, particularly in semiconductor manufacturing and data centers.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Inflation and Monetary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Inflation: Headline inflation remained moderate, averaging 1.4% for the year, the lowest since 2020.</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Interest Rates: Bank Negara Malaysia maintained the Overnight Policy Rate (OPR) at 2.75% for much of the year, though a preemptive cut occurred in July to head off external uncertainties.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Currency: The Ringgit held steady against the US dollar (ending near RM4.2070) and was among Asia’s top-performing currencies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Fiscal and Structural Reforms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Subsidy Rationalization: A major milestone was the rationalization of RON95 fuel subsidies (the BUDI95 program) starting September 30, 2025, which is expected to save the government RM2.5 billion to RM4 billion annually.</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Fiscal Deficit: The government met its target of reducing the fiscal deficit to 3.8% of GDP.</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Labor Market: Unemployment fell to 2.9% by late 2025, the lowest level in 11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2026, the government projects a slightly moderated growth range of 4.0% to 4.5% as global trade normalization and potential tariff impacts take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Fire Protection System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fire protection system market is experiencing steady expansion, valued at approximately USD 85.06 billion to USD 86.46 billion in 2025. This baseline forms the foundation for a market projected to reach between USD 93.83 billion and USD 134.37 billion by 2030, growing at a compound annual growth rate (CAGR) of 6.8% to 9.4% according to a July 2026 report titled “</w:t>
      </w:r>
      <w:r>
        <w:rPr>
          <w:rFonts w:ascii="Times New Roman;Times;Serif" w:hAnsi="Times New Roman;Times;Serif"/>
          <w:b w:val="false"/>
          <w:i/>
          <w:caps w:val="false"/>
          <w:smallCaps w:val="false"/>
          <w:sz w:val="20"/>
        </w:rPr>
        <w:t>Fire Protection System Market Report 2026: Global Outlook – By Type (Active Fire Protection Systems, Passive Fire Protection Systems), By Services (Managed Service, Installation And Design Service, Maintenance Service, Other Services), By End-User (Commercial, Industrial, Governmental, Institutional, Other End-Users) – Market Size, Trends, Strategies, and Forecast to 2035</w:t>
      </w:r>
      <w:r>
        <w:rPr>
          <w:rFonts w:ascii="Times New Roman;Times;Serif" w:hAnsi="Times New Roman;Times;Serif"/>
          <w:b w:val="false"/>
          <w:i w:val="false"/>
          <w:caps w:val="false"/>
          <w:smallCaps w:val="false"/>
          <w:sz w:val="20"/>
        </w:rPr>
        <w:t>” by The Business Research Company.</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The key market drivers for the global fire protection system include: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Regulatory Rigor: Stringent government mandates and building codes (e.g., NFPA and ISO standards) are the primary force driving system installations in new and existing structures.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Infrastructure Growth: Massive global urbanization and the rise of high-density residential and commercial projects, especially in emerging economies, are creating high demand.</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Technological Integration: The shift toward “Fire Safety 4.0” involves integrating IoT-enabled sensors, AI-driven monitoring, and wireless detection systems into Smart Building Management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 Fire Safety Equipment Market is valued at USD 1.1 billion, based on a five-year historical analysis, in line with the size of the Malaysia fire protection system market which is driven by similar product categories and demand drivers. This growth is primarily driven by increasing urbanization, stringent safety regulations, and rising awareness of fire safety among businesses and consumers, as highlighted by strong uptake of fire protection systems across commercial, industrial, and high-rise residential sectors. The market has seen a surge in demand for advanced fire safety solutions, including smart technologies and integrated systems, as organizations prioritize safety, insurance requirements, and compliance with building by-laws through adoption of IoT-enabled and integrated building management-linked fire systems.</w:t>
      </w:r>
      <w:r>
        <w:rPr>
          <w:rFonts w:ascii="Times New Roman;Times;Serif" w:hAnsi="Times New Roman;Times;Serif"/>
          <w:b w:val="false"/>
          <w:i w:val="false"/>
          <w:caps w:val="false"/>
          <w:smallCaps w:val="false"/>
          <w:position w:val="7"/>
          <w:sz w:val="16"/>
          <w:sz w:val="20"/>
        </w:rPr>
        <w:t>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cities such as Kuala Lumpur, Penang, and Johor Bahru dominate the market due to their rapid industrialization and urban development, consistent with broader trends where major urban and industrial corridors lead demand for fire protection solutions. These urban centers are experiencing significant growth in commercial and residential construction, leading to heightened demand for fire safety equipment, including detection, suppression, and passive protection products for high-rise, mixed-use, and industrial developments. Additionally, the presence of major corporations and government institutions in these areas further drives the market’s expansion, supported by compliance with national building by-laws and insurance-driven fire protection requirements in offices, logistics hubs, healthcare, education, and public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 Segmentation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By Product: Fire suppression systems (sprinklers, gas, and foam) are the largest segment due to their critical role in protecting high-value industrial and data center assets.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By Vertical: The commercial sector (healthcare, retail, and offices) holds the largest revenue share, while the industrial sector (oil &amp; gas, manufacturing) is expected to grow the fastest due to high operational risks.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By Service: Maintenance and inspection services are growing rapidly as building owners must validate system performance to remain compliant with insurance and safety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See </w:t>
      </w:r>
      <w:r>
        <w:rPr>
          <w:rFonts w:ascii="Times New Roman;Times;Serif" w:hAnsi="Times New Roman;Times;Serif"/>
          <w:b w:val="false"/>
          <w:i w:val="false"/>
          <w:caps w:val="false"/>
          <w:smallCaps w:val="false"/>
          <w:sz w:val="20"/>
          <w:u w:val="single"/>
        </w:rPr>
        <w:t>https://www.thebusinessresearchcompany.com/report/fire-protection-system-global-market-report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See https://www.kenresearch.com/malaysia-fire-safety-equipment-market.</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Regional Outlook for the Fire Protection System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North America: Currently the largest market by revenue, driven by mature fire safety codes and a high volume of smart building retrofits.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Asia-Pacific: Set to be the fastest-growing region, particularly in China, India, and Japan, due to rapid industrialization and ambitious infrastructure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Malaysia Passive Fire Protection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 passive fire protection (PFP) market is entering a pivotal year in 2026, characterized by a major shift toward self-regulation and full enforcement of fire safety standards. The market is projected to grow at a CAGR of 3.3% through 2033, driven by infrastructure projects and stricter building mandates. The market performance and projections for Malaysia include: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Revenue Growth: The market generated approximately USD 48.76 million in 2025 and is expected to reach USD 62.8 million by 2033.</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Dominant Segment: Cementitious materials (fireproofing sprays and plasters) remain the largest product segment, accounting for over 45% of market revenue.</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Fastest Growing Segment: Intumescent coatings are the fastest-growing category, driven by demand for aesthetic and lightweight fire protection in modern high-rise and commercial architecture.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457825" cy="2733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457825" cy="27336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Malaysian Key 2026 Market Drivers &amp; Regulatory Shifts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Malaysian landscape is being redefined by two major regulatory milestones taking effect in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Full Fire Certificate (FC) Enforcement: Starting in the first quarter of 2026, the Malaysian Fire and Rescue Department (JBPM/BOMBA) will begin full enforcement of Fire Certificate requirements for designated premises, including hospitals, hotels, and factories. Non-compliant owners face fines up to RM 50,000 or imprisonment.</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Mandatory Fire Drills: Beginning January 1, 2026, buildings in nine designated categories must conduct mandatory fire drills to renew their fire certification.</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New Self-Regulation Framework: In a significant policy shift effective January 1, 2026, certified Fire Safety Managers and Officers will be granted authority to perform internal inspections and issue technical reports, moving away from mandatory annual physical inspections by BOMBA to a periodic audit system every 2–3 years.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Malaysian Emerging Trends and Industry Focus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Construction Expansion: The continuation of major transport and logistics projects under the 12th Malaysia Plan is a primary driver for industrial fireproofing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Technological Integration: Leading players like Hilti Malaysia have launched 2026 initiatives focused on “Safety First” and productivity through innovative fire-stopping systems and digital tools.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Sustainability: There is a growing preference for eco-friendly, low-toxicity fire-stopping products to align with Malaysia’s green building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Data Center Growth: Rapid development of data centers in the Klang Valley and Johor is creating niche demand for high-performance fire-stopping and cable protection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Fire Safety Implications of Electric Vehicles (EVs) in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rise of EVs in Malaysia presents new fire safety challenges, as outlined by the Malaysian Fire Protection Association on February 17, 2025. In 2025, </w:t>
      </w:r>
      <w:r>
        <w:rPr>
          <w:rFonts w:ascii="Times New Roman;Times;Serif" w:hAnsi="Times New Roman;Times;Serif"/>
          <w:b w:val="false"/>
          <w:i w:val="false"/>
          <w:caps w:val="false"/>
          <w:smallCaps w:val="false"/>
          <w:sz w:val="20"/>
          <w:u w:val="single"/>
        </w:rPr>
        <w:t>Malaysia</w:t>
      </w:r>
      <w:r>
        <w:rPr>
          <w:rFonts w:ascii="Times New Roman;Times;Serif" w:hAnsi="Times New Roman;Times;Serif"/>
          <w:b w:val="false"/>
          <w:i w:val="false"/>
          <w:caps w:val="false"/>
          <w:smallCaps w:val="false"/>
          <w:sz w:val="20"/>
        </w:rPr>
        <w:t>’s EV market experienced a historic surge, with registrations more than doubling to reach 44,813 units, a 105.7% increase from 21,789 units in 2024. Lithium-ion battery systems in EVs pose unique fire hazards, burning at higher temperatures than conventional vehicle fires and risking structural damage to steel and concrete.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growing EV infrastructure in Malaysia adds complexity to the fire risk landscape. As of year-end 2025, the country has installed approximately 5,624 EV charging units, spanning all states and federal territories except Labuan. These include 1,791 direct current (DC) fast chargers and 3,569 alternating current (AC) chargers. Selangor leads with approximately 1,912 chargers, followed by Kuala Lumpur (1,462), Penang (600+), and Johor (550+). With the number of EV charging points steadily increasing, fire safety at these stations becomes a critical issue. The Ministry of Investment, Trade and Industry (MITI) has projected that Malaysia will reach 10,000 public EV charging points by the end of 2026 comprised of 8,500 AC chargers and 1,500 DC chargers, a key part of the Low Carbon Mobility Blueprint 2021-2030. Industry associations like the </w:t>
      </w:r>
      <w:r>
        <w:rPr>
          <w:rFonts w:ascii="Times New Roman;Times;Serif" w:hAnsi="Times New Roman;Times;Serif"/>
          <w:b w:val="false"/>
          <w:i w:val="false"/>
          <w:caps w:val="false"/>
          <w:smallCaps w:val="false"/>
          <w:sz w:val="20"/>
          <w:u w:val="single"/>
        </w:rPr>
        <w:t>Malaysia Zero Emission Vehicle Association (MyZEVA)</w:t>
      </w:r>
      <w:r>
        <w:rPr>
          <w:rFonts w:ascii="Times New Roman;Times;Serif" w:hAnsi="Times New Roman;Times;Serif"/>
          <w:b w:val="false"/>
          <w:i w:val="false"/>
          <w:caps w:val="false"/>
          <w:smallCaps w:val="false"/>
          <w:sz w:val="20"/>
        </w:rPr>
        <w:t xml:space="preserve"> estimate the remaining 8,500 AC chargers will be in place by Q3 2026. However, as the EV fleet grows, ensuring these charging points are equipped to handle potential fire hazards is essential.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2023 to July 2025, the </w:t>
      </w:r>
      <w:r>
        <w:rPr>
          <w:rFonts w:ascii="Times New Roman;Times;Serif" w:hAnsi="Times New Roman;Times;Serif"/>
          <w:b w:val="false"/>
          <w:i w:val="false"/>
          <w:caps w:val="false"/>
          <w:smallCaps w:val="false"/>
          <w:sz w:val="20"/>
          <w:u w:val="single"/>
        </w:rPr>
        <w:t>Malaysian Fire and Rescue Department (JBPM)</w:t>
      </w:r>
      <w:r>
        <w:rPr>
          <w:rFonts w:ascii="Times New Roman;Times;Serif" w:hAnsi="Times New Roman;Times;Serif"/>
          <w:b w:val="false"/>
          <w:i w:val="false"/>
          <w:caps w:val="false"/>
          <w:smallCaps w:val="false"/>
          <w:sz w:val="20"/>
        </w:rPr>
        <w:t xml:space="preserve"> recorded 27 fire incidents involving EVs and hybrids, averaging roughly 10 cases annually. Notable incidents, such as the December 2025 fire caused by two EVs at a home in </w:t>
      </w:r>
      <w:r>
        <w:rPr>
          <w:rFonts w:ascii="Times New Roman;Times;Serif" w:hAnsi="Times New Roman;Times;Serif"/>
          <w:b w:val="false"/>
          <w:i w:val="false"/>
          <w:caps w:val="false"/>
          <w:smallCaps w:val="false"/>
          <w:sz w:val="20"/>
          <w:u w:val="single"/>
        </w:rPr>
        <w:t>Section 19, Petaling Jaya</w:t>
      </w:r>
      <w:r>
        <w:rPr>
          <w:rFonts w:ascii="Times New Roman;Times;Serif" w:hAnsi="Times New Roman;Times;Serif"/>
          <w:b w:val="false"/>
          <w:i w:val="false"/>
          <w:caps w:val="false"/>
          <w:smallCaps w:val="false"/>
          <w:sz w:val="20"/>
        </w:rPr>
        <w:t>, causing damage to the vehicles and part of the house structure, an October 2025 EV fire in front of the Temoh Police Station in Perak, and a December 31, 2023, EV fire in Johor, Malaysia that destroyed 90% of a vehicle and damaged a showroom, underscore these risks, particularly in enclosed spaces like urban parking lots. These developments necessitate advanced fire suppression systems and specialized training for first responders to mitigate EV-related fire risks, creating opportunities for our fire safety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rise of EVs in Malaysia is an important step toward sustainability, but it also presents new fire safety challenges. As more EVs hit the roads and charging infrastructure expands, fire safety professionals must stay ahead of these developments. Adopting advanced suppression systems, improving building designs, and promoting safe charging practices are essential steps to ensure that the benefits of EV adoption do not come at the cost of safety. Malaysia’s evolving infrastructure must be equipped to handle the growing presence of EVs. With proactive measures in place, the fire safety community can help mitigate the risks and ensure a safer future as we transition to cleaner, greener transportation solutions. To better prepare for these challenges, fire safety professionals must also receive specialized training. Fire safety training services are designed to help first responders, building managers, and safety personnel understand the nuances of lithium-ion battery fires and EV-specific risks. (</w:t>
      </w:r>
      <w:r>
        <w:rPr>
          <w:rFonts w:ascii="Times New Roman;Times;Serif" w:hAnsi="Times New Roman;Times;Serif"/>
          <w:b w:val="false"/>
          <w:i/>
          <w:caps w:val="false"/>
          <w:smallCaps w:val="false"/>
          <w:sz w:val="20"/>
        </w:rPr>
        <w:t>Source: Malaysian Fire Protection Association: The Rise of EVs and Its Fire Safety Implications for Malaysia, posted on 17 February 2025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Beyond the immediate threat to life, EV fires pose serious risks to infrastructure. Lithium-ion battery fires burn at higher temperatures than conventional vehicle fires, potentially compromising the structural integrity of surrounding materials, including steel and concrete. Other structural risks include: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Heat Intensity: The extreme heat from these fires can weaken load-bearing elements in buildings, particularly in enclosed spaces like underground parking lots.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Toxic Smoke: Fires involving lithium-ion batteries release hazardous gases, such as hydrogen fluoride, which can quickly fill confined areas and pose health risks to both building occupants and first responders.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Re-Ignition Potential: One of the most dangerous aspects of lithium-ion battery fires is their tendency to reignite even after they appear to have been extinguished. This makes them particularly hazardous in enclosed or difficult-to-access spaces, where containment is challenging.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dense urban areas or facilities with limited ventilation, such as underground garages, these risks are amplified. Poor ventilation and inadequate fire suppression systems can lead to catastrophic outcomes. For fire safety professionals, adapting current protocols to address the specific hazards of EV fires is critical. Existing systems designed for traditional vehicle fires may not be sufficient to combat the unique risks of lithium-ion batteries. Key mitigation strategies include fire detection and suppression systems in high- risk areas, such as underground parking lots, must be upgraded. Specialized equipment, such as water mist systems are required to effectively penetrate battery casings and cool the cells, preventing thermal runaway from escalating.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Relevance to Fitters Sdn. Bhd.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Malaysia’s economic growth and infrastructure expansion drive demand for our fire safety equipment, particularly in construction and commercial sectors. The global and Malaysian fire protection markets’ growth supports our distribution of certified products like fire extinguishers and PPE, while the EV trend highlights the need for innovative solutions, aligning with our strategic focus. However, price competition and regulatory compliance remain challenges, which we address through quality certifications and supplier relationships.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2047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943600" cy="20478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Strengths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rapid growth of the construction industry is one of the major drivers of the fire protection systems market. The increasing demand for new and innovative buildings is resulting in an increase in the number of fire incidents. Additionally, the increasing trend of green building and the growing awareness of the importance of fire safety are also contributing to the growth of this market. Investment in research and development (R&amp;D) is also a key factor driving the growth of this market. Various new technologies are being developed to improve the performance of fire protection systems. This is resulting in increased innovation and adoption of new fire protection systems. The increasing popularity of retrofitting fire protection systems is also contributing to the growth of this market. The retrofitting option allows existing buildings to be upgraded without having to replace all of the existing infrastructure. This is resulting in significant cost savings for businesses and governments.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fire protection systems is growing rapidly, as businesses and homeowners become increasingly aware of the importance of protecting themselves and their property from fire. This is due to the increasing prevalence of fires in commercial and residential buildings, as well as the increasing awareness of the dangers of fire. The market for fire protection systems is expected to grow rapidly over the next few years, as businesses and homeowners become increasingly aware of the importance of protecting themselves and their property from fire. This is due to the increasing prevalence of fires in commercial and residential buildings, as well as the increasing awareness of the dangers of fire.</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following strengths differentiate Fitters Sdn. Bhd. in the fire safety market include top quality products and excellent customer service as well 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Established Industry Presence: Since 1982, we have built a strong reputation as a reliable supplier of fire safety equipment, supported by our parent company’s market leadership.</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Certified Product Offerings: Our product range—including top quality products such as PYRODOR doors and FITTERS FIRE-X—is approved by BOMBA and certified by SIRIM, while our safety apparel hold certifications from both SIRIM and DOSH. These certifications ensure compliance with regulatory standards and foster customer trust.</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Broad Distribution Network: Our use of e-commerce platforms, combined with partnerships with wholesalers and authorized distributors, expands market access, distinguishing us from traditional distributors.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Strategic Supplier Relationships: Established, renewable authorized distributor relationships with reputable manufacturers, including Johnson Controls International plc (through Tyco Fire &amp; Building Products Asia Pte Ltd), support consistent product availability and quality, although these relationships are subject to annual renewal and do not include long-term supply commitments, as described under “—</w:t>
      </w:r>
      <w:r>
        <w:rPr>
          <w:rFonts w:ascii="Times New Roman;Times;Serif" w:hAnsi="Times New Roman;Times;Serif"/>
          <w:b w:val="false"/>
          <w:i/>
          <w:caps w:val="false"/>
          <w:smallCaps w:val="false"/>
          <w:sz w:val="20"/>
        </w:rPr>
        <w:t>Material Supplier Relationships</w:t>
      </w:r>
      <w:r>
        <w:rPr>
          <w:rFonts w:ascii="Times New Roman;Times;Serif" w:hAnsi="Times New Roman;Times;Serif"/>
          <w:b w:val="false"/>
          <w:i w:val="false"/>
          <w:caps w:val="false"/>
          <w:smallCaps w:val="false"/>
          <w:sz w:val="20"/>
        </w:rPr>
        <w:t>” above.</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Customer-Centric Approach: Our focus on meeting diverse customer needs, including fire safety apparel and industrial fire systems, supports loyalty and repeat business.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Strong Reputation: We have built up a strong brand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strategy focuses on expanding market share and enhancing profitability. In order to expand company revenue and market share, we will focus on the following growth strategies:</w:t>
      </w:r>
    </w:p>
    <w:p>
      <w:pPr>
        <w:pStyle w:val="TextBody"/>
        <w:bidi w:val="0"/>
        <w:spacing w:before="0" w:after="0"/>
        <w:ind w:left="0" w:right="0" w:hanging="0"/>
        <w:jc w:val="both"/>
        <w:rPr>
          <w:caps w:val="false"/>
          <w:smallCaps w:val="false"/>
        </w:rPr>
      </w:pPr>
      <w:r>
        <w:rPr>
          <w:caps w:val="false"/>
          <w:smallCaps w:val="false"/>
        </w:rPr>
        <w:t> </w:t>
      </w:r>
    </w:p>
    <w:tbl>
      <w:tblPr>
        <w:tblW w:w="9730" w:type="dxa"/>
        <w:jc w:val="left"/>
        <w:tblInd w:w="0" w:type="dxa"/>
        <w:shd w:fill="FFFFFF" w:val="clear"/>
        <w:tblLayout w:type="fixed"/>
        <w:tblCellMar>
          <w:top w:w="0" w:type="dxa"/>
          <w:left w:w="0" w:type="dxa"/>
          <w:bottom w:w="0" w:type="dxa"/>
          <w:right w:w="0" w:type="dxa"/>
        </w:tblCellMar>
      </w:tblPr>
      <w:tblGrid>
        <w:gridCol w:w="75"/>
        <w:gridCol w:w="170"/>
        <w:gridCol w:w="9485"/>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4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penetration - improving sales within existing markets by expanding reach and improving customer retention.</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4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4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development - developing new products and services to cater for existing and new customers’ needs.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4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4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Development - pursuing new geographic markets.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4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4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Diversification- expanding our product categories.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4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4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partnerships - collaboration with other companies to leverage their strengths and resources.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Drivers and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influenced by several market drivers: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Regulatory Compliance: BOMBA’s and SIRIM’s stringent standards drive demand for certified fire equipment, ensuring steady orders for our products.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Urban Development: Malaysia’s construction boom, particularly in Kuala Lumpur, increases the need for fire-resistant doors and extinguishers in new buildings.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Industry Growth: The expansion of industrial sectors, such as oil and gas, construction, manufacturing, mining, and utilities, is driving significant growth in demand for fire safety apparel, particularly flame-retardant and fire-resistant clothing.</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E-Commerce Trends: Growing online shopping in Malaysia supports our digital distribution strategy, enabling broader customer reach.</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Safety Awareness: Increased focus on workplace and residential safety fuels demand for our fire safety apparel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from leased facilities in Malaysia to support our supply and trading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Head Office: Wisma FITTERS, No. 1, Jalan Tembaga SD 5/2, Bandar Sri Damansara, 52200 Kuala Lumpur, Malaysia, serving as our operational and administrative hub.</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Registered Office: Third Floor, No. 77, 79 &amp; 81, Jalan SS21/60, Damansara Utama, 47400 Petaling Jaya, Selangor, Malaysia.</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Distribution Network: We utilize regional warehouses and logistics partners across Malaysia, coordinated from our Kuala Lumpur head office, to ensure efficient product delivery. Specific warehouse locations are managed by FITTERS Diversified Berhad’s broader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facilities support our ability to source, store, and distribute products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own patents or have pending applications, relying on certifications and supplier agreements for competitive positioning.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a total of 19 full-time employees worldwide, distributed across departments as follows:</w:t>
      </w:r>
    </w:p>
    <w:p>
      <w:pPr>
        <w:pStyle w:val="TextBody"/>
        <w:bidi w:val="0"/>
        <w:spacing w:before="0" w:after="0"/>
        <w:ind w:left="0" w:right="0" w:hanging="0"/>
        <w:jc w:val="both"/>
        <w:rPr>
          <w:caps w:val="false"/>
          <w:smallCaps w:val="false"/>
        </w:rPr>
      </w:pPr>
      <w:r>
        <w:rPr>
          <w:caps w:val="false"/>
          <w:smallCaps w:val="false"/>
        </w:rPr>
        <w:t> </w:t>
      </w:r>
    </w:p>
    <w:tbl>
      <w:tblPr>
        <w:tblW w:w="4755" w:type="dxa"/>
        <w:jc w:val="left"/>
        <w:tblInd w:w="0" w:type="dxa"/>
        <w:shd w:fill="FFFFFF" w:val="clear"/>
        <w:tblLayout w:type="fixed"/>
        <w:tblCellMar>
          <w:top w:w="0" w:type="dxa"/>
          <w:left w:w="0" w:type="dxa"/>
          <w:bottom w:w="28" w:type="dxa"/>
          <w:right w:w="0" w:type="dxa"/>
        </w:tblCellMar>
      </w:tblPr>
      <w:tblGrid>
        <w:gridCol w:w="320"/>
        <w:gridCol w:w="60"/>
        <w:gridCol w:w="1400"/>
        <w:gridCol w:w="60"/>
        <w:gridCol w:w="2915"/>
      </w:tblGrid>
      <w:tr>
        <w:trPr/>
        <w:tc>
          <w:tcPr>
            <w:tcW w:w="32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DEPARTMENT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STAFF MEMBERS</w:t>
            </w:r>
          </w:p>
        </w:tc>
      </w:tr>
      <w:tr>
        <w:trPr/>
        <w:tc>
          <w:tcPr>
            <w:tcW w:w="3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3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APPAREL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WAREHOUSE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3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3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780" w:type="dxa"/>
            <w:gridSpan w:val="3"/>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serve a diverse customer base including the following types: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Commercial and Industrial: Developers and facility managers procure our fire extinguishers and PYRODOR doors for projects like offices and factories. Industrial clients in sectors like oil &amp; gas, construction, and manufacturing rely on our fire safety apparel to protect workers and meet regulatory requirements.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Government Agencies: Public sector clients source certified fire equipment for compliance with BOMBA and SIRIM/SOH standards.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Retail Consumers: Individual buyers access our safety apparel via e-commerce platforms like Shopee for home and vehicle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broad customer mix ensures revenue stability, with strong demand from healthcare and construction sectors.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competition in a crowded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Local Distributors: Malaysian suppliers of BOMBA-certified fire equipment and SIRIM/DOSH-certified PPE compete on price and availability, challenging our margins.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International Brands: Global manufacturers with established names in fire safety and PPE, such as 3M, Dupont and Daletec, compete in Malaysia, requiring us to emphasize local expertise.</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E-Commerce Rivals: Online distributors on platforms like Shopee offer low-cost alternatives, increasing price pressure due to low entry barriers.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counter competition through certified products, reliable supply chains, and e-commerce accessibility, though pricing remains a challenge.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subject to Malaysian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Product Standards: Fire equipment and PPE must comply with BOMBA and SIRIM standards, requiring regular certification. Non-compliance risks product bans or fines.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Occupational Safety: PPE distribution adheres to regulations enforced by Malaysia’s Department of Occupational Safety and Health, ensuring end-user safety.</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Labor Policies: Foreign worker hiring for logistics is governed by immigration rules, which may raise costs or limit availability.</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Trade Regulations: Import duties and supplier compliance affect the sourcing of international products, impacting pricing.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strict compliance to avoid operational or reputational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we are not involved in any material legal proceedings that, individually or in the aggregate, are expected to significantly impact our business, financial condition, or results of operations. Routine disputes, such as supplier or customer contract issues, may arise but are managed promptly with no anticipated material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 of fire protection companies in Malaysia is primarily governed by the Fire and Rescue Department of Malaysia (BOMBA) under the Fire Services Act 1988 (Act 341). In 2026, the regulatory landscape is shifting toward a self-regulation framework aimed at increasing industry accountability. To operate legally as a fire protection service provider, a company must hold multiple specific registrations: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BOMBA Competent Organization: Only authorized “Competent Organizations” that have completed specified inspection courses can service fire extinguishers and issue the mandatory Electronic Fire Extinguisher Inspection System (eFEIS) barcode certificates.</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0" w:right="0" w:firstLine="19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CIDB Registration: Companies undertaking fire system installation or maintenance must register with the Construction Industry Development Board (CIDB).</w:t>
      </w:r>
    </w:p>
    <w:p>
      <w:pPr>
        <w:pStyle w:val="TextBody"/>
        <w:bidi w:val="0"/>
        <w:spacing w:before="0" w:after="0"/>
        <w:ind w:left="0" w:right="0" w:firstLine="190"/>
        <w:jc w:val="both"/>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60"/>
        <w:gridCol w:w="170"/>
        <w:gridCol w:w="49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4955" w:type="dxa"/>
            <w:tcBorders/>
            <w:vAlign w:val="center"/>
          </w:tcPr>
          <w:p>
            <w:pPr>
              <w:pStyle w:val="TableContents"/>
              <w:bidi w:val="0"/>
              <w:spacing w:before="0" w:after="283"/>
              <w:jc w:val="both"/>
              <w:rPr/>
            </w:pPr>
            <w:r>
              <w:rPr/>
              <w:t>Mandatory Category: ME02 (Fire Fighting System).</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Grades: Ranging from G1 (projects up to RM200,000) to G7 (unlimited value) based on financial strength and technical expertise.</w:t>
            </w:r>
          </w:p>
        </w:tc>
      </w:tr>
    </w:tbl>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08"/>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Sijil Perakuan Bahan (SPB): Any products or materials used (e.g., fire doors, detectors) must have BOMBA certification via recognized laboratories like SIRIM Berhad.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Malaysian government is modernizing fire safety enforcement through several new mandates for 2026–2027: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Certified Fire Safety Managers (FSM): Starting in 2026, certified FSMs and Fire Safety Officers (FSO) will have authority to conduct internal fire safety inspections.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Self-Regulation Transition: These certified managers will submit technical reports directly to BOMBA for Fire Certificate (FC) renewals, reducing the need for annual physical inspections by BOMBA officials to once every 2–3 years.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Mandatory Fire Drills: Beginning in 2026, all buildings classified as “designated premises” must hold mandatory fire drills to qualify for certification renewal.</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Enforcement Deadline: Full enforcement for designated premises to hold a Fire Certificate (FC) is expected in the first quarter of 2026; however, some mandatory role requirements (FSM/FSO) have been revised toward 2027 to allow for industry training.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Malaysia’s regulatory compliance standards require that companies must design and install systems according to recognized Malaysian Standards (“MS”):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MS 1910:</w:t>
      </w:r>
      <w:r>
        <w:rPr>
          <w:rFonts w:ascii="Times New Roman;Times;Serif" w:hAnsi="Times New Roman;Times;Serif"/>
          <w:b w:val="false"/>
          <w:i w:val="false"/>
          <w:caps w:val="false"/>
          <w:smallCaps w:val="false"/>
          <w:sz w:val="20"/>
        </w:rPr>
        <w:t xml:space="preserve"> Design and installation of automatic sprinkler systems.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MS 1539:</w:t>
      </w:r>
      <w:r>
        <w:rPr>
          <w:rFonts w:ascii="Times New Roman;Times;Serif" w:hAnsi="Times New Roman;Times;Serif"/>
          <w:b w:val="false"/>
          <w:i w:val="false"/>
          <w:caps w:val="false"/>
          <w:smallCaps w:val="false"/>
          <w:sz w:val="20"/>
        </w:rPr>
        <w:t xml:space="preserve"> Portable fire extinguisher installation and maintenance.</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MS 2616:</w:t>
      </w:r>
      <w:r>
        <w:rPr>
          <w:rFonts w:ascii="Times New Roman;Times;Serif" w:hAnsi="Times New Roman;Times;Serif"/>
          <w:b w:val="false"/>
          <w:i w:val="false"/>
          <w:caps w:val="false"/>
          <w:smallCaps w:val="false"/>
          <w:sz w:val="20"/>
        </w:rPr>
        <w:t xml:space="preserve"> Fire pumps for fixed firefighting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Environmental Social and Government (“ESG”)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importance of ESG matters, with a specific focus on Human Capital Management, as integral to creating a sustainable foundation for our long-term business strategy. We support professional development at all levels. We also take reports of suspected violations of our codes of conduct and take seriously appropriate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do not operate manufacturing facilities or manufacture products, we believe that our environmental impact is relatively small. We are involved in office waste reduction practices. We strive to offer excellent benefits and long-term incentives to help retain our workforce.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human capital resources and objectives include identifying, recruiting, retaining and incentivizing our existing and additional employees. The principal purposes of our equity incentive plans are to attract, retain and reward personnel through the granting of equity-based compensation awards in order to increase shareholder value and our success by motivating such individuals to perform to the best of their abilities to achieve our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our employees to be our most valuable asset. The development, attraction and retention of employees is a critical success factor. To support the advancement of our employees, we offer training and development programs encouraging advancement from within and continue to fill our team with strong and experienced management talent. We recognize that our industry is specialized and dynamic and a significant aspect of our success is our continued ability to execute our human capital strategy of attracting, engaging, developing and retaining highly skilled talent. There is fierce competition both within our industry and in the geographic locations in which we have offices for highly skilled talent, and we offer a robust set of benefits, career-enhancing learning experiences and initiatives aligned with our mission, vision, and values in order to attract qualified prospective employees and to retain and motivate our employees. We offer competitive compensation for our employees and strongly embrace a pay for performance philosophy in setting and adjusting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codes of conduct clearly outline our commitment to diversity and inclusion, where all employees are welcomed in an environment designed to make them feel comfortable, respected, and accepted regardless of their age, race, national origin, gender, religion, disability or sexual orientation. We have a set of policies explicitly setting forth our expectations for nondiscrimination and a harassment-free work environment. We are also a proud equal opportunity employer and cultivate a highly collaborative and entrepreneurial culture.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Non-Discrimination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tolerate discrimination and are committed to high ethical standards and equal employment opportunities in all personnel actions without regard to race, color, religion, gender, national origin, citizenship status, age, marital status, gender identity or expression, sexual orientation, physical or mental disability, or veteran status.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2" w:name="ak_052"/>
      <w:bookmarkEnd w:id="82"/>
      <w:r>
        <w:rPr>
          <w:rFonts w:ascii="Times New Roman;Times;Serif" w:hAnsi="Times New Roman;Times;Serif"/>
          <w:b/>
          <w:i w:val="false"/>
          <w:caps w:val="false"/>
          <w:smallCaps w:val="false"/>
          <w:sz w:val="20"/>
        </w:rPr>
        <w:t>FUTURE NRG SDN. BHD. BUSINESS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Future NRG Sdn. Bhd. (“Future NRG,” “FNRG,” “we,” “our,” or the “Company”), incorporated in Malaysia on April 17, 2008 as a private limited liability company, is principally engaged in the development and operation of renewable energy projects and clinical/medical waste treatment services. Future NRG offers green solution for the treatment of scheduled waste (specifically, “SW 404”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xml:space="preserve"> pathogenic wastes, clinical wastes or quarantined material) generated from private medical practitioners throughout Peninsular Malaysia, the western region of the country occupying the southern half of the Malay Peninsula.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2025, the Company entered into a share sale agreement (“SSA”) with its then-ultimate holding company, Fitters, to dispose of its 100% equity interest in Solid Orient Holdings Sdn. Bhd. (“SOH”), a company principally engaged in palm oil milling operations for a total consideration of RM 10,500,000 (USD 2,585,620). On January 8, 2026, SOH allotted 46,700,000 new ordinary shares at an issue price of RM1.00 per share to the ultimate holding company, Fitters for cash consideration of RM46,700,000. As a result of this share allotment, the Company’s equity interest in SOH was diluted from 100% to 18.36%, resulting in a loss of control of the Company over SOH.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Subsequently, on January 23, 2026, the Company completed the disposal of its remaining 18.36% equity interest in SOH, comprising 10,500,000 ordinary shares, to Fitters pursuant to the SSA executed on 22 December 2025. The disposal consideration of RM10.5 million (equivalent to approximately USD 2,585,620) was applied to offset and reduce outstanding intercompany amounts owed to Fitters. Following completion of the transaction, the Company no longer holds any equity interest in SOH.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Plant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owns and operates a medical waste facility in Bandar Sri Sendayan, Seremban, Negeri Sembilan named the Sendayan Ozone Medical Waste Treatment Plant with the plant capacity of 10 metric tonnes per day, located at Sendayan Tech Valley, Negeri Sembilan, Malaysia (the “Plant”). The Company holds operating licenses issued by the Malaysian Department of Environment.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23050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943600" cy="23050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Plant is a specialized facility designed to disinfect and treat biomedical waste using ozone gas (O₃) before final disposal. Medical waste such as used syringes, gloves, bandages, laboratory materials, and other infectious items is first collected and often shredded to increase surface area. The shredded waste is then placed inside a sealed treatment chamber where ozone gas is introduced. Ozone, being a powerful oxidizing agent, destroys harmful microorganisms including bacteria, viruses, fungi, and spores by breaking down their cell walls and genetic material. After treatment, the waste becomes non-infectious and safer for disposal, recycling, or energy recovery. Unlike incineration, ozone treatment operates at lower temperatures, produces minimal emissions, and leaves no toxic residues because ozone naturally decomposes into oxygen. This makes it an environmentally friendly and efficient method for managing medical waste in hospitals, laboratories, clinics, and healthcare facilities.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13335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5943600" cy="13335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Plant utilizes ozone gas to sterilize medical waste to achieve 99.9999% reduction of microbial population in the waste, besides reducing waste volume without application of thermal (e.g. by incineration), steam nor chemicals in the process. With zero emission, no effluent discharge, ease of operation, quick cycle time and low operating cost, the Plant is an effective and promising solution for medical waste treatment. It is a self-contained processing system which generates ozone by utilising oxygen from the ambient air in a self-contained ozone generating plant which is then used to sterilize medical and bio-hazard waste. Excess ozone after waste sterilization is converted back to oxygen and returned to the atmosphere.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Plant, medical waste is not incinerated, nor any steam or chemicals applied in the process. Therefore, there is no toxic emission and no effluent discharge into the environment. The Plant is an environmentally sustainable technology. By using only oxygen extracted from ambient air in the self-contained ozone generating plant, a small amount of water, compressed air and electricity results in a very small environmental footprint for this unique technology. The shredded and sterilized residue after treatment is stable and with more than 90% reduction in volume provides significant space saving advantage for final disposal in a secured landfill.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Plant provides cost effective treatment as it is a non-thermal technology thus no fossil fuel is required. With a fully automated control system, it requires less labour to operate and consumes less electricity compared with conventional incineration technology with equivalent treatment capacity. With its quick cycle time and up to 400kg per cycle capacity, the Plant is able to handle the waste stream in a more efficient and timely manner. The Plant does not have a minimum load capacity required to run a cycle.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Plant is relatively simple to operate and all staff can be easily and quickly trained to operate the unit in a short period of time. The plant operators will not be exposed to dangerous pathogens or sharps during the waste treatment process since pre-sorting, pre-conditioning nor direct handling of waste is not required. Furthermore, the plant operators will not be exposed to high temperatures or caustic / hazardous chemicals which will be present in conventional thermal (e.g. incinerators, autoclaves) and chemical treatment plants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intends to replicate the currently business model regionally and has identify Thailand, Vietnam and Philippines as these countries are known to have larger population and higher potential when it comes to medical waste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diversifying its business geographically, Future NRG is of the view that having such facilities in the region can effectively disinfects infectious medical waste by destroying bacteria, viruses, fungi, and spores, thereby reducing the risk of disease transmission and protecting public health. Unlike incineration, ozone treatment operates at lower temperatures and produces minimal air pollutants, making it a more environmentally friendly option. Because ozone naturally breaks down into oxygen after use, it leaves no toxic residues behind.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installing an on-site ozone treatment plant helps hospitals and clinics reduce waste transportation costs and minimize the risks associated with moving hazardous materials. It improves operational efficiency by allowing immediate treatment of waste and can lower long-term disposal expenses. The system also helps healthcare facilities comply with environmental and waste management regulations while promoting sustainable practices. Overall, such a plant enhances safety, reduces environmental impact, and supports responsible medical waste management.</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provides two main services: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Collection and treatment of clinical waste (SW404) from DOE-registered premises, transporting it to their ozone medical waste treatment Plant in Sendayan, Negeri Sembilan.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Supply of medical waste consumables, including sharp bins, pedal bins, and wheeled bins at competitive pricing.</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is licensed by the Malaysian Department of Environment (DOE) with processing capacity of 10 metric tons (“MT”) per day of SW404 and located at Sendayan TechValley, Bandar Sri Sendayan, Negeri Sembilan, Malaysia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29337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7620000" cy="29337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ozone technology sourced from the United States to treat clinical waste. The clinical waste treatment plant has been operating since 2017, and Future NRG has served more than 4,400 waste generators nationwide using this technology. Under Section 18(1) and 18(1a) of the Environmental Quality Act, 1974 (Malaysia), Future NRG has been certified by Jabatan Alam Sekitar (DOE) to operate the Clinical Waste Treatment Facility using Ozone in Sendayan Techvalley, Bandar Sri Sendayan (License No.: 006044) and to transport Clinical Waste SW404 from waste generators to the treatment facility (License No.: 006045).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29432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7620000" cy="29432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ozone treatment process involves the following steps (and see diagrams above and to follow):</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Humidizone is technology applying ozone to sterilize the medical waste to achieve 99.9999% reduction of microbial population in the waste, besides reducing waste volume up to 90% without any thermal or incineration application, steam nor specific chemicals.</w:t>
            </w:r>
          </w:p>
        </w:tc>
      </w:tr>
    </w:tbl>
    <w:p>
      <w:pPr>
        <w:pStyle w:val="TextBody"/>
        <w:bidi w:val="0"/>
        <w:spacing w:before="0" w:after="0"/>
        <w:ind w:left="5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6"/>
        <w:gridCol w:w="10011"/>
      </w:tblGrid>
      <w:tr>
        <w:trPr/>
        <w:tc>
          <w:tcPr>
            <w:tcW w:w="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zero emissions, no effluent discharge, ease of operation and quick cycle time and the Humidizone is an effective and promising solution for medical waste treatment.</w:t>
            </w:r>
          </w:p>
        </w:tc>
      </w:tr>
    </w:tbl>
    <w:p>
      <w:pPr>
        <w:pStyle w:val="TextBody"/>
        <w:bidi w:val="0"/>
        <w:spacing w:before="0" w:after="0"/>
        <w:ind w:left="5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 self-contained processing system which produces ozone by extracting oxygen from the ambient air to sterilize medical and bio-hazard waste.</w:t>
            </w:r>
          </w:p>
        </w:tc>
      </w:tr>
    </w:tbl>
    <w:p>
      <w:pPr>
        <w:pStyle w:val="TextBody"/>
        <w:bidi w:val="0"/>
        <w:spacing w:before="0" w:after="0"/>
        <w:ind w:left="5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ozone treatment system does not produce any air emissions because any residue ozone will be converted back to oxygen O2 by using ozone destruct system before release to ambient air.</w:t>
            </w:r>
          </w:p>
        </w:tc>
      </w:tr>
    </w:tbl>
    <w:p>
      <w:pPr>
        <w:pStyle w:val="TextBody"/>
        <w:bidi w:val="0"/>
        <w:spacing w:before="0" w:after="0"/>
        <w:ind w:left="5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sterilized clinical waste will be compressed in the waste bin and will be loaded into PP bags and coded as SW501 for safe disposal sites at secured landfill.</w:t>
            </w:r>
          </w:p>
        </w:tc>
      </w:tr>
    </w:tbl>
    <w:p>
      <w:pPr>
        <w:pStyle w:val="TextBody"/>
        <w:bidi w:val="0"/>
        <w:spacing w:before="0" w:after="0"/>
        <w:ind w:left="540" w:right="0" w:hanging="36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57150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7620000" cy="5715000"/>
                    </a:xfrm>
                    <a:prstGeom prst="rect">
                      <a:avLst/>
                    </a:prstGeom>
                  </pic:spPr>
                </pic:pic>
              </a:graphicData>
            </a:graphic>
          </wp:inline>
        </w:drawing>
      </w: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serves healthcare providers including clinics, dental practices, veterinary clinics, and dialysis centers, as well as laboratories and factories that generate clinical waste (SW404). Its revenue is derived primarily from provision of medical waste collection and recycling services to mostly clinic operators. Revenue is recognized when services are performed, which generally occurs upon the collection and transportation of waste or over the contractual service period. Contracts with customers typically have short durations and payment terms ranging from 30 to 60 days. The Company recognizes accounts receivable when the right to consideration becomes unconditional.</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Concentrations of Revenue and Assessment of Material Dependency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a significant portion of the Company’s waste collection and processing volume was derived through a relationship with a single independent waste collector and transporter, Sharps and Bins Sdn. Bhd. For the year ended December 31, 2025, waste collections facilitated through Sharps and Bins Sdn. Bhd. accounted for approximately 70% of the Company’s total revenue. For the year ended December 31, 2024, the same party accounted for approximately 71% of the Company’s total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relationship is governed by a Scheduled Wastes Transporter Agreement, which was renewed on May 1, 2026, for a one-year term expiring April 30, 2027. Management monitors creditworthiness on an ongoing basis and maintains an allowance for expected credit losses based on aging analysis and forward-looking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Sharps and Bins Sdn. Bhd. represents a concentration of revenue volume; the Company considers its standardized contracting framework to be material. However, the underlying agreements with Sharps and Bins Sdn. Bhd. and the Company’s healthcare waste generator clients are entered into in the ordinary course of business using the Company’s standardized agreements. The legal and commercial structure of the agreements are based on the following factors: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Standard Template:</w:t>
            </w:r>
            <w:r>
              <w:rPr>
                <w:rFonts w:ascii="Times New Roman;Times;Serif" w:hAnsi="Times New Roman;Times;Serif"/>
                <w:b w:val="false"/>
                <w:i w:val="false"/>
                <w:caps w:val="false"/>
                <w:smallCaps w:val="false"/>
                <w:sz w:val="20"/>
              </w:rPr>
              <w:t xml:space="preserve"> The agreements are executed using the Company’s utilizes two primary standard agreement templates across its operations; Scheduled Wastes Management Transporter Agreement for third-party transporters and logistics providers and Scheduled Waste Management Services Agreement for healthcare waste generator customers across Peninsular Malaysia.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Absence of Minimum Purchase or Volume Commitments</w:t>
            </w:r>
            <w:r>
              <w:rPr>
                <w:rFonts w:ascii="Times New Roman;Times;Serif" w:hAnsi="Times New Roman;Times;Serif"/>
                <w:b w:val="false"/>
                <w:i w:val="false"/>
                <w:caps w:val="false"/>
                <w:smallCaps w:val="false"/>
                <w:sz w:val="20"/>
              </w:rPr>
              <w:t>: Neither standard agreements template establishes guaranteed minimum volume commitments, minimum revenue thresholds, or take-or-pay obligations. Waste collection services and processing fees are executed on a routine, transactional basis as waste is generated and presented for collection.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Convenience Termination Rights:</w:t>
            </w:r>
            <w:r>
              <w:rPr>
                <w:rFonts w:ascii="Times New Roman;Times;Serif" w:hAnsi="Times New Roman;Times;Serif"/>
                <w:b w:val="false"/>
                <w:i w:val="false"/>
                <w:caps w:val="false"/>
                <w:smallCaps w:val="false"/>
                <w:sz w:val="20"/>
              </w:rPr>
              <w:t xml:space="preserve"> Both standard agreement templates contain convenience termination rights. Under the Scheduled Wastes Management Transporter Agreement, either party may terminate the contract without cause upon thirty (30) days’ written notice. Under the Scheduled Waste Management Services Agreement, the Company may terminate without cause upon thirty (30) days’ written notice, while customers may terminate upon two (2) months’ written notice.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Operational Substitutability:</w:t>
            </w:r>
            <w:r>
              <w:rPr>
                <w:rFonts w:ascii="Times New Roman;Times;Serif" w:hAnsi="Times New Roman;Times;Serif"/>
                <w:b w:val="false"/>
                <w:i w:val="false"/>
                <w:caps w:val="false"/>
                <w:smallCaps w:val="false"/>
                <w:sz w:val="20"/>
              </w:rPr>
              <w:t xml:space="preserve"> Because logistics providers act as independent transport contractors under a standardized template rather than proprietary owners of customer demand, waste collection services for underlying healthcare units can be transitioned to alternative licensed transporters under identical form terms in the event of non-renewal or early termination.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Accordingly, to satisfy its exhibit filing obligations under Item 601(b)(10), the Company has filed copies of its two standard form agreement templates as exhibits to this Registration Statement: (i) the </w:t>
      </w:r>
      <w:r>
        <w:rPr>
          <w:rFonts w:ascii="Times New Roman;Times;Serif" w:hAnsi="Times New Roman;Times;Serif"/>
          <w:b/>
          <w:i w:val="false"/>
          <w:caps w:val="false"/>
          <w:smallCaps w:val="false"/>
          <w:sz w:val="20"/>
        </w:rPr>
        <w:t>Form of Scheduled Wastes Transporter Agreement</w:t>
      </w:r>
      <w:r>
        <w:rPr>
          <w:rFonts w:ascii="Times New Roman;Times;Serif" w:hAnsi="Times New Roman;Times;Serif"/>
          <w:b w:val="false"/>
          <w:i w:val="false"/>
          <w:caps w:val="false"/>
          <w:smallCaps w:val="false"/>
          <w:sz w:val="20"/>
        </w:rPr>
        <w:t xml:space="preserve"> (filed as Exhibit 10.38), and (ii) the </w:t>
      </w:r>
      <w:r>
        <w:rPr>
          <w:rFonts w:ascii="Times New Roman;Times;Serif" w:hAnsi="Times New Roman;Times;Serif"/>
          <w:b/>
          <w:i w:val="false"/>
          <w:caps w:val="false"/>
          <w:smallCaps w:val="false"/>
          <w:sz w:val="20"/>
        </w:rPr>
        <w:t>Form of Scheduled Wastes Management Services Agreement</w:t>
      </w:r>
      <w:r>
        <w:rPr>
          <w:rFonts w:ascii="Times New Roman;Times;Serif" w:hAnsi="Times New Roman;Times;Serif"/>
          <w:b w:val="false"/>
          <w:i w:val="false"/>
          <w:caps w:val="false"/>
          <w:smallCaps w:val="false"/>
          <w:sz w:val="20"/>
        </w:rPr>
        <w:t xml:space="preserve"> (filed as Exhibit 10.39).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Overview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waste management market represents one of the largest and most essential service industries worldwide, encompassing the collection, transport, treatment, recycling, and disposal of waste generated by residential, commercial, industrial, and healthcare sources. As of 2025, the market was broadly valued between approximately $1.28 trillion and $1.64 trillion, depending on the research methodology and scope of coverage employed by various market intelligence firms. For 2026, estimates generally converge in the range of $1.5 trillion to $1.6 trillion.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Mordor Intelligence, the waste management market size is estimated at $1.52 trillion in 2026 and is expected to reach $2.09 trillion by 2031, growing at a compound annual growth rate (“CAGR”) of 6.58% during the 2026–2031 forecast period. In addition, Grand View Research estimates the market at $1,497.17 billion in 2025, projecting growth to $2,365.14 billion by 2033 at a CAGR of 6.0% from 2026 to 2033. Polaris Market Research valued the market at $1.52 trillion in 2025, with projections of growth to $2.45 trillion by 2034 at a CAGR of 5.5%. Future Market Insights valued the 2025 market at $1.5 trillion and projects it to reach $2.8 trillion by 2036 at a CAGR of 5.4%. Precedence Research places the 2025 figure at $1.28 trillion with a forecast of $2.44 trillion by 2035, growing at a 6.66% CAGR.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Key Market Segments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is typically segmented by service type, waste type, end use, and region. By service type, collection services represent the largest revenue category, accounting for an estimated 35% to 55% of global market value depending on the source, owing to mandatory municipal coverage requirements and routine household and commercial waste pickup schedules. By waste type, municipal solid waste remains the dominant category, representing approximately 42% to 45% of total market demand, driven by daily waste generation from households, offices, and public institutions. Landfill disposal still led 2025 revenue with a 52.45% share of the overall market, although recycling and resource recovery are ascending at a 6.80% CAGR through 2031. The recycling segment is widely identified as the fastest-growing service type, driven by circular economy goals and sustainability initiatives.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Regional Dynamics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Regionally, the market exhibits varying leadership patterns depending on the metric used. Asia-Pacific captured approximately 56% of global revenue in 2025 according to Mordor Intelligence, reflecting the region’s massive populations, rapid urbanization, and expanding industrial activity. However, North America dominated the market with the largest revenue share of 33.2% in 2025 according to Grand View Research, driven by high waste generation and a well-developed service infrastructure. Polaris Market Research also identifies North America as the largest market in 2025, attributing this to stringent regulations and mature recycling frameworks. Asia-Pacific is consistently identified as the fastest-growing region, supported by investments in green technology and population concentration in major economies across the region.</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Growth Drivers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structural factors are propelling the waste management market’s expansion. Rapid urbanization and population growth are increasing municipal waste generation volumes significantly; the United Nations estimates that the global urban population is expected to increase by 2.5 billion by 2050. Global waste generation is on track to reach 3.8 billion tons annually by 2050 without fundamental systemic change. Government sustainability mandates and international agreements, including higher landfill diversion targets, extended producer responsibility (EPR) programs, and circular economy requirements, are encouraging greater investment in recycling, waste-to-energy, and smart waste management systems. In Europe, landfill taxes in countries such as Germany and the Netherlands now exceed $110 per metric ton, a cost that has tripled since 2020 and pushes commercial customers toward diversion programs.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Technological advancement is a further catalyst for market growth. The integration of IoT sensors, AI-powered sorting systems, data analytics, and automation is enhancing waste collection efficiency, reducing contamination, and optimizing recycling operations. The waste management software market itself was valued at approximately $11.97 billion in 2026, reflecting the convergence of AI and IoT with traditional waste management operations. The growing popularity of waste-to-energy (WtE) technologies, which convert non-recyclable municipal solid waste into electricity, heat, or biofuels through processes such as incineration, pyrolysis, gasification, and anaerobic digestion, marks a pivotal evolution in global waste management.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 Outlook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waste management industry is entering a decisive inflection point, transitioning from traditional disposal-centric operations toward resource recovery, digital traceability, and climate-resilient circularity. Despite regulatory complexity and inherent variability of waste composition, major waste management companies maintain robust growth trajectories through strategic technology partnerships and operational efficiency optimization. The absolute dollar growth projected over the coming decade—ranging from approximately $1.0 trillion to $1.3 trillion in incremental value depending on the forecast horizon—signals transformational opportunity rather than merely incremental expansion. As circular economy regulations accelerate recycling infrastructure development and resource recovery mandates, and as digital technologies enable route optimization and operational cost reduction through smart collection systems, the global waste management market is positioned for sustained, policy-supported growth through the mid-2030s.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Malaysian Economy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Malaysia’s economy has demonstrated notable resilience in recent years. The economy expanded by 5.2% in 2025 (up from 5.1% in 2024), surpassing the government’s official projection of 4.0%–4.8%; growth was broad-based across most sectors except mining, and was driven by robust domestic demand and exports according to the World Bank reports.</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In Q4 2025, the economy surged to 6.3% year-on-year growth, with strong performances in services (6.3%), manufacturing (6.1%), and construction (11%) according to RAM Ratings in March 2026.</w:t>
      </w: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The World Bank forecasts GDP growth at 4.4%, while the Malaysian government projects growth of 4%–5% in 2026. In Q1 2026, the economy grew 5.4% year-on-year, easing from the Q4 2025 peak, largely in line with expectations.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Growth continues to be supported by resilient domestic demand, favorable labor market conditions (unemployment at 2.9%), wage growth, and government income support policies according to the World Bank reports. The semiconductor upcycle and strong demand for electrical and electronics (E&amp;E) exports have also bolstered Malaysia’s export sector according to RAM Ratings. The ringgit appreciated 10.2% against the U.S. dollar in 2025, supported by strong foreign direct investment inflows. Malaysia has pursued fiscal consolidation, with the fiscal deficit declining to 3.7% of GDP in 2025, supported by stronger revenue collection. Government debt stands at approximately 65.3% of GDP. A key structural challenge remains Malaysia’s low revenue-to-GDP ratio (16.8% in 2024) and high expenditure rigidity, limiting fiscal space for long-term investment.</w:t>
      </w:r>
    </w:p>
    <w:p>
      <w:pPr>
        <w:pStyle w:val="TextBody"/>
        <w:bidi w:val="0"/>
        <w:spacing w:before="0" w:after="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MALAYSIA The Malaysian economy was resilient in 2025, growing at 5.2.</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Resilient economy underpins 2026 outlook, but current headwinds may weigh on upside.</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Competitive Landscape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waste management market’s competitive landscape is moderately fragmented, with several multinational corporations and regional players holding leading positions across global and Southeast Asian markets. At the global level, key players include Waste Management, Inc. (WM), Veolia Environment S.A., Republic Services, Inc., SUEZ Environment, Clean Harbors, Inc., Stericycle, Inc., Covanta Holding Corporation (now Reworld Waste), China Everbright International, Remondis SE &amp; Co. KG, and Biffa Group. The Asia-Pacific region is the fastest-growing segment of the global medical waste management market, with the Asia-Pacific medical waste management market valued at approximately $4.05 billion in 2025 and projected to reach $7.11 billion by 2034, reflecting a compound annual growth rate of 6.43%.</w:t>
      </w: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Within this region, increasing medical tourism in countries such as Thailand, Malaysia, and Singapore is a significant driver of demand for medical waste management services.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Malaysia, the management of clinical and scheduled waste is regulated by the Department of Environment (DOE) under the Environmental Quality (Scheduled Waste) Regulation 2005 and the Environmental Quality Act 1974. Malaysia generates approximately 90 tonnes of clinical waste per day, or roughly 33,000 tonnes annually. The Malaysian market is characterized by a concession-based model in which licensed contractors operate under Section 18 of the Environmental Quality Act 1974, with five of the seven licensed contractors being concession companies: Radicare Sdn. Bhd., Edgenta Medisure Sdn. Bhd., Medivest Sdn. Bhd., Sedafiat Sdn. Bhd., and One Medicare Sdn. Bhd. Cenviro Sdn. Bhd., 70%-owned by Khazanah Nasional Bhd., is Malaysia’s leading integrated waste management company, with over 30 years of experience and an average annual collection of 230,000 tonnes of scheduled waste.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its subsidiary Kualiti Alam Sdn. Bhd., Cenviro owns and operates Malaysia’s first and Southeast Asia’s largest integrated waste management centre (WMC), located in Negeri Sembilan and in operation since 1998, which is licensed to treat and dispose 76 of the 77 scheduled waste codes, including hazardous waste, e-waste, and medical waste. The WMC’s facilities include an incineration plant, a solidification plant, a physical and chemical treatment plant, a secured landfill, and a clinical waste treatment centre equipped with Microwave Ecosteryl technology — a zero-emission, non-incineration system capable of processing up to 300 kilograms per hour. Cenviro also operates a scheduled waste-to-energy (SWtE) plant, the first of its kind in Malaysia, which has been operational since 2018, with a second SWtE plant in Johor. Future NRG’s strategic partnership with South Korea’s SK Ecoplant, which holds a 30% stake in Cenviro, is designed to propel regional expansion into Indonesia, the Philippines, and Vietnam. Cenviro has publicly indicated its readiness for an initial public offering and has issued sustainability-linked sukuk to fund its growth plans. ClinWaste (M) Sdn. Bhd., a subsidiary of Radicare Sdn. Bhd., is another prominent Malaysian player, offering integrated clinical waste management services to both public and private healthcare sectors under a “cradle to grave” framework in compliance with the Environmental Quality Act 1974 and the Environmental Quality Regulations (Scheduled Waste) 2005. ClinWaste holds MS ISO 9001:2000, ISO 14001:2004, and ISO 18001:2007 certifications and operates an incinerator plant for clinical waste disposal.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is an emerging Malaysian competitor specializing in non-incineration clinical waste treatment using advanced ozone technology sourced from the United States. Licensed by the DOES under Section 18(1) and 18(1a) of the Environmental Quality Act 1974 (Malaysia), Future NRG operates the Plant with a capacity of 10 metric tons per day. The ozone treatment process achieves a 99.9999% reduction in microbial populations while eliminating the carbon emissions associated with traditional incineration, as ozone naturally decomposes into oxygen and produces no toxic residues. Future NRG currently serves more than 4,400 waste generators nationwide, including clinics, dental practices, veterinary clinics, dialysis centers, laboratories, and factories.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notable entrants into the Malaysian scheduled waste treatment market include J&amp;T Berjaya Alam Murni Sdn. Bhd. (JBAM), a joint venture between Berjaya Group (70%), Japan’s J&amp;T Recycling Corporation (25%), and JFE Engineering (M) Sdn. Bhd. (5%), which commenced full-scale operation of its Sustainable Scheduled Waste Treatment Center in Selangor in March 2024 and provides thermal treatment, cement solidification, and secured landfill services for hazardous waste including medical wastes. Medivest Sdn. Bhd., another concession-holder serving the southern peninsular region, owns and operates a clinical waste treatment facility that has been in operation since October 1996 and has since expanded to incorporate microwave disinfection technology alongside its original stepped hearth incinerator.</w:t>
      </w:r>
    </w:p>
    <w:p>
      <w:pPr>
        <w:pStyle w:val="TextBody"/>
        <w:bidi w:val="0"/>
        <w:spacing w:before="0" w:after="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See </w:t>
      </w:r>
      <w:r>
        <w:rPr>
          <w:rFonts w:ascii="Times New Roman;Times;Serif" w:hAnsi="Times New Roman;Times;Serif"/>
          <w:b w:val="false"/>
          <w:i w:val="false"/>
          <w:caps w:val="false"/>
          <w:smallCaps w:val="false"/>
          <w:sz w:val="20"/>
          <w:u w:val="single"/>
        </w:rPr>
        <w:t>https://www.marketdataforecast.com/market-reports/asia-pacific-medical-waste-management-market.</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broader Southeast Asian competitive landscape is shaped by both multinational firms and domestic operators. The ASEAN waste management market as a whole was expected to reach $33.19 billion in 2025 and is projected to grow at a CAGR of 6.63% to reach $45.75 billion by 2030, driven by government-led extended producer responsibility schemes, waste-to-energy programs, and adoption of AI-driven route optimization. In the medical waste segment specifically, competition is intensifying as established global firms such as Veolia, Suez, Remondis, and Clean Harbors leverage technological expertise to maintain positions in developed economies like Japan, Australia, and South Korea, while domestic enterprises gain traction in emerging markets such as Indonesia and Vietnam by offering cost-effective, localized services. In Singapore, the National Environment Agency launched an electronic manifest system in 2023 to digitally track biomedical waste movement from source to disposal. In Indonesia, the Ministry of Health initiated a pilot program in 2023 involving private operators to manage waste from district hospitals in Sumatra and Java. Thailand’s plastic-import ban, effective January 2025, and Vietnam’s Decree 05/2025/ND-CP on extended producer responsibility obligations are further catalyzing regional investment and capacity expansion.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Notable recent industry developments include Veolia’s completion of the $14.3 billion acquisition of Suez’s international waste assets in January 2026, creating a $44 billion revenue environmental-services leader and consolidating recycling capacity across 50 countries. Republic Services announced a $2.1 billion program in November 2025 to build 15 robotic and chemical-recycling facilities in the United States, backed by offtake agreements with Procter &amp; Gamble, Unilever, and PepsiCo. Waste Management, Inc. finalized its $7.2 billion acquisition of Stericycle in November 2024, strengthening its position in the healthcare waste management sector. In mid-2025, Waste Management, Inc. announced long-term plans targeting revenue of $28.5–29.25 billion by 2027, driven by investments in recycling, renewable energy, organics infrastructure, and hazardous waste streams. In April 2025, Clean Harbors acquired Bio-Medical Waste Solutions for USD 150 million, bolstering its market presence and geographic reach in the medical waste sector. In March 2025, Veolia acquired Ingenium, New England Disposal Technologies, and New England MedWaste to expand high-temperature treatment capacity. In the Asia-Pacific region, Suez launched a new integrated medical waste processing plant in Shanghai in March 2025, designed to handle 100 tons of biomedical waste daily, Remondis expanded its operations in India in February 2025 by acquiring a stake in Cleanmax EnviroTech, and Clean Harbors announced a strategic partnership with Singapore General Hospital in January 2025 to implement AI-driven waste segregation and tracking systems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Strengths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medical waste management industry in which Future NRG operates benefits from several competitive strengths and favorable structural dynamics. First, demand for clinical waste treatment services is underpinned by mandatory regulatory compliance, as all healthcare waste generators in Malaysia must engage licensed contractors for the collection, transportation, and disposal of scheduled waste under the Environmental Quality Act 1974 and the Environmental Quality (Scheduled Wastes) Regulations 2005. This compliance-driven demand framework creates a recurring, non-discretionary revenue base that is largely insulated from economic cycles, as healthcare facilities cannot defer or forgo proper waste disposal regardless of market conditions.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the industry benefits from significant barriers to entry. Operating a clinical waste treatment facility in Malaysia requires DOE licensing under Section 18 of the Environmental Quality Act 1974, and only seven contractors are currently licensed for clinical waste management in Peninsular Malaysia, five of which are government-linked concession companies. The limited number of licensed operators restricts new competitive entry and supports pricing stability. Additionally, the capital-intensive nature of treatment plant construction, combined with the technical expertise required to operate advanced treatment technologies such as ozone, microwave, or incineration systems, further reinforces these barriers.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the industry is positioned to benefit from secular growth trends across Malaysia and the broader Southeast Asian region. Malaysia generates approximately 90 tonnes of clinical waste per day, and this volume is expected to increase as the country’s healthcare infrastructure expands. The number of registered hospitals in Southeast Asia grew by 18% between 2019 and 2023, driving a proportional increase in biomedical waste generation. Medical tourism in Thailand, Malaysia, and Singapore is also contributing to rising patient volumes and associated waste output. Malaysia’s integrated waste management and recycling sector attracted RM22.7 billion in investments as of June 2025, including RM3.2 billion from 17 approved integrated waste management projects, reflecting the government’s commitment to fostering private-sector participation.</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138</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the regulatory environment is tightening in ways that favor established, compliant operators. The Environmental Quality (Amendment) Act 2024, effective July 2024, substantially increased penalties for environmental offenses, with maximum fines reaching RM10 million for hazardous waste violations and personal liability for company directors. The introduction of the National Sustainability Reporting Framework (NSRF) further requires Bursa Malaysia-listed companies to report waste data as part of sustainability disclosures, with external assurance beginning in 2027, thereby increasing demand for transparent, documented waste management services. These regulatory developments compel healthcare facilities and waste generators to engage licensed, technologically capable operators, benefiting firms such as Future NRG that offer compliant, eco-friendly treatment solutions.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Fifth, the global and regional shift toward non-incineration treatment technologies presents a competitive advantage for operators, such as Future NRG, that have adopted advanced alternative methods. The autoclaving segment of the Asia-Pacific medical waste management market is projected to grow at a CAGR of 11.2% from 2025 to 2033, reflecting increasing demand for environmentally sustainable treatment alternatives. Future NRG’s ozone-based technology, which achieves a 99.9999% microbial reduction rate with zero carbon emissions and no toxic residues, is well-positioned to capitalize on this trend, as governments and healthcare providers increasingly favor non-incineration solutions that minimize environmental impact. The growing emphasis on circular economy principles and waste-to-resource conversion further supports operators capable of rendering treated waste inert for safe disposal, recycling, or energy recovery.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 Strategy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NRG’s growth strategy focuses on expanding market share and enhancing profitability. In order to expand company revenue and market share, Future NRG intends to focus on the following growth strategy. It intends to replicate the currently business model regionally and has identified Thailand, Vietnam and Philippines as these countries are known to have larger population and higher potential when it comes to medical waste management.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143750" cy="37909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7143750" cy="3790950"/>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diversifying its business geographically, Future NRG is of the view that having such facilities in the region can effectively disinfect infectious medical waste by destroying bacteria, viruses, fungi, and spores, thereby reducing the risk of disease transmission and protecting public health. Unlike incineration, ozone treatment operates at lower temperatures and produces minimal air pollutants, making it a more environmentally friendly option. Because ozone naturally breaks down into oxygen after use, it leaves no toxic residues behind.</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139</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Facilities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FNRG operates from its industrial land located at Lot PT 6127, Bandar Sri Sendayan, Daerah Seremban, Negeri Sembilan, the site of FNRG’s primary operational facility.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20764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7620000" cy="2076450"/>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diversifying its business geographically, Future NRG is of the view that having such facilities in the region can effectively disinfects infectious medical waste by destroying bacteria, viruses, fungi, and spores, thereby reducing the risk of disease transmission and protecting public health. Unlike incineration, ozone treatment operates at lower temperatures and produces minimal air pollutants, making it a more environmentally friendly option. Because ozone naturally breaks down into oxygen after use, it leaves no toxic residues behind.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facilities support our ability to source, store, and distribute products effectively.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own patents or have pending applications, relying on certifications and supplier agreements for competitive positioning. We have filed the following trademark applications in Malaysia, both were filed on May 20, 2022:</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futureNrg </w:t>
            </w:r>
            <w:r>
              <w:rPr>
                <w:rFonts w:ascii="Times New Roman;Times;Serif" w:hAnsi="Times New Roman;Times;Serif"/>
                <w:b w:val="false"/>
                <w:i w:val="false"/>
                <w:caps w:val="false"/>
                <w:smallCaps w:val="false"/>
                <w:sz w:val="20"/>
              </w:rPr>
              <w:t>mark, which is for the word and figurative mark “futureNrg Clean Green Renewable” (with logo), Application No. TM2022012556, which is valid from May 20, 2022 to May 20, 2032, consisting of the colors as shown in the application. The dates of registration, issuance, and expiration are left blank, and thus unknown.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9715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5715000" cy="971550"/>
                    </a:xfrm>
                    <a:prstGeom prst="rect">
                      <a:avLst/>
                    </a:prstGeom>
                  </pic:spPr>
                </pic:pic>
              </a:graphicData>
            </a:graphic>
          </wp:inline>
        </w:drawing>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FutureNRG </w:t>
            </w:r>
            <w:r>
              <w:rPr>
                <w:rFonts w:ascii="Times New Roman;Times;Serif" w:hAnsi="Times New Roman;Times;Serif"/>
                <w:b w:val="false"/>
                <w:i w:val="false"/>
                <w:caps w:val="false"/>
                <w:smallCaps w:val="false"/>
                <w:sz w:val="20"/>
              </w:rPr>
              <w:t>mark. This is a standard word mark, Application No. TM2022012558, which is valid from May 20, 2022 to May 20, 2032, consisting of standard characters without claim to any particular font, style, size, or color. The dates of registration, issuance, and expiration are left blank, and thus unknown.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a total of 11 full-time employee in Malaysia, distributed across departments as follows:</w:t>
      </w:r>
    </w:p>
    <w:p>
      <w:pPr>
        <w:pStyle w:val="TextBody"/>
        <w:bidi w:val="0"/>
        <w:spacing w:before="0" w:after="0"/>
        <w:jc w:val="both"/>
        <w:rPr>
          <w:caps w:val="false"/>
          <w:smallCaps w:val="false"/>
        </w:rPr>
      </w:pPr>
      <w:r>
        <w:rPr>
          <w:caps w:val="false"/>
          <w:smallCaps w:val="false"/>
        </w:rPr>
        <w:t> </w:t>
      </w:r>
    </w:p>
    <w:tbl>
      <w:tblPr>
        <w:tblW w:w="5115" w:type="dxa"/>
        <w:jc w:val="left"/>
        <w:tblInd w:w="0" w:type="dxa"/>
        <w:tblLayout w:type="fixed"/>
        <w:tblCellMar>
          <w:top w:w="0" w:type="dxa"/>
          <w:left w:w="0" w:type="dxa"/>
          <w:bottom w:w="28" w:type="dxa"/>
          <w:right w:w="0" w:type="dxa"/>
        </w:tblCellMar>
      </w:tblPr>
      <w:tblGrid>
        <w:gridCol w:w="320"/>
        <w:gridCol w:w="60"/>
        <w:gridCol w:w="1760"/>
        <w:gridCol w:w="60"/>
        <w:gridCol w:w="2915"/>
      </w:tblGrid>
      <w:tr>
        <w:trPr/>
        <w:tc>
          <w:tcPr>
            <w:tcW w:w="3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DEPARTMENT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STAFF MEMBERS</w:t>
            </w:r>
          </w:p>
        </w:tc>
      </w:tr>
      <w:tr>
        <w:trPr/>
        <w:tc>
          <w:tcPr>
            <w:tcW w:w="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PLANT OPERATION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2140" w:type="dxa"/>
            <w:gridSpan w:val="3"/>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r>
    </w:tbl>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serve a diverse customer base including the following types: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b/>
                <w:sz w:val="20"/>
              </w:rPr>
              <w:t>Private Healthcare and Laboratories</w:t>
            </w:r>
            <w:r>
              <w:rPr>
                <w:sz w:val="20"/>
              </w:rPr>
              <w:t>: Private hospitals, medical centers, diagnostic laboratories and pharmaceutical companies that rely on our specialized services for safe disposal of medical waste materials, sharps and pathological waste.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b/>
                <w:sz w:val="20"/>
              </w:rPr>
              <w:t>Government</w:t>
            </w:r>
            <w:r>
              <w:rPr>
                <w:sz w:val="20"/>
              </w:rPr>
              <w:t xml:space="preserve"> </w:t>
            </w:r>
            <w:r>
              <w:rPr>
                <w:b/>
                <w:sz w:val="20"/>
              </w:rPr>
              <w:t>and Public Health Agencies</w:t>
            </w:r>
            <w:r>
              <w:rPr>
                <w:sz w:val="20"/>
              </w:rPr>
              <w:t>: Public sectors clients, including government hospital and district clinics, who engaged us for certified clinical waste management solutions.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b/>
                <w:sz w:val="20"/>
              </w:rPr>
              <w:t>Specialized Medical Practitioners</w:t>
            </w:r>
            <w:r>
              <w:rPr>
                <w:sz w:val="20"/>
              </w:rPr>
              <w:t>: Smaller, independent buyers, such as dental surgeries, veterinary clinics and aesthetic centers, that utilizes our services on a smaller volume.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broad customer mix ensures revenue stability, driven by non-discretionary demand and stringent statutory requirements across the healthcare ecosystem.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competition in a crowded market: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Established Waste Collectors</w:t>
            </w:r>
            <w:r>
              <w:rPr>
                <w:rFonts w:ascii="Times New Roman;Times;Serif" w:hAnsi="Times New Roman;Times;Serif"/>
                <w:b w:val="false"/>
                <w:i w:val="false"/>
                <w:caps w:val="false"/>
                <w:smallCaps w:val="false"/>
                <w:sz w:val="20"/>
              </w:rPr>
              <w:t>: Large-scale, government-linked waste management suppliers and long-term public contracts, challenging our market share in major public healthcare institutions.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Local Scheduled Waste Contractors</w:t>
            </w:r>
            <w:r>
              <w:rPr>
                <w:rFonts w:ascii="Times New Roman;Times;Serif" w:hAnsi="Times New Roman;Times;Serif"/>
                <w:b w:val="false"/>
                <w:i w:val="false"/>
                <w:caps w:val="false"/>
                <w:smallCaps w:val="false"/>
                <w:sz w:val="20"/>
              </w:rPr>
              <w:t>: Regional players and localized waste collectors compete aggressively on price and pickup flexibility for private clinic and laboratory contracts, putting pressure on our service margins.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On-Site Treatment Providers</w:t>
            </w:r>
            <w:r>
              <w:rPr>
                <w:rFonts w:ascii="Times New Roman;Times;Serif" w:hAnsi="Times New Roman;Times;Serif"/>
                <w:b w:val="false"/>
                <w:i w:val="false"/>
                <w:caps w:val="false"/>
                <w:smallCaps w:val="false"/>
                <w:sz w:val="20"/>
              </w:rPr>
              <w:t>: Companies offering alternative, localized technology—such as on-site autoclaving or microwave shredding systems—allow larger facilities to treat waste internally, reducing their reliance on external management services.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counter competition through our state-of-the-art treatment facilities, rigorous compliance records, and a highly reliable, though price sensitivity among smaller private practices remains a key challenge.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subject to Malaysian regulations: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Environmental Quality Standards</w:t>
            </w:r>
            <w:r>
              <w:rPr>
                <w:rFonts w:ascii="Times New Roman;Times;Serif" w:hAnsi="Times New Roman;Times;Serif"/>
                <w:b w:val="false"/>
                <w:i w:val="false"/>
                <w:caps w:val="false"/>
                <w:smallCaps w:val="false"/>
                <w:sz w:val="20"/>
              </w:rPr>
              <w:t>: Clinical and biohazardous waste management must comply strictly with the Environmental Quality (Scheduled Wastes) Regulations under the Department of Environment (DOE). Non-compliance risks immediate operational suspension, severe fines, or license revocation.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Public Health Compliance</w:t>
            </w:r>
            <w:r>
              <w:rPr>
                <w:rFonts w:ascii="Times New Roman;Times;Serif" w:hAnsi="Times New Roman;Times;Serif"/>
                <w:b w:val="false"/>
                <w:i w:val="false"/>
                <w:caps w:val="false"/>
                <w:smallCaps w:val="false"/>
                <w:sz w:val="20"/>
              </w:rPr>
              <w:t>: Our collection, transportation, and handling protocols adhere to strict guidelines enforced by Malaysia’s Ministry of Health (MOH), ensuring safe containment and preventing cross-contamination in public spaces.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Occupational Safety &amp; Health</w:t>
            </w:r>
            <w:r>
              <w:rPr>
                <w:rFonts w:ascii="Times New Roman;Times;Serif" w:hAnsi="Times New Roman;Times;Serif"/>
                <w:b w:val="false"/>
                <w:i w:val="false"/>
                <w:caps w:val="false"/>
                <w:smallCaps w:val="false"/>
                <w:sz w:val="20"/>
              </w:rPr>
              <w:t>: Facility operations and waste-handling procedures must meet regulations enforced by the Department of Occupational Safety and Health (DOSH) to protect our frontline workers from needle-sticks and biohazard exposure.</w:t>
            </w:r>
          </w:p>
        </w:tc>
      </w:tr>
    </w:tbl>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strict compliance to avoid operational or reputational risks.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are not involved in any material legal proceedings that, individually or in the aggregate, are expected to significantly impact our business, financial condition, or results of operations. Routine disputes, such as supplier or customer contract issues, may arise but are managed promptly with no anticipated material liabilities.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 Related to Our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faces several risks, including:</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Price Competition</w:t>
            </w:r>
            <w:r>
              <w:rPr>
                <w:rFonts w:ascii="Times New Roman;Times;Serif" w:hAnsi="Times New Roman;Times;Serif"/>
                <w:b w:val="false"/>
                <w:i w:val="false"/>
                <w:caps w:val="false"/>
                <w:smallCaps w:val="false"/>
                <w:sz w:val="20"/>
              </w:rPr>
              <w:t>: Intense rivalry from local scheduled waste contractors and alternative on-site treatment providers may force price concessions, reducing margins, especially for smaller private clinic and laboratory accounts.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Operational Fuel and Consumable Costs</w:t>
            </w:r>
            <w:r>
              <w:rPr>
                <w:rFonts w:ascii="Times New Roman;Times;Serif" w:hAnsi="Times New Roman;Times;Serif"/>
                <w:b w:val="false"/>
                <w:i w:val="false"/>
                <w:caps w:val="false"/>
                <w:smallCaps w:val="false"/>
                <w:sz w:val="20"/>
              </w:rPr>
              <w:t>: Failure to maintain strict DOE licenses or meet MOH biohazard containment protocols risks immediate operational suspension, heavy fines, or market exclusion, disrupting our entire service network.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Regulatory Compliance</w:t>
            </w:r>
            <w:r>
              <w:rPr>
                <w:rFonts w:ascii="Times New Roman;Times;Serif" w:hAnsi="Times New Roman;Times;Serif"/>
                <w:b w:val="false"/>
                <w:i w:val="false"/>
                <w:caps w:val="false"/>
                <w:smallCaps w:val="false"/>
                <w:sz w:val="20"/>
              </w:rPr>
              <w:t>: Failure to maintain strict DOE licenses or meet MOH biohazard containment protocols risks immediate operational suspension, heavy fines, or market exclusion, disrupting our entire service network.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Logistics and Fleet Dependence</w:t>
            </w:r>
            <w:r>
              <w:rPr>
                <w:rFonts w:ascii="Times New Roman;Times;Serif" w:hAnsi="Times New Roman;Times;Serif"/>
                <w:b w:val="false"/>
                <w:i w:val="false"/>
                <w:caps w:val="false"/>
                <w:smallCaps w:val="false"/>
                <w:sz w:val="20"/>
              </w:rPr>
              <w:t xml:space="preserve"> Reliance on a specialized, heavily regulated transport fleet exposes us to risks regarding vehicle breakdowns, e-consignment tracking system failures, or strict routing policy changes by transport authorities.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Labor Constraints</w:t>
            </w:r>
            <w:r>
              <w:rPr>
                <w:rFonts w:ascii="Times New Roman;Times;Serif" w:hAnsi="Times New Roman;Times;Serif"/>
                <w:b w:val="false"/>
                <w:i w:val="false"/>
                <w:caps w:val="false"/>
                <w:smallCaps w:val="false"/>
                <w:sz w:val="20"/>
              </w:rPr>
              <w:t>: Shortages or regulatory restrictions regarding specialized handling staff and certified heavy-vehicle drivers may hinder logistics efficiency and waste processing speeds, increasing operational costs.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Leadership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Future NRG Sdn. Bhd.’s current key management include the following two key senior management.</w:t>
      </w:r>
    </w:p>
    <w:p>
      <w:pPr>
        <w:pStyle w:val="TextBody"/>
        <w:bidi w:val="0"/>
        <w:spacing w:before="0" w:after="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Ngu Wang Keat, Head of Division (age 34) — </w:t>
      </w:r>
      <w:r>
        <w:rPr>
          <w:rFonts w:ascii="Times New Roman;Times;Serif" w:hAnsi="Times New Roman;Times;Serif"/>
          <w:b w:val="false"/>
          <w:i w:val="false"/>
          <w:caps w:val="false"/>
          <w:smallCaps w:val="false"/>
          <w:sz w:val="20"/>
        </w:rPr>
        <w:t>Mr. Ngu Wang Keat (“Mr. Ngu”) holds a Bachelor of Engineering in Chemical Engineering from Universiti Tunku Abdul Rahman and a Master of Business Administration from Universiti Malaya. He is a registered member of the Board of Engineers Malaysia. Mr. Ngu began his career as a Production Engineer at SapuraKencana Petroleum PLC in August 2014. In May 2016, he joined Future NRG Sdn. Bhd. as a Project Engineer, supporting the group’s renewable energy and palm oil mill operations. He was subsequently appointed Head of Division at Future NRG Sdn. Bhd. in June 2021, a position he currently holds.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Sit Kin Yik, Senior Plant Manager (age 54) — </w:t>
      </w:r>
      <w:r>
        <w:rPr>
          <w:rFonts w:ascii="Times New Roman;Times;Serif" w:hAnsi="Times New Roman;Times;Serif"/>
          <w:b w:val="false"/>
          <w:i w:val="false"/>
          <w:caps w:val="false"/>
          <w:smallCaps w:val="false"/>
          <w:sz w:val="20"/>
        </w:rPr>
        <w:t>Mr. Sit Kin Yik (“Mr. Sit”) holds a Master of Engineering in Environmental, Health and Safety with a specialization in Industrial Safety Management from Universiti Kebangsaan Malaysia. He also holds a Post Graduate Diploma of Engineering in Environmental, Health and Safety from the same institution. Mr. Sit began his career as a Project Manager at TopRank Corporation Sdn. Bhd. in January 1996, where he was responsible for project management, tendering, and safety and health functions in the utilities and power sector, a role he held until January 2000. He subsequently served as a Safety, Health and Environment Executive at Toyochem Specialty Chemical Sdn. Bhd. from January 2010 to April 2013, before joining Prinsiptek (M) Sdn. Bhd. as a Safety and Health Officer. He then served as Senior Safety Officer at Fitters Construction Sdn. Bhd. from June 2013 to December 2016. Mr. Sit joined Future NRG Sdn. Bhd. as Plant Manager in January 2017, a position he currently holds.</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3" w:name="ak_053"/>
      <w:bookmarkEnd w:id="83"/>
      <w:r>
        <w:rPr>
          <w:rFonts w:ascii="Times New Roman;Times;Serif" w:hAnsi="Times New Roman;Times;Serif"/>
          <w:b/>
          <w:i w:val="false"/>
          <w:caps w:val="false"/>
          <w:smallCaps w:val="false"/>
          <w:sz w:val="20"/>
        </w:rPr>
        <w:t>MANAGEMENT’S DISCUSSION AND ANALYSIS OF FINANCIAL CONDITION AND RESULTS OF OPERATIONS OF BGMS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Transactions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Bio Green Med Solution, Inc. (“BGMS” or the “Company”), a Delaware corporation formerly known as Cyclacel Pharmaceuticals, Inc., announced that it was in the process of exploring and reviewing strategic alternatives on an expedited basis in order to preserve the Company’s cash, including a potential transaction with investor, David E. Lazar of Activist Investing, LLC (“Lazar”). On January 2, 2025, the Company entered into a securities purchase agreement with Lazar, pursuant to which he agreed to purchase from the Company, 1,000,000 shares of Series C Convertible Preferred Stock and 2,100,000 shares of Series D Convertible Preferred Stock of BGMS at a purchase price of $1.00 per share for aggregate gross proceeds of $3.1 million, subject to the terms and conditions of the securities purchase agreement (together, the Series C Convertible Preferred Stock and Series D Convertible Preferred Stock are the “Securities”). The proceeds of the transaction were used to settle outstanding liabilities of the Company and other general corporate and operating purposes.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11, 2025, Lazar, who was serving as the Company’s interim Chief Executive Officer and Secretary, entered into a securities purchase agreement (the “Purchase Agreement”) with an investor, Datuk Dr. Doris Wong Sing Ee (the “Investor”) pursuant to which the Investor agreed to purchase all 1,000,000 shares of Series C Convertible Preferred Stock, and 1,745,262 of the 2,100,000 shares of Series D Convertible Preferred Stock, currently held by Lazar, so that Purchaser would hold seventy percent (70%) of the fully diluted issued and outstanding shares of the Company. The Purchase Agreement closed on February 26, 2025 (the “Closing Date”). Additionally, the Investor succeeded to all of Lazar’s rights and interests under that certain securities purchase agreement between the Lazar and the Company dated January 2,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were convertible into shares of the common stock, par value $0.001 per share (the “Common Stock”) of the Company at the election of the Investor as follows: (i) the 1,000,000 shares of the Series C were convertible into 11,042 shares of Common Stock, and (ii) 1,745,262 of the Series D were convertible into 799,911 shares of Common Stock. On the Closing Date, the Investor exercised the conversion rights related to the Series C and Series D shares into Common Stock in full resulting in the Investor owning 810,952 shares of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2025, the Company effected a one-for-sixteen reverse stock split of its common stock and subsequently on July 7, 2025, effected a further one-for-fifteen reverse stock split of its common stock. All share and per share data for all periods presented in the consolidated financial statements have been retrospectively adjusted to give effect to these reverse stock splits, consistent with the treatment followed by other public companies in similar circumstances.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Disposal of Cyclacel Limited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Company’s clinical research programs were conducted through Cyclacel Limited, a wholly owned subsidiary of the Company, and all intellectual property and rights to those programs were owned by that entity. On January 31, 2025, the creditors voluntary liquidation of Cyclacel Limited was announced in the London Gazette, one of the official public records of the government of the United Kingdom. Upon the commencement of the liquidation of the Cyclacel Limited, the Company lost operational and strategic control over the Cyclacel Limited and its financial results have been deconsolidated from Company as of January 31, 2025. On the date of deconsolidation, stockholders’ equity increased by approximately $4.9 million.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creditors’ voluntary liquidation of Cyclacel Limited, the Company intended to focus on the development of the plogosertib (“Plogo”) clinical program only. Accordingly, on March 10, 2025, the Company repurchased certain assets related to Plogo from Cyclacel Limited with the approval of the joint liquidator in exchange for approximately $0.3 million in cash. On October 6, 2025, the Company entered into an Asset Purchase Agreement (the “Purchase Agreement”) with Tethra Biosciences Inc., a Delaware corporation (the “Buyer”). Under the terms of the Purchase Agreement, the Company agreed to sell, and the Buyer agreed to purchase certain assets, including all patent rights of the Company related to Plogo for a purchase price of $300,000, plus a further potential Milestone payment (as defined in the Purchase Agreement) of $170,000.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Cyclacel Limited’s other drug development program, fadraciclib, continues to be marketed for sale by the joint liquidator. The Company has no plans at this time to repurchase any rights to or assets of the fadraciclib program.</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143</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Acquisition of FITTERS Diversified Berhad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6, 2025, and as amended on July 7, 2025, the Company entered into an Exchange Agreement (collectively, the “Exchange Agreement”) with FITTERS Diversified Berhad (9318.KL; “FITTERS”), an investment holding company engaged, through its subsidiaries, in the business of the sale of fire safety materials, equipment and fire prevention systems, “Waste-To-Resource” services and real estate development and construction. Pursuant to the Exchange Agreement, all of the ordinary shares owned by FITTERS of its wholly-owned subsidiary, Fitters Sdn. Bhd., a Malaysia-based private limited company (“Fitters Sub”) were to be exchanged for common stock, par value $0.001, of the Company (the “Purchaser Stock”), and Fitters Sub would continue as a wholly-owned subsidiary of the Company (the “Transaction”). As part of the Transaction, BGMS would issue an amount of Purchaser Stock equal to 19.99 percent, or 699,158 of its common shares and BGMS stockholders would own approximately 80.01% of the combined company. Following the closing of the Transaction on September 12, 2025, the Company’s common shares continued to be listed on the Nasdaq Capital Market under a new ticker symbol (BGMS) and Cyclacel Pharmaceuticals Inc. was renamed Bio Green Med Solution, Inc.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our sale of Plogo and the closing of the Transaction on September 12, 2025, we now specialize in the supply and trading of protective and fire safety equipment providing a wide range of fire safety products, including fire extinguishers, foam system, fire-resistant doors, personal protective equipment, and fire safety apparel. Our mission is to deliver high-quality, certified safety solutions that enhance protection across commercial, industrial, healthcare, and residential sectors with a focus on trading and distribution to position us as a key player in Malaysia’s fire safety market, with a reputation for reliability and compliance with stringent regulatory standards.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 is located at Level 10, Tower 11, Avenue 5, No. 8, Jalan Kerinchi, Kuala Lumpur, Malaysia, and our telephone number is (908) 955-0526. Our website address is www.bgmsglobal.com. The information contained on, or that can be accessed through, our website is not part of, and is not incorporated by reference into, this Annual Report.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our acquisition of Fitters Sdn. Bhd. on September 12, 2025, we recognized $0.7 million of revenue for the year ended December 31, 2025 in relation to the provision of fire safety and protection equipment.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we recognized revenue of $43,000 related to the recovery of clinical manufacturing costs associated with an investigator sponsored study managed by Cedars Sinai Medical Center. We are no longer in the pharmaceutical development business and will not generate any revenues from this activity in the future.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Funding Requirements and Going Concern</w:t>
      </w:r>
    </w:p>
    <w:p>
      <w:pPr>
        <w:pStyle w:val="TextBody"/>
        <w:bidi w:val="0"/>
        <w:spacing w:before="0" w:after="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we used net cash of $0.6 million to fund our operating activities. We have cash and cash equivalents of $3.8 million as of June 30, 2026, which will allow us to meet our liquidity requirements into the first quarter of 2027. However, there remains substantial doubt about our ability to continue as a going concern. We are currently investigating ways to raise additional capital through private equity financing or by entering into a strategic transaction. In the event that we are not able to secure funding, we may be forced to curtail operations, delay or stop ongoing development activities, cease operations altogether, and/or file for bankruptcy.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substantial doubt that we can continue as an on-going business for the next twelve months. Although we expect our recently acquired subsidiary, Fitters Sdn. Bhd., to be profitable, it is yet to be determined if any future profits from this division can sustain the entire group. Accordingly, we must raise cash from sources other than operations. Our only other source for cash at this time is investments by others in our company. We must raise cash to implement our business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current economic environment, characterized by a global growth slowdown with risks tilted to the downside, and our lack of funding to implement our business plan, our Board of Directors has begun to analyze strategic alternatives available to the Company to continue as a going concern. Such alternatives include raising additional debt or equity financing or consummating a merger or acquisition with a partner that may involve a change in our business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Board of Directors’ preference would be to obtain additional funding to implement our business plan, the Board believes that it must consider all viable strategic alternatives that are in the best interests of our shareholders. Such strategic alternatives include a merger, acquisition, share exchange, asset purchase, or similar transaction. We believe we would be an attractive candidate for such a business combination due to the perceived benefits of being a publicly listed company, thereby providing a transaction partner access to the public marketplace to raise capital.</w:t>
      </w:r>
    </w:p>
    <w:p>
      <w:pPr>
        <w:pStyle w:val="TextBody"/>
        <w:bidi w:val="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cash and cash equivalents of $3.5 million We have incurred losses since our inception and as of December 31, 2025, we had an accumulated deficit of $454.4 million. We expect to continue to incur operating losses for the foreseeable near term future.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funding requirements will depend on many factors, including but not limited to:</w:t>
      </w:r>
    </w:p>
    <w:p>
      <w:pPr>
        <w:pStyle w:val="TextBody"/>
        <w:bidi w:val="0"/>
        <w:spacing w:before="0" w:after="0"/>
        <w:jc w:val="both"/>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75"/>
        <w:gridCol w:w="170"/>
        <w:gridCol w:w="97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costs of acquiring or investing in new businesses;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ability to continue generating sufficient revenues and margins from the sale of fire safety equipment;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timely cash receipts from revenue generation;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effect of competing technological and market developments;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economic and other terms and timing of any collaboration, licensing or other arrangements into which we may enter.</w:t>
            </w:r>
          </w:p>
        </w:tc>
      </w:tr>
    </w:tbl>
    <w:p>
      <w:pPr>
        <w:pStyle w:val="TextBody"/>
        <w:bidi w:val="0"/>
        <w:spacing w:before="0" w:after="0"/>
        <w:ind w:left="8"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144</w:t>
            </w:r>
          </w:p>
        </w:tc>
      </w:tr>
    </w:tbl>
    <w:p>
      <w:pPr>
        <w:pStyle w:val="TextBody"/>
        <w:bidi w:val="0"/>
        <w:spacing w:before="0" w:after="0"/>
        <w:ind w:left="0" w:right="0" w:hanging="0"/>
        <w:jc w:val="left"/>
        <w:rPr/>
      </w:pPr>
      <w:r>
        <w:rPr/>
        <w:t> </w:t>
      </w:r>
    </w:p>
    <w:p>
      <w:pPr>
        <w:pStyle w:val="TextBody"/>
        <w:bidi w:val="0"/>
        <w:spacing w:before="0" w:after="0"/>
        <w:ind w:left="8"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we can generate a sufficient amount of product revenue to finance our cash requirements, which we may never do, we expect to finance future cash needs primarily through public or private equity offerings, debt financings or strategic collaborations. Although we are not reliant on institutional credit finance and therefore not subject to debt covenant compliance requirements or potential withdrawal of credit by banks, we are reliant on the availability of funds and activity in equity markets. We do not know whether additional funding will be available on acceptable terms, or at all. If we are not able to secure additional funding when needed, we may have to reduce the scope of or eliminate one or more of our products or make changes to our operating plan.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relied primarily on the proceeds from sales of common and preferred equity securities to finance our operations and internal growth. Additional funding has come through research and development tax credits, government grants, the sale of product rights, interest on investments, licensing revenue, royalty income, and a limited amount of product revenue from operations discontinued in September 2012.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discussed in Note 1 of the Notes to the Consolidated Financial Statements accompanying this Annual Report on Form 10-K, under ASC Topic 205-40, </w:t>
      </w:r>
      <w:r>
        <w:rPr>
          <w:rFonts w:ascii="Times New Roman;Times;Serif" w:hAnsi="Times New Roman;Times;Serif"/>
          <w:b w:val="false"/>
          <w:i/>
          <w:caps w:val="false"/>
          <w:smallCaps w:val="false"/>
          <w:sz w:val="20"/>
        </w:rPr>
        <w:t>Presentation of Financial Statements - Going Concern</w:t>
      </w:r>
      <w:r>
        <w:rPr>
          <w:rFonts w:ascii="Times New Roman;Times;Serif" w:hAnsi="Times New Roman;Times;Serif"/>
          <w:b w:val="false"/>
          <w:i w:val="false"/>
          <w:caps w:val="false"/>
          <w:smallCaps w:val="false"/>
          <w:sz w:val="20"/>
        </w:rPr>
        <w:t>, management is required at each reporting period to evaluate whether there are conditions and events, considered in the aggregate, that raise substantial doubt about an entity’s ability to continue as a going concern within one year after the date that the financial statements are issued. This evaluation initially does not take into consideration the potential mitigating effect of management’s plans that have not been fully implemented as of the date the financial statements are issued.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current operating plan, we anticipate that our cash and cash equivalents of $3.5 million as of December 31, 2025, will allow us to meet our liquidity requirements into the third quarter of 2026. We continue to work to raise additional capital however as of the date of the Consolidated Financial Statements accompanying this Annual Report on Form 10-K, there is no guarantee that we will be able to raise additional funds to extend operations beyond the third quarter of 2026. Our history of losses, our negative cash flows from operations, our liquidity resources currently on hand, and our dependence on the ability to obtain additional financing to fund our operations after the current resources are exhausted, about which there can be no certainty, have resulted in our assessment that there is substantial doubt about our ability to continue as a going concern for a period of at least twelve months from the issuance date of this Annual Report on Form 10-K. While we have plans in place to mitigate this risk, which primarily consist of raising additional capital through a combination of public or private equity or debt financings or by entering into partnership agreements, there is no guarantee that we will be successful in these mitigation efforts.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Agreements to Sell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5, 2025, we entered into a Warrant Exchange Agreement (the “Exchange Agreement”) with certain accredited investors (the “Holders”) of certain existing warrants (the “Exchanged Warrants”) to purchase an aggregate of 1,402,605 shares of the Company’s common stock, par value $0.001 per share (the “Common Stock”). The Exchanged Warrants were originally issued pursuant to a securities purchase agreement, dated as of June 20, 2025 by and between us and each Holder. Pursuant to the Exchange Agreement, we agreed to exchange with the Holders, respectively, the Exchanged Warrants for an aggregate of 1,402,605 shares of Common Stock (the “New Shares”). We recorded a deemed dividend of approximately $9.5 million representing the difference between the fair value of the New Shares and the fair value of the Exchanged Warrants on the exchange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4, 2025, we entered into a separate Warrant Exchange Agreement (the “September Exchange Agreement”) with certain accredited investors (the “Holders”) of existing Series C common stock purchase warrants (the “September Exchanged Warrants”) to purchase an aggregate of 559,395 shares of the Company’s common stock, par value $0.001 per share (the “Common Stock”). The September Exchanged Warrants were originally issued pursuant to a securities purchase agreement, dated as of June 20, 2025 by and between us and each Holder. Pursuant to the September Exchange Agreement, we agreed to exchange with the Holders, respectively, the September Exchanged Warrants for an aggregate of 559,395 shares of Common Stock (the “September New Shares”). We recorded a deemed dividend of approximately $1.5 million representing the difference between the fair value of the September New Shares and the fair value of the September Exchanged Warrants on the exchange date.</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20, 2025, we entered into a Securities Purchase Agreement (the “Purchase Agreement”) with certain accredited investors (the “Investors”), pursuant to which the Investors agreed to purchase an aggregate of 3,000,000 shares of Series F Convertible Preferred Stock (the “Series F Preferred Stock”) at a purchase price of $1.00 per share for aggregate gross proceeds of $3,000,000, subject to the terms and conditions of the Purchase Agreement. In connection with the transaction, we issued a series A common stock purchase warrant, series B common stock purchase warrant and series C common stock purchase warrant to each Investor (collectively, the “Warrants”). The proceeds of the transaction were used for general corporate and operating purposes.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sum, the Investors agreed to invest a total of $3,000,000 at the closing of the transactions under the Purchase Agreement in exchange for an aggregate of 3,000,000 shares of Series F Preferred Stock and 1,962,000 Warrants, which occurred on or about June 20, 2025 (the “Closing”).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F Preferred Stock was convertible into 0.218 shares of the Company’s common stock, par value $0.001 per share (“Common Stock”). All 3,000,000 shares of Series F Preferred Stock were converted into 654,000 shares of Common Stock during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common stock purchase warrants entitle each Investor to purchase 218,000 shares of Common Stock at an exercise price of $7.65 per share with an expiration date five years from the date of issuance. The series B common stock purchase warrants entitle each Investor to purchase 218,000 shares of Common Stock at an exercise price of $9.00 per share with an expiration date five years from the date of issuance. The series C common stock purchase warrants entitle each Investor to purchase 218,000 shares of Common Stock of the Company at an exercise price of $10.20 per share with an expiration date five years from the date of issuance.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2025, we entered into a Securities Purchase Agreement (the “March Purchase Agreement”) with certain accredited investors (the “Investors”), pursuant to which the Investors agreed to purchase 1,000,000 shares of Series E Convertible Preferred Stock (the “Series E Preferred Stock”) at a purchase price of $1.00 per share for aggregate gross proceeds of $1 million, subject to the terms and conditions of the Purchase Agreement. The proceeds of the transaction were used for general corporate and operating purposes.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E Preferred Stock was convertible into 0.458333 shares of the Company’s common stock, par value $0.001 per share (“Common Stock”). All 1,000,000 shares of Series E Preferred Stock were converted into 458,333 shares of Common Stock during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2025, we entered into a securities purchase agreement (the “February Purchase Agreement”) with Helena Special Opportunities 1 Ltd. (“Helena”). Under this agreement, we have the right, but not the obligation, to sell to Helena up to the lesser of (i) $25 million of newly issued shares (the “Purchase Shares”) of our Common Stock and (ii) the Exchange Cap (as defined below). As consideration for Helena’s execution and delivery of the February Purchase Agreement, we issued Helena shares of our Common Stock having a value of approximately $125,000 (the “Commitment Shares” and, together with the Purchase Shares, the “Securities”). Specifically, we issued to Helena (i) on the trading day immediately following execution of the Purchase Agreement, 758 shares of Common Stock with a value of about $62,500 and (ii) 90 days later, 885 shares of Common Stock also with a value of approximately $62,500. The shares issued were based on the volume weighted average price of our Common stock over the three trading days preceding each issuance. The average of those volume weighted average prices is known as the “Commitment Share Reference Price” in the February Purchase Agreement. The sum of the shares issued pursuant to clauses (i) and (ii) above is referred to as the “Original Commitment Fee Share Amount”.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closing price of our Common Stock on the trading day immediately preceding the one-year anniversary of the execution date is less than the Commitment Share Reference Price, we must issue to Helena additional shares of Common Stock as Commitment Shares (the “Make-Whole Shares”) promptly following such one-year anniversary. The amount of Make-Whole Shares to be issued will be equal to the quotient obtained by dividing (a) $125,000 by (b) the closing price of the Common Stock on the trading day immediately preceding the one-year anniversary of the execution date, minus the Original Commitment Fee Share Amount. In lieu of delivering the Make-Whole Shares, the Company may elect to pay to the Investor the cash value of the Make-Whole Shares by paying to the Investor a cash payment equal to the closing price of the Common Stock on the trading day immediately preceding the one-year anniversary of the execution date multiplied by the Make-Whole Share Amount. In February 2026, we issued to Helena an additional 119,136 shares of Common Stock as Make-Whole Shares.</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March 2028, we may direct Helena to purchase a specified number of shares of Common Stock (a “Fixed Purchase”) generally at a purchase price equal to 95% of the daily volume weighted average price (the “VWAP”) of the Common Stock for the two business days immediately preceding the applicable Purchase Date for such Fixed Purchase, so long as the previous business day’s closing sale price of the Common Stock was equal to or greater than $0.20 (each, a “Purchase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make certain issuances of our securities within a specified period of time after a Purchase Date and such securities are issued at prices (the “New Issuance Price”) less than the prices to be paid by Helena, the purchase price paid by Helena at each applicable Purchase Date would be reduced to the New Issuance Price, subject to the terms and conditions set forth in the February Purchase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standard beneficial ownership limitations on the number of shares that Helena can own.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seek funding from alternative sources, we have no immediate or near term plans to issue shares under the February Purchase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 2025, we amended, through addendum, our securities purchase agreement (the “Lazar Purchase Agreement”) with David Lazar (the “Purchaser”), its interim Chief Executive Officer, which was initially entered into on February 4, 2025 (the “Amendment”). Pursuant to the Lazar Purchase Agreement, we had the right, but not the obligation, to direct the Purchaser, until September 30, 2026, to purchase up to $8,000,000 (the “Aggregate Purchase Price”) of shares of common stock, par value $0.001 per share (the “Common Stock”) of the Company (the “Shares”) in one or more private placement offerings. The applicable purchase price was to be the greater of (i) the consolidated closing bid price immediately prior to the entry into the Lazar Purchase Agreement and (ii) the consolidated closing bid price on the Trading Day (as defined in the Lazar Purchase Agreement) immediately preceding the applicable Purchase Date (as defined in the Lazar Purchase Agreement). We did not issue any shares of our Common Stock under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2025, we entered into a Securities Purchase Agreement (the “January Purchase Agreement”) with David E. Lazar, pursuant to which he agreed to purchase from the Company 1,000,000 shares of Series C Convertible Preferred Stock (the “Series C Preferred Stock”) and 2,100,000 shares of Series D Convertible Preferred Stock (the “Series D Preferred Stock” and, together with the Series C Preferred Stock, the “Preferred Stock”) of the Company at a purchase price of $1.00 per share for aggregate gross proceeds of $3.1 million, subject to the terms and conditions of the Purchase Agreement. The proceeds of the transaction were used to repay and settle outstanding liabilities of the Company and for other general corporate and operating purposes.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C Preferred Stock was convertible into 0.11 shares of the Company’s common stock, par value $0.001 per share (“Common Stock”), and each share of Series D Preferred Stock was convertible into 0.458333 shares of Common Stock. All 1,000,000 shares of Series C Preferred Stock were converted into 11,042 shares of Common Stock during 2025, and all 2,100,000 shares of Series D Preferred Stock were converted into 962,500 shares of Common Stock during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13, 2024, we entered into a letter agreement (the “Warrant Exercise and Reload Agreement”) with the holder (the “Holder”) of its issued and outstanding Series B Warrants (the “Prior Warrants”) to purchase an aggregate of 20,703 shares of Common Stock, offering the Holder the opportunity to exercise all of its Prior Warrants for cash at a reduced exercise price equal to $99.60 per share provided the Prior Warrants were exercised in full for cash on or before 12:30 P.M. Eastern Time on the date of the Warrant Exercise and Reload Agreement. In consideration for the exercise of the Prior Warrants, the Holder received new unregistered Series C Warrants (the “Series C Warrants”) exercisable for up to an aggregate of 41,407 shares of common stock (the “Series C Warrant Shares”) and new unregistered Series D Warrants (the “Series D Warrants” and, together with the Series C Warrants, the “New Warrants”) exercisable for up to an aggregate of 41,407 shares of common stock (the “Series D Warrant Shares” and, together with the Series C Warrant Shares, the “New Warrant Shares”). The Series C Warrants are exercisable for a period of five and one-half (5.5) years following the Stockholder Approval Date and the Series D Warrants are exercisable beginning on the Stockholder Approval Date for a period of eighteen (18) months. The New Warrants each have an exercise price of $99.60 per share. The shares of common stock issued upon exercise of the Prior Warrants are registered pursuant to an effective registration statement on Form S-1 (No. 333-279157).</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2024, we entered into a securities purchase agreement (the “Purchase Agreement”) with an institutional investor (the “Purchaser”) for the issuance and sale in a private placement (the “Private Placement”) of (i) 604 shares of the Company’s common stock, (ii) pre-funded warrants to purchase up to 20,099 shares of common stock (the “Pre-Funded Warrants”), (iii) series A warrants to purchase up to 20,703 shares of common stock (the “Series A Warrants”), and (iv) series B warrants to purchase up to 20,703 shares of common stock (the “Series B Warrants” and together with the Series A Warrants, the “Common Warrants”). The purchase price of each share of common stock and associated Common Warrants was $386.40 and the purchase price of each Pre-Funded Warrant and associated Common Warrants was $386.38.</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Warrants were exercisable immediately upon issuance at an exercise price of $326.40 per share. The Series A Warrants will expire five and one-half years from the date of issuance and the Series B Warrants will expire eighteen months from the date of issuance. The Pre-Funded Warrants were exercisable immediately upon issuance at an exercise price of $0.024 per share and were entirely exercised by the end of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on Preferred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the Board of Directors of Bio Green Med Solution, Inc. (the “Company”) declared a quarterly cash dividend of $0.15 per share on the Company’s 6% Convertible Exchangeable Preferred Stock (the “Preferred Stock”). The dividend was paid on February 1, 2026, to Preferred Stock stockholders of record as of the close of business on January 22,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Years Ended December 31, 2025 and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Results of Continuing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revenues for years ended December 31, 2025 and 2024 (in thousands except percentages):</w:t>
      </w:r>
    </w:p>
    <w:p>
      <w:pPr>
        <w:pStyle w:val="TextBody"/>
        <w:bidi w:val="0"/>
        <w:spacing w:before="0" w:after="0"/>
        <w:jc w:val="both"/>
        <w:rPr>
          <w:caps w:val="false"/>
          <w:smallCaps w:val="false"/>
        </w:rPr>
      </w:pPr>
      <w:r>
        <w:rPr>
          <w:caps w:val="false"/>
          <w:smallCaps w:val="false"/>
        </w:rPr>
        <w:t> </w:t>
      </w:r>
    </w:p>
    <w:tbl>
      <w:tblPr>
        <w:tblW w:w="6843" w:type="dxa"/>
        <w:jc w:val="left"/>
        <w:tblInd w:w="0" w:type="dxa"/>
        <w:tblLayout w:type="fixed"/>
        <w:tblCellMar>
          <w:top w:w="0" w:type="dxa"/>
          <w:left w:w="0" w:type="dxa"/>
          <w:bottom w:w="0" w:type="dxa"/>
          <w:right w:w="0" w:type="dxa"/>
        </w:tblCellMar>
      </w:tblPr>
      <w:tblGrid>
        <w:gridCol w:w="2600"/>
        <w:gridCol w:w="60"/>
        <w:gridCol w:w="358"/>
        <w:gridCol w:w="970"/>
        <w:gridCol w:w="151"/>
        <w:gridCol w:w="151"/>
        <w:gridCol w:w="358"/>
        <w:gridCol w:w="670"/>
        <w:gridCol w:w="60"/>
        <w:gridCol w:w="60"/>
        <w:gridCol w:w="140"/>
        <w:gridCol w:w="380"/>
        <w:gridCol w:w="95"/>
        <w:gridCol w:w="60"/>
        <w:gridCol w:w="60"/>
        <w:gridCol w:w="560"/>
        <w:gridCol w:w="110"/>
      </w:tblGrid>
      <w:tr>
        <w:trPr/>
        <w:tc>
          <w:tcPr>
            <w:tcW w:w="26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65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28" w:type="dxa"/>
            <w:gridSpan w:val="2"/>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28"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both"/>
              <w:rPr/>
            </w:pPr>
            <w:r>
              <w:rPr/>
              <w:t>Product Sales – Fire Safety</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747</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747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both"/>
              <w:rPr/>
            </w:pPr>
            <w:r>
              <w:rPr/>
              <w:t>Clinical trial supply</w:t>
            </w:r>
          </w:p>
        </w:tc>
        <w:tc>
          <w:tcPr>
            <w:tcW w:w="60" w:type="dxa"/>
            <w:tcBorders/>
            <w:shd w:fill="FFFFFF" w:val="clear"/>
            <w:vAlign w:val="center"/>
          </w:tcPr>
          <w:p>
            <w:pPr>
              <w:pStyle w:val="TableContents"/>
              <w:bidi w:val="0"/>
              <w:spacing w:before="0" w:after="283"/>
              <w:jc w:val="left"/>
              <w:rPr/>
            </w:pPr>
            <w:r>
              <w:rPr/>
              <w:t> </w:t>
            </w:r>
          </w:p>
        </w:tc>
        <w:tc>
          <w:tcPr>
            <w:tcW w:w="3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5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0" w:type="dxa"/>
            <w:tcBorders>
              <w:bottom w:val="single" w:sz="8" w:space="0" w:color="000000"/>
            </w:tcBorders>
            <w:shd w:fill="FFFFFF" w:val="clear"/>
            <w:tcMar>
              <w:bottom w:w="28" w:type="dxa"/>
            </w:tcMar>
            <w:vAlign w:val="center"/>
          </w:tcPr>
          <w:p>
            <w:pPr>
              <w:pStyle w:val="TableContents"/>
              <w:bidi w:val="0"/>
              <w:spacing w:before="0" w:after="283"/>
              <w:jc w:val="right"/>
              <w:rPr/>
            </w:pPr>
            <w:r>
              <w:rPr/>
              <w:t>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pPr>
            <w:r>
              <w:rPr/>
              <w:t>(43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(100</w:t>
            </w:r>
          </w:p>
        </w:tc>
        <w:tc>
          <w:tcPr>
            <w:tcW w:w="110" w:type="dxa"/>
            <w:tcBorders/>
            <w:shd w:fill="FFFFFF" w:val="clear"/>
            <w:vAlign w:val="center"/>
          </w:tcPr>
          <w:p>
            <w:pPr>
              <w:pStyle w:val="TableContents"/>
              <w:bidi w:val="0"/>
              <w:spacing w:before="0" w:after="283"/>
              <w:jc w:val="left"/>
              <w:rPr/>
            </w:pPr>
            <w:r>
              <w:rPr/>
              <w:t>)</w:t>
            </w:r>
          </w:p>
        </w:tc>
      </w:tr>
      <w:tr>
        <w:trPr/>
        <w:tc>
          <w:tcPr>
            <w:tcW w:w="2600" w:type="dxa"/>
            <w:tcBorders/>
            <w:shd w:fill="CCEEFF" w:val="clear"/>
            <w:vAlign w:val="center"/>
          </w:tcPr>
          <w:p>
            <w:pPr>
              <w:pStyle w:val="TableContents"/>
              <w:bidi w:val="0"/>
              <w:spacing w:before="0" w:after="283"/>
              <w:jc w:val="both"/>
              <w:rPr/>
            </w:pPr>
            <w:r>
              <w:rPr/>
              <w:t>Total Revenue</w:t>
            </w:r>
          </w:p>
        </w:tc>
        <w:tc>
          <w:tcPr>
            <w:tcW w:w="60" w:type="dxa"/>
            <w:tcBorders/>
            <w:shd w:fill="CCEEFF" w:val="clear"/>
            <w:vAlign w:val="center"/>
          </w:tcPr>
          <w:p>
            <w:pPr>
              <w:pStyle w:val="TableContents"/>
              <w:bidi w:val="0"/>
              <w:spacing w:before="0" w:after="283"/>
              <w:jc w:val="left"/>
              <w:rPr/>
            </w:pPr>
            <w:r>
              <w:rPr/>
              <w:t> </w:t>
            </w:r>
          </w:p>
        </w:tc>
        <w:tc>
          <w:tcPr>
            <w:tcW w:w="35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pPr>
            <w:r>
              <w:rPr/>
              <w:t>747</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35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70" w:type="dxa"/>
            <w:tcBorders>
              <w:bottom w:val="single" w:sz="8" w:space="0" w:color="000000"/>
            </w:tcBorders>
            <w:shd w:fill="CCEEFF" w:val="clear"/>
            <w:tcMar>
              <w:bottom w:w="28" w:type="dxa"/>
            </w:tcMar>
            <w:vAlign w:val="center"/>
          </w:tcPr>
          <w:p>
            <w:pPr>
              <w:pStyle w:val="TableContents"/>
              <w:bidi w:val="0"/>
              <w:spacing w:before="0" w:after="283"/>
              <w:jc w:val="right"/>
              <w:rPr/>
            </w:pPr>
            <w:r>
              <w:rPr/>
              <w:t>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pPr>
            <w:r>
              <w:rPr/>
              <w:t>704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1,637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our acquisition of Fitters Sdn. Bhd. On September 12, 2025, we recognized $0.7 million of revenue for the year ended December 31, 2025 in relation to the provision of fire safety and protection equipment.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recognized $0 of revenue relating to clinical trial supply for the year ended December 31, 2025 and $43,000 for the comparative period in 2024. This revenue relates to recovery of clinical manufacturing costs associated with an investigator sponsored study managed by Cedars-Sinai Medical Center.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revenues in fire safety in general to grow modestly in the near term, but expect more elevated growth in revenues for fire safety equipment, to service the rapid expansion of data centers in Southern Malaysia. We do not expect to report clinical trial supply or any other pharmaceutical development revenue for the foreseeable future.</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148</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Cost of sales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cost of sales for the years ended December 31, 2025 and 2024 (in thousands except percentages):</w:t>
      </w:r>
    </w:p>
    <w:p>
      <w:pPr>
        <w:pStyle w:val="TextBody"/>
        <w:bidi w:val="0"/>
        <w:spacing w:before="0" w:after="0"/>
        <w:jc w:val="both"/>
        <w:rPr>
          <w:caps w:val="false"/>
          <w:smallCaps w:val="false"/>
        </w:rPr>
      </w:pPr>
      <w:r>
        <w:rPr>
          <w:caps w:val="false"/>
          <w:smallCaps w:val="false"/>
        </w:rPr>
        <w:t> </w:t>
      </w:r>
    </w:p>
    <w:tbl>
      <w:tblPr>
        <w:tblW w:w="3982" w:type="dxa"/>
        <w:jc w:val="left"/>
        <w:tblInd w:w="0" w:type="dxa"/>
        <w:tblLayout w:type="fixed"/>
        <w:tblCellMar>
          <w:top w:w="0" w:type="dxa"/>
          <w:left w:w="0" w:type="dxa"/>
          <w:bottom w:w="0" w:type="dxa"/>
          <w:right w:w="0" w:type="dxa"/>
        </w:tblCellMar>
      </w:tblPr>
      <w:tblGrid>
        <w:gridCol w:w="1235"/>
        <w:gridCol w:w="60"/>
        <w:gridCol w:w="190"/>
        <w:gridCol w:w="516"/>
        <w:gridCol w:w="80"/>
        <w:gridCol w:w="80"/>
        <w:gridCol w:w="190"/>
        <w:gridCol w:w="356"/>
        <w:gridCol w:w="60"/>
        <w:gridCol w:w="60"/>
        <w:gridCol w:w="140"/>
        <w:gridCol w:w="380"/>
        <w:gridCol w:w="60"/>
        <w:gridCol w:w="60"/>
        <w:gridCol w:w="60"/>
        <w:gridCol w:w="380"/>
        <w:gridCol w:w="75"/>
      </w:tblGrid>
      <w:tr>
        <w:trPr/>
        <w:tc>
          <w:tcPr>
            <w:tcW w:w="12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612"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w:t>
            </w:r>
          </w:p>
        </w:tc>
        <w:tc>
          <w:tcPr>
            <w:tcW w:w="75"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75"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5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both"/>
              <w:rPr/>
            </w:pPr>
            <w:r>
              <w:rPr/>
              <w:t>Cost of sales</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16" w:type="dxa"/>
            <w:tcBorders>
              <w:bottom w:val="double" w:sz="6" w:space="0" w:color="000000"/>
            </w:tcBorders>
            <w:shd w:fill="CCEEFF" w:val="clear"/>
            <w:tcMar>
              <w:bottom w:w="28" w:type="dxa"/>
            </w:tcMar>
            <w:vAlign w:val="center"/>
          </w:tcPr>
          <w:p>
            <w:pPr>
              <w:pStyle w:val="TableContents"/>
              <w:bidi w:val="0"/>
              <w:spacing w:before="0" w:after="283"/>
              <w:jc w:val="right"/>
              <w:rPr/>
            </w:pPr>
            <w:r>
              <w:rPr/>
              <w:t>609</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5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pPr>
            <w:r>
              <w:rPr/>
              <w:t>609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pPr>
            <w:r>
              <w:rPr/>
              <w:t>100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sales represented 7% and 0% of our operating expenses for the years ended December 31, 2025 and 2024, respectively. Our gross margins, across all revenue streams, total approximately 19% of gross revenues. Around 80% of our gross margins are generated from low margin product sales with the remaining 20% generated from higher margin maintenance and service revenues. We do not expect the product mix or margins to change significantly in the near term. We are, however, susceptible to potential increased costs brought about by geo-political events such as adverse movements in world oil prices.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Research and development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expense all research and development costs as they are incurred. Research and development expenses primarily include:</w:t>
      </w:r>
    </w:p>
    <w:p>
      <w:pPr>
        <w:pStyle w:val="TextBody"/>
        <w:bidi w:val="0"/>
        <w:spacing w:before="0" w:after="0"/>
        <w:jc w:val="both"/>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75"/>
        <w:gridCol w:w="170"/>
        <w:gridCol w:w="81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Clinical trial and regulatory-related costs;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Payroll and personnel-related expenses, including consultants and contract research organizations;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Preclinical studies and materials;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Technology license costs;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Stock-based compensation;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Rent and facility expenses for the portion of our office housing research and development personnel.</w:t>
            </w:r>
          </w:p>
        </w:tc>
      </w:tr>
    </w:tbl>
    <w:p>
      <w:pPr>
        <w:pStyle w:val="TextBody"/>
        <w:bidi w:val="0"/>
        <w:spacing w:before="0" w:after="0"/>
        <w:ind w:left="8"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with respect to our research and development expenditures for the years ended December 31, 2025 and 2024 (in thousands except percentages):</w:t>
      </w:r>
    </w:p>
    <w:p>
      <w:pPr>
        <w:pStyle w:val="TextBody"/>
        <w:bidi w:val="0"/>
        <w:spacing w:before="0" w:after="0"/>
        <w:jc w:val="both"/>
        <w:rPr>
          <w:caps w:val="false"/>
          <w:smallCaps w:val="false"/>
        </w:rPr>
      </w:pPr>
      <w:r>
        <w:rPr>
          <w:caps w:val="false"/>
          <w:smallCaps w:val="false"/>
        </w:rPr>
        <w:t> </w:t>
      </w:r>
    </w:p>
    <w:tbl>
      <w:tblPr>
        <w:tblW w:w="7037" w:type="dxa"/>
        <w:jc w:val="left"/>
        <w:tblInd w:w="0" w:type="dxa"/>
        <w:tblLayout w:type="fixed"/>
        <w:tblCellMar>
          <w:top w:w="0" w:type="dxa"/>
          <w:left w:w="0" w:type="dxa"/>
          <w:bottom w:w="0" w:type="dxa"/>
          <w:right w:w="0" w:type="dxa"/>
        </w:tblCellMar>
      </w:tblPr>
      <w:tblGrid>
        <w:gridCol w:w="4010"/>
        <w:gridCol w:w="60"/>
        <w:gridCol w:w="147"/>
        <w:gridCol w:w="401"/>
        <w:gridCol w:w="63"/>
        <w:gridCol w:w="63"/>
        <w:gridCol w:w="147"/>
        <w:gridCol w:w="591"/>
        <w:gridCol w:w="60"/>
        <w:gridCol w:w="60"/>
        <w:gridCol w:w="140"/>
        <w:gridCol w:w="635"/>
        <w:gridCol w:w="95"/>
        <w:gridCol w:w="60"/>
        <w:gridCol w:w="60"/>
        <w:gridCol w:w="335"/>
        <w:gridCol w:w="110"/>
      </w:tblGrid>
      <w:tr>
        <w:trPr/>
        <w:tc>
          <w:tcPr>
            <w:tcW w:w="40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857"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both"/>
              <w:rPr/>
            </w:pPr>
            <w:r>
              <w:rPr/>
              <w:t>Transcriptional Regulation (fadraciclib)</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401" w:type="dxa"/>
            <w:tcBorders/>
            <w:shd w:fill="CCEEFF" w:val="clear"/>
            <w:vAlign w:val="center"/>
          </w:tcPr>
          <w:p>
            <w:pPr>
              <w:pStyle w:val="TableContents"/>
              <w:bidi w:val="0"/>
              <w:spacing w:before="0" w:after="283"/>
              <w:jc w:val="right"/>
              <w:rPr/>
            </w:pPr>
            <w:r>
              <w:rPr/>
              <w:t>389</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591" w:type="dxa"/>
            <w:tcBorders/>
            <w:shd w:fill="CCEEFF" w:val="clear"/>
            <w:vAlign w:val="center"/>
          </w:tcPr>
          <w:p>
            <w:pPr>
              <w:pStyle w:val="TableContents"/>
              <w:bidi w:val="0"/>
              <w:spacing w:before="0" w:after="283"/>
              <w:jc w:val="right"/>
              <w:rPr/>
            </w:pPr>
            <w:r>
              <w:rPr/>
              <w:t>4,970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(4,581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(92</w:t>
            </w:r>
          </w:p>
        </w:tc>
        <w:tc>
          <w:tcPr>
            <w:tcW w:w="110"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both"/>
              <w:rPr/>
            </w:pPr>
            <w:r>
              <w:rPr/>
              <w:t>Anti-mitotic (plogo)</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401" w:type="dxa"/>
            <w:tcBorders/>
            <w:shd w:fill="FFFFFF" w:val="clear"/>
            <w:vAlign w:val="center"/>
          </w:tcPr>
          <w:p>
            <w:pPr>
              <w:pStyle w:val="TableContents"/>
              <w:bidi w:val="0"/>
              <w:spacing w:before="0" w:after="283"/>
              <w:jc w:val="right"/>
              <w:rPr/>
            </w:pPr>
            <w:r>
              <w:rPr/>
              <w:t>423</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right"/>
              <w:rPr/>
            </w:pPr>
            <w:r>
              <w:rPr/>
              <w:t>1,566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(1,143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(73</w:t>
            </w:r>
          </w:p>
        </w:tc>
        <w:tc>
          <w:tcPr>
            <w:tcW w:w="110" w:type="dxa"/>
            <w:tcBorders/>
            <w:shd w:fill="FFFFFF" w:val="clear"/>
            <w:vAlign w:val="center"/>
          </w:tcPr>
          <w:p>
            <w:pPr>
              <w:pStyle w:val="TableContents"/>
              <w:bidi w:val="0"/>
              <w:spacing w:before="0" w:after="283"/>
              <w:jc w:val="left"/>
              <w:rPr/>
            </w:pPr>
            <w:r>
              <w:rPr/>
              <w:t>)</w:t>
            </w:r>
          </w:p>
        </w:tc>
      </w:tr>
      <w:tr>
        <w:trPr/>
        <w:tc>
          <w:tcPr>
            <w:tcW w:w="4010" w:type="dxa"/>
            <w:tcBorders/>
            <w:shd w:fill="CCEEFF" w:val="clear"/>
            <w:vAlign w:val="center"/>
          </w:tcPr>
          <w:p>
            <w:pPr>
              <w:pStyle w:val="TableContents"/>
              <w:bidi w:val="0"/>
              <w:spacing w:before="0" w:after="283"/>
              <w:jc w:val="both"/>
              <w:rPr/>
            </w:pPr>
            <w:r>
              <w:rPr/>
              <w:t>Other research and development expenses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01" w:type="dxa"/>
            <w:tcBorders>
              <w:bottom w:val="single" w:sz="8" w:space="0" w:color="000000"/>
            </w:tcBorders>
            <w:shd w:fill="CCEEFF" w:val="clear"/>
            <w:tcMar>
              <w:bottom w:w="28" w:type="dxa"/>
            </w:tcMar>
            <w:vAlign w:val="center"/>
          </w:tcPr>
          <w:p>
            <w:pPr>
              <w:pStyle w:val="TableContents"/>
              <w:bidi w:val="0"/>
              <w:spacing w:before="0" w:after="283"/>
              <w:jc w:val="right"/>
              <w:rPr/>
            </w:pPr>
            <w:r>
              <w:rPr/>
              <w:t>36</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1" w:type="dxa"/>
            <w:tcBorders>
              <w:bottom w:val="single" w:sz="8" w:space="0" w:color="000000"/>
            </w:tcBorders>
            <w:shd w:fill="CCEEFF" w:val="clear"/>
            <w:tcMar>
              <w:bottom w:w="28" w:type="dxa"/>
            </w:tcMar>
            <w:vAlign w:val="center"/>
          </w:tcPr>
          <w:p>
            <w:pPr>
              <w:pStyle w:val="TableContents"/>
              <w:bidi w:val="0"/>
              <w:spacing w:before="0" w:after="283"/>
              <w:jc w:val="right"/>
              <w:rPr/>
            </w:pPr>
            <w:r>
              <w:rPr/>
              <w:t>119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35" w:type="dxa"/>
            <w:tcBorders>
              <w:bottom w:val="single" w:sz="8" w:space="0" w:color="000000"/>
            </w:tcBorders>
            <w:shd w:fill="CCEEFF" w:val="clear"/>
            <w:tcMar>
              <w:bottom w:w="28" w:type="dxa"/>
            </w:tcMar>
            <w:vAlign w:val="center"/>
          </w:tcPr>
          <w:p>
            <w:pPr>
              <w:pStyle w:val="TableContents"/>
              <w:bidi w:val="0"/>
              <w:spacing w:before="0" w:after="283"/>
              <w:jc w:val="right"/>
              <w:rPr/>
            </w:pPr>
            <w:r>
              <w:rPr/>
              <w:t>(70</w:t>
            </w:r>
          </w:p>
        </w:tc>
        <w:tc>
          <w:tcPr>
            <w:tcW w:w="110"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both"/>
              <w:rPr/>
            </w:pPr>
            <w:r>
              <w:rPr/>
              <w:t>Total research and development expenses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01" w:type="dxa"/>
            <w:tcBorders>
              <w:bottom w:val="double" w:sz="6" w:space="0" w:color="000000"/>
            </w:tcBorders>
            <w:shd w:fill="FFFFFF" w:val="clear"/>
            <w:tcMar>
              <w:bottom w:w="28" w:type="dxa"/>
            </w:tcMar>
            <w:vAlign w:val="center"/>
          </w:tcPr>
          <w:p>
            <w:pPr>
              <w:pStyle w:val="TableContents"/>
              <w:bidi w:val="0"/>
              <w:spacing w:before="0" w:after="283"/>
              <w:jc w:val="right"/>
              <w:rPr/>
            </w:pPr>
            <w:r>
              <w:rPr/>
              <w:t>848</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91" w:type="dxa"/>
            <w:tcBorders>
              <w:bottom w:val="double" w:sz="6" w:space="0" w:color="000000"/>
            </w:tcBorders>
            <w:shd w:fill="FFFFFF" w:val="clear"/>
            <w:tcMar>
              <w:bottom w:w="28" w:type="dxa"/>
            </w:tcMar>
            <w:vAlign w:val="center"/>
          </w:tcPr>
          <w:p>
            <w:pPr>
              <w:pStyle w:val="TableContents"/>
              <w:bidi w:val="0"/>
              <w:spacing w:before="0" w:after="283"/>
              <w:jc w:val="right"/>
              <w:rPr/>
            </w:pPr>
            <w:r>
              <w:rPr/>
              <w:t>6,655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(5,807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bottom w:w="28" w:type="dxa"/>
            </w:tcMar>
            <w:vAlign w:val="center"/>
          </w:tcPr>
          <w:p>
            <w:pPr>
              <w:pStyle w:val="TableContents"/>
              <w:bidi w:val="0"/>
              <w:spacing w:before="0" w:after="283"/>
              <w:jc w:val="right"/>
              <w:rPr/>
            </w:pPr>
            <w:r>
              <w:rPr/>
              <w:t>(87</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represented 9% and 55% of our operating expenses for the years ended December 31, 2025 and 2024,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decreased by $5.8 million from $6.7 million for the year ended December 31, 2024 to $0.9 million for the year ended December 31, 2025. Expenditure for the transcriptional regulation program ceased as a result of the Company’s UK subsidiary, Cyclacel Limited, being liquidated on January 24, 2025. Research and development expenses relating to plogosertib decreased by $1.1 million relative to the respective comparative period while we paused our clinical trials and explored alternative salt and oral formulation with improved bioavailability.</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149</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liquidation of Cyclacel Limited, and therefore the loss of ownership of our transcriptional regulation program, coupled with the sale of our remaining anti-mitotic asset, plogosertib in early October 2025, we do not expect to incur any further material research and development expenditures.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General and administrative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include costs for administrative personnel, legal and other professional expenses and general corporate expenses. The following table summarizes the general and administrative expenses for the six months ended June 30, 2026 and 2025 (in $000s except percentages):</w:t>
      </w:r>
    </w:p>
    <w:p>
      <w:pPr>
        <w:pStyle w:val="TextBody"/>
        <w:bidi w:val="0"/>
        <w:spacing w:before="0" w:after="0"/>
        <w:jc w:val="both"/>
        <w:rPr>
          <w:caps w:val="false"/>
          <w:smallCaps w:val="false"/>
        </w:rPr>
      </w:pPr>
      <w:r>
        <w:rPr>
          <w:caps w:val="false"/>
          <w:smallCaps w:val="false"/>
        </w:rPr>
        <w:t> </w:t>
      </w:r>
    </w:p>
    <w:tbl>
      <w:tblPr>
        <w:tblW w:w="6935" w:type="dxa"/>
        <w:jc w:val="left"/>
        <w:tblInd w:w="0" w:type="dxa"/>
        <w:tblLayout w:type="fixed"/>
        <w:tblCellMar>
          <w:top w:w="0" w:type="dxa"/>
          <w:left w:w="0" w:type="dxa"/>
          <w:bottom w:w="0" w:type="dxa"/>
          <w:right w:w="0" w:type="dxa"/>
        </w:tblCellMar>
      </w:tblPr>
      <w:tblGrid>
        <w:gridCol w:w="3980"/>
        <w:gridCol w:w="60"/>
        <w:gridCol w:w="140"/>
        <w:gridCol w:w="380"/>
        <w:gridCol w:w="60"/>
        <w:gridCol w:w="60"/>
        <w:gridCol w:w="140"/>
        <w:gridCol w:w="560"/>
        <w:gridCol w:w="60"/>
        <w:gridCol w:w="60"/>
        <w:gridCol w:w="140"/>
        <w:gridCol w:w="635"/>
        <w:gridCol w:w="95"/>
        <w:gridCol w:w="60"/>
        <w:gridCol w:w="60"/>
        <w:gridCol w:w="335"/>
        <w:gridCol w:w="110"/>
      </w:tblGrid>
      <w:tr>
        <w:trPr/>
        <w:tc>
          <w:tcPr>
            <w:tcW w:w="39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8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Total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pPr>
            <w:r>
              <w:rPr/>
              <w:t>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5,463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(4,577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jc w:val="right"/>
              <w:rPr/>
            </w:pPr>
            <w:r>
              <w:rPr/>
              <w:t>(84</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general and administrative expenses represented 50% and 100% of our operating expenses for the six months ended June 30, 2026 and 2025,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decreased by approximately $4.6 million from $5.5 million for the six months ended June 30, 2025 to $0.9 million for the six months ended June 30, 2026, due to several one-time costs associated with the two changes of control of the Company; primarily stock compensation expense of $1.6 million, D&amp;O insurance costs of $0.9 million, compensation expense of $1.3 million, legal and professional costs of $0.8 million.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future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general and administrative expenditures for the year ended December 31, 2026 to be significantly lower than our expenditures for the year ended December 31, 2025, due to the various non-recurring one-time costs associated with the two changes of control of the Company during the prior year.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include costs for administrative personnel, legal and other professional expenses and general corporate expenses. The following table summarizes the total general and administrative expenses for the years ended December 31, 2025 and 2024 (in thousands except percentages):</w:t>
      </w:r>
    </w:p>
    <w:p>
      <w:pPr>
        <w:pStyle w:val="TextBody"/>
        <w:bidi w:val="0"/>
        <w:spacing w:before="0" w:after="0"/>
        <w:jc w:val="both"/>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3980"/>
        <w:gridCol w:w="60"/>
        <w:gridCol w:w="140"/>
        <w:gridCol w:w="560"/>
        <w:gridCol w:w="60"/>
        <w:gridCol w:w="60"/>
        <w:gridCol w:w="140"/>
        <w:gridCol w:w="560"/>
        <w:gridCol w:w="60"/>
        <w:gridCol w:w="60"/>
        <w:gridCol w:w="140"/>
        <w:gridCol w:w="560"/>
        <w:gridCol w:w="60"/>
        <w:gridCol w:w="60"/>
        <w:gridCol w:w="60"/>
        <w:gridCol w:w="260"/>
        <w:gridCol w:w="75"/>
      </w:tblGrid>
      <w:tr>
        <w:trPr/>
        <w:tc>
          <w:tcPr>
            <w:tcW w:w="39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8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w:t>
            </w:r>
          </w:p>
        </w:tc>
        <w:tc>
          <w:tcPr>
            <w:tcW w:w="7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7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both"/>
              <w:rPr/>
            </w:pPr>
            <w:r>
              <w:rPr/>
              <w:t>Total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7,717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5,392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2,225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right"/>
              <w:rPr/>
            </w:pPr>
            <w:r>
              <w:rPr/>
              <w:t>43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general and administrative expenses represented 84% and 45% of our operating expenses for the years ended December 31, 2025 and 2024,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expenditures increased by $2.3 million from $5.4 million for the year ended December 31, 2024 to $7.7 million for the year ended December 31, 2025. This increase was primarily due to several one-time costs associated with the two changes of control of the Company; primarily stock compensation expense of $1.3 million, D&amp;O insurance costs of $0.7 million, and compensation expense of $0.3 million. The acquisition of Fitters Sdn. Bhd. On September 12, 2025, resulted in a further $0.1m of general and administrative expenditures during the year ended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future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general and administrative expenditures for the year ended December 31, 2026 to reduce significantly compared to the year ended December 31, 2025 following the deconsolidation of Cyclacel Limited and elimination of nonrecurring costs related to two changes of control.</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expense, net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other income (expense) for years ended December 31, 2025 and 2024 (in thousands except percentages):</w:t>
      </w:r>
    </w:p>
    <w:p>
      <w:pPr>
        <w:pStyle w:val="TextBody"/>
        <w:bidi w:val="0"/>
        <w:spacing w:before="0" w:after="0"/>
        <w:jc w:val="both"/>
        <w:rPr>
          <w:caps w:val="false"/>
          <w:smallCaps w:val="false"/>
        </w:rPr>
      </w:pPr>
      <w:r>
        <w:rPr>
          <w:caps w:val="false"/>
          <w:smallCaps w:val="false"/>
        </w:rPr>
        <w:t> </w:t>
      </w:r>
    </w:p>
    <w:tbl>
      <w:tblPr>
        <w:tblW w:w="6916" w:type="dxa"/>
        <w:jc w:val="left"/>
        <w:tblInd w:w="0" w:type="dxa"/>
        <w:tblLayout w:type="fixed"/>
        <w:tblCellMar>
          <w:top w:w="0" w:type="dxa"/>
          <w:left w:w="0" w:type="dxa"/>
          <w:bottom w:w="0" w:type="dxa"/>
          <w:right w:w="0" w:type="dxa"/>
        </w:tblCellMar>
      </w:tblPr>
      <w:tblGrid>
        <w:gridCol w:w="3620"/>
        <w:gridCol w:w="60"/>
        <w:gridCol w:w="152"/>
        <w:gridCol w:w="611"/>
        <w:gridCol w:w="65"/>
        <w:gridCol w:w="65"/>
        <w:gridCol w:w="152"/>
        <w:gridCol w:w="366"/>
        <w:gridCol w:w="95"/>
        <w:gridCol w:w="60"/>
        <w:gridCol w:w="140"/>
        <w:gridCol w:w="560"/>
        <w:gridCol w:w="60"/>
        <w:gridCol w:w="60"/>
        <w:gridCol w:w="60"/>
        <w:gridCol w:w="680"/>
        <w:gridCol w:w="110"/>
      </w:tblGrid>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126"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6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51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Foreign exchange gains (losses)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611" w:type="dxa"/>
            <w:tcBorders/>
            <w:shd w:fill="CCEEFF" w:val="clear"/>
            <w:vAlign w:val="center"/>
          </w:tcPr>
          <w:p>
            <w:pPr>
              <w:pStyle w:val="TableContents"/>
              <w:bidi w:val="0"/>
              <w:spacing w:before="0" w:after="283"/>
              <w:jc w:val="right"/>
              <w:rPr/>
            </w:pPr>
            <w:r>
              <w:rPr/>
              <w:t>73</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366" w:type="dxa"/>
            <w:tcBorders/>
            <w:shd w:fill="CCEEFF" w:val="clear"/>
            <w:vAlign w:val="center"/>
          </w:tcPr>
          <w:p>
            <w:pPr>
              <w:pStyle w:val="TableContents"/>
              <w:bidi w:val="0"/>
              <w:spacing w:before="0" w:after="283"/>
              <w:jc w:val="right"/>
              <w:rPr/>
            </w:pPr>
            <w:r>
              <w:rPr/>
              <w:t>(54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(235</w:t>
            </w:r>
          </w:p>
        </w:tc>
        <w:tc>
          <w:tcPr>
            <w:tcW w:w="110" w:type="dxa"/>
            <w:tcBorders/>
            <w:shd w:fill="CCEEFF" w:val="clear"/>
            <w:vAlign w:val="center"/>
          </w:tcPr>
          <w:p>
            <w:pPr>
              <w:pStyle w:val="TableContents"/>
              <w:bidi w:val="0"/>
              <w:spacing w:before="0" w:after="283"/>
              <w:jc w:val="left"/>
              <w:rPr/>
            </w:pPr>
            <w:r>
              <w:rPr/>
              <w:t>)</w:t>
            </w:r>
          </w:p>
        </w:tc>
      </w:tr>
      <w:tr>
        <w:trPr/>
        <w:tc>
          <w:tcPr>
            <w:tcW w:w="3620" w:type="dxa"/>
            <w:tcBorders/>
            <w:shd w:fill="FFFFFF" w:val="clear"/>
            <w:vAlign w:val="center"/>
          </w:tcPr>
          <w:p>
            <w:pPr>
              <w:pStyle w:val="TableContents"/>
              <w:bidi w:val="0"/>
              <w:spacing w:before="0" w:after="283"/>
              <w:jc w:val="both"/>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pPr>
            <w:r>
              <w:rPr/>
              <w:t>62</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right"/>
              <w:rPr/>
            </w:pPr>
            <w:r>
              <w:rPr/>
              <w:t>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417</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Gain on deconsolidation of subsidiary</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pPr>
            <w:r>
              <w:rPr/>
              <w:t>4,947</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4,947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11" w:type="dxa"/>
            <w:tcBorders>
              <w:bottom w:val="single" w:sz="8" w:space="0" w:color="000000"/>
            </w:tcBorders>
            <w:shd w:fill="FFFFFF" w:val="clear"/>
            <w:tcMar>
              <w:bottom w:w="28" w:type="dxa"/>
            </w:tcMar>
            <w:vAlign w:val="center"/>
          </w:tcPr>
          <w:p>
            <w:pPr>
              <w:pStyle w:val="TableContents"/>
              <w:bidi w:val="0"/>
              <w:spacing w:before="0" w:after="283"/>
              <w:jc w:val="right"/>
              <w:rPr/>
            </w:pPr>
            <w:r>
              <w:rPr/>
              <w:t>354</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66" w:type="dxa"/>
            <w:tcBorders>
              <w:bottom w:val="single" w:sz="8" w:space="0" w:color="000000"/>
            </w:tcBorders>
            <w:shd w:fill="FFFFFF" w:val="clear"/>
            <w:tcMar>
              <w:bottom w:w="28" w:type="dxa"/>
            </w:tcMar>
            <w:vAlign w:val="center"/>
          </w:tcPr>
          <w:p>
            <w:pPr>
              <w:pStyle w:val="TableContents"/>
              <w:bidi w:val="0"/>
              <w:spacing w:before="0" w:after="283"/>
              <w:jc w:val="right"/>
              <w:rPr/>
            </w:pPr>
            <w:r>
              <w:rPr/>
              <w:t>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302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581</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11" w:type="dxa"/>
            <w:tcBorders>
              <w:bottom w:val="double" w:sz="6" w:space="0" w:color="000000"/>
            </w:tcBorders>
            <w:shd w:fill="CCEEFF" w:val="clear"/>
            <w:tcMar>
              <w:bottom w:w="28" w:type="dxa"/>
            </w:tcMar>
            <w:vAlign w:val="center"/>
          </w:tcPr>
          <w:p>
            <w:pPr>
              <w:pStyle w:val="TableContents"/>
              <w:bidi w:val="0"/>
              <w:spacing w:before="0" w:after="283"/>
              <w:jc w:val="right"/>
              <w:rPr/>
            </w:pPr>
            <w:r>
              <w:rPr/>
              <w:t>5,436</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66" w:type="dxa"/>
            <w:tcBorders>
              <w:bottom w:val="double" w:sz="6" w:space="0" w:color="000000"/>
            </w:tcBorders>
            <w:shd w:fill="CCEEFF" w:val="clear"/>
            <w:tcMar>
              <w:bottom w:w="28" w:type="dxa"/>
            </w:tcM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5,426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54,260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net, increased by $5.4 million from $10,000 for the year ended December 31, 2024 to $5.4 million for the year ended December 31, 2025. The increase in other income, net primarily relates to the liquidation of our formerly wholly owned subsidiary Cyclacel Limited, and the subsequent deconsolidation thereof in January 2025, which resulted in a $4.9 million gain on deconsolidation. Other income, net relates primarily to $0.3 million received from the sale of our research and development anti-mitotic asset, plogosertib in early October 2025. Furthermore, we received royalties under a December 2005 Asset Purchase Agreement, or APA, whereby Xcyte Therapies, Inc., or Xcyte (a business acquired by us in March 2006) sold through the APA and other related agreements certain assets and intellectual property which are not related to our product development plans to ThermoFisher Scientific Company, or TSC. Accordingly, we presented $0 and $52,000 as other income received from TSC during the years ended December 31, 2025 and 2024 respectively. We have no knowledge of TSC’s activities and cannot predict when we may receive income under the APA, if 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exchange losses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Favorable foreign exchange movements increased by $127,000 to a gain of $73,000 for the year ended December 31, 2025 compared to a loss of $54,000 for the year ended December 31,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had intercompany loans in place between our parent company and our former subsidiary based in the UK. As a result of the liquidation of the UK subsidiary in January 2025, the intercompany loans have been forgiven. The accumulated translation adjustments previously recorded in other comprehensive income within equity have been reclassified from accumulated other comprehensive income and recorded as part of the gain/loss from deconsolidation of the subsidiary.</w:t>
      </w:r>
    </w:p>
    <w:p>
      <w:pPr>
        <w:pStyle w:val="TextBody"/>
        <w:bidi w:val="0"/>
        <w:spacing w:before="0" w:after="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 Charge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 is estimated and recorded as part of the consolidated statements of operations. Due to our history of losses, we set 100% allowances for all deferred income tax. Accordingly, we reported approximately $39,000 income tax provision for the six months ended June 30, 2026, and $2,000 income tax provision during the six months ended June 30,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total income tax provision for the six months ended June 30, 2026 and 2025 (in $000s except percentages):</w:t>
      </w:r>
    </w:p>
    <w:p>
      <w:pPr>
        <w:pStyle w:val="TextBody"/>
        <w:bidi w:val="0"/>
        <w:ind w:left="0" w:right="0" w:firstLine="360"/>
        <w:jc w:val="both"/>
        <w:rPr>
          <w:caps w:val="false"/>
          <w:smallCaps w:val="false"/>
        </w:rPr>
      </w:pPr>
      <w:r>
        <w:rPr>
          <w:caps w:val="false"/>
          <w:smallCaps w:val="false"/>
        </w:rPr>
        <w:t> </w:t>
      </w:r>
    </w:p>
    <w:tbl>
      <w:tblPr>
        <w:tblW w:w="5325" w:type="dxa"/>
        <w:jc w:val="left"/>
        <w:tblInd w:w="0" w:type="dxa"/>
        <w:tblLayout w:type="fixed"/>
        <w:tblCellMar>
          <w:top w:w="0" w:type="dxa"/>
          <w:left w:w="0" w:type="dxa"/>
          <w:bottom w:w="0" w:type="dxa"/>
          <w:right w:w="0" w:type="dxa"/>
        </w:tblCellMar>
      </w:tblPr>
      <w:tblGrid>
        <w:gridCol w:w="2570"/>
        <w:gridCol w:w="60"/>
        <w:gridCol w:w="147"/>
        <w:gridCol w:w="353"/>
        <w:gridCol w:w="95"/>
        <w:gridCol w:w="60"/>
        <w:gridCol w:w="197"/>
        <w:gridCol w:w="303"/>
        <w:gridCol w:w="155"/>
        <w:gridCol w:w="60"/>
        <w:gridCol w:w="140"/>
        <w:gridCol w:w="335"/>
        <w:gridCol w:w="95"/>
        <w:gridCol w:w="60"/>
        <w:gridCol w:w="60"/>
        <w:gridCol w:w="560"/>
        <w:gridCol w:w="75"/>
      </w:tblGrid>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Six Months Ended</w:t>
            </w:r>
          </w:p>
        </w:tc>
        <w:tc>
          <w:tcPr>
            <w:tcW w:w="75"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75"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pPr>
            <w:r>
              <w:rPr/>
              <w:t>Income tax provision</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53" w:type="dxa"/>
            <w:tcBorders>
              <w:bottom w:val="single" w:sz="8" w:space="0" w:color="000000"/>
            </w:tcBorders>
            <w:shd w:fill="CCEEFF" w:val="clear"/>
            <w:tcMar>
              <w:bottom w:w="28" w:type="dxa"/>
            </w:tcMar>
            <w:vAlign w:val="center"/>
          </w:tcPr>
          <w:p>
            <w:pPr>
              <w:pStyle w:val="TableContents"/>
              <w:bidi w:val="0"/>
              <w:spacing w:before="0" w:after="283"/>
              <w:jc w:val="right"/>
              <w:rPr/>
            </w:pPr>
            <w:r>
              <w:rPr/>
              <w:t>(39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03"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35" w:type="dxa"/>
            <w:tcBorders>
              <w:bottom w:val="single" w:sz="8" w:space="0" w:color="000000"/>
            </w:tcBorders>
            <w:shd w:fill="CCEEFF" w:val="clear"/>
            <w:tcMar>
              <w:bottom w:w="28" w:type="dxa"/>
            </w:tcMar>
            <w:vAlign w:val="center"/>
          </w:tcPr>
          <w:p>
            <w:pPr>
              <w:pStyle w:val="TableContents"/>
              <w:bidi w:val="0"/>
              <w:spacing w:before="0" w:after="283"/>
              <w:jc w:val="right"/>
              <w:rPr/>
            </w:pPr>
            <w:r>
              <w:rPr/>
              <w:t>(37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1,850</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570" w:type="dxa"/>
            <w:tcBorders/>
            <w:shd w:fill="FFFFFF" w:val="clear"/>
            <w:vAlign w:val="center"/>
          </w:tcPr>
          <w:p>
            <w:pPr>
              <w:pStyle w:val="TableContents"/>
              <w:bidi w:val="0"/>
              <w:spacing w:before="0" w:after="283"/>
              <w:jc w:val="left"/>
              <w:rPr/>
            </w:pPr>
            <w:r>
              <w:rPr/>
              <w:t>Total income tax provision</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53" w:type="dxa"/>
            <w:tcBorders>
              <w:bottom w:val="double" w:sz="6" w:space="0" w:color="000000"/>
            </w:tcBorders>
            <w:shd w:fill="FFFFFF" w:val="clear"/>
            <w:tcMar>
              <w:bottom w:w="28" w:type="dxa"/>
            </w:tcMar>
            <w:vAlign w:val="center"/>
          </w:tcPr>
          <w:p>
            <w:pPr>
              <w:pStyle w:val="TableContents"/>
              <w:bidi w:val="0"/>
              <w:spacing w:before="0" w:after="283"/>
              <w:jc w:val="right"/>
              <w:rPr/>
            </w:pPr>
            <w:r>
              <w:rPr/>
              <w:t>(39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03" w:type="dxa"/>
            <w:tcBorders>
              <w:bottom w:val="double" w:sz="6" w:space="0" w:color="000000"/>
            </w:tcBorders>
            <w:shd w:fill="FFFFFF" w:val="clear"/>
            <w:tcMar>
              <w:bottom w:w="28" w:type="dxa"/>
            </w:tcMar>
            <w:vAlign w:val="center"/>
          </w:tcPr>
          <w:p>
            <w:pPr>
              <w:pStyle w:val="TableContents"/>
              <w:bidi w:val="0"/>
              <w:spacing w:before="0" w:after="283"/>
              <w:jc w:val="right"/>
              <w:rPr/>
            </w:pPr>
            <w:r>
              <w:rPr/>
              <w:t>(2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jc w:val="right"/>
              <w:rPr/>
            </w:pPr>
            <w:r>
              <w:rPr/>
              <w:t>(37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1,850</w:t>
            </w:r>
          </w:p>
        </w:tc>
        <w:tc>
          <w:tcPr>
            <w:tcW w:w="75"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 benefit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 research and development tax credits within income taxes. Credit is taken for research and development tax credits, which are claimed from the United Kingdom’s taxation and customs authority (HMRC), in respect of qualifying research and development costs incurred.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total income tax benefit from such credits for the years ended December 31, 2025 and 2024 (in thousands except percentages):</w:t>
      </w:r>
    </w:p>
    <w:p>
      <w:pPr>
        <w:pStyle w:val="TextBody"/>
        <w:bidi w:val="0"/>
        <w:spacing w:before="0" w:after="0"/>
        <w:jc w:val="both"/>
        <w:rPr>
          <w:caps w:val="false"/>
          <w:smallCaps w:val="false"/>
        </w:rPr>
      </w:pPr>
      <w:r>
        <w:rPr>
          <w:caps w:val="false"/>
          <w:smallCaps w:val="false"/>
        </w:rPr>
        <w:t> </w:t>
      </w:r>
    </w:p>
    <w:tbl>
      <w:tblPr>
        <w:tblW w:w="6151" w:type="dxa"/>
        <w:jc w:val="left"/>
        <w:tblInd w:w="0" w:type="dxa"/>
        <w:tblLayout w:type="fixed"/>
        <w:tblCellMar>
          <w:top w:w="0" w:type="dxa"/>
          <w:left w:w="0" w:type="dxa"/>
          <w:bottom w:w="0" w:type="dxa"/>
          <w:right w:w="0" w:type="dxa"/>
        </w:tblCellMar>
      </w:tblPr>
      <w:tblGrid>
        <w:gridCol w:w="3170"/>
        <w:gridCol w:w="60"/>
        <w:gridCol w:w="196"/>
        <w:gridCol w:w="304"/>
        <w:gridCol w:w="130"/>
        <w:gridCol w:w="81"/>
        <w:gridCol w:w="191"/>
        <w:gridCol w:w="524"/>
        <w:gridCol w:w="60"/>
        <w:gridCol w:w="60"/>
        <w:gridCol w:w="140"/>
        <w:gridCol w:w="455"/>
        <w:gridCol w:w="95"/>
        <w:gridCol w:w="60"/>
        <w:gridCol w:w="60"/>
        <w:gridCol w:w="455"/>
        <w:gridCol w:w="110"/>
      </w:tblGrid>
      <w:tr>
        <w:trPr/>
        <w:tc>
          <w:tcPr>
            <w:tcW w:w="31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811"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2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both"/>
              <w:rPr/>
            </w:pPr>
            <w:r>
              <w:rPr/>
              <w:t>Income tax benefit (charge)</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04" w:type="dxa"/>
            <w:tcBorders>
              <w:bottom w:val="single" w:sz="8" w:space="0" w:color="000000"/>
            </w:tcBorders>
            <w:shd w:fill="CCEEFF" w:val="clear"/>
            <w:tcMar>
              <w:bottom w:w="28" w:type="dxa"/>
            </w:tcMar>
            <w:vAlign w:val="center"/>
          </w:tcPr>
          <w:p>
            <w:pPr>
              <w:pStyle w:val="TableContents"/>
              <w:bidi w:val="0"/>
              <w:spacing w:before="0" w:after="283"/>
              <w:jc w:val="right"/>
              <w:rPr/>
            </w:pPr>
            <w:r>
              <w:rPr/>
              <w:t>(7</w:t>
            </w:r>
          </w:p>
        </w:tc>
        <w:tc>
          <w:tcPr>
            <w:tcW w:w="130" w:type="dxa"/>
            <w:tcBorders/>
            <w:shd w:fill="CCEEFF" w:val="clear"/>
            <w:vAlign w:val="center"/>
          </w:tcPr>
          <w:p>
            <w:pPr>
              <w:pStyle w:val="TableContents"/>
              <w:bidi w:val="0"/>
              <w:spacing w:before="0" w:after="283"/>
              <w:jc w:val="left"/>
              <w:rPr/>
            </w:pPr>
            <w:r>
              <w:rPr/>
              <w:t>)</w:t>
            </w:r>
          </w:p>
        </w:tc>
        <w:tc>
          <w:tcPr>
            <w:tcW w:w="81"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524" w:type="dxa"/>
            <w:tcBorders>
              <w:bottom w:val="single" w:sz="8" w:space="0" w:color="000000"/>
            </w:tcBorders>
            <w:shd w:fill="CCEEFF" w:val="clear"/>
            <w:tcMar>
              <w:bottom w:w="28" w:type="dxa"/>
            </w:tcMar>
            <w:vAlign w:val="center"/>
          </w:tcPr>
          <w:p>
            <w:pPr>
              <w:pStyle w:val="TableContents"/>
              <w:bidi w:val="0"/>
              <w:spacing w:before="0" w:after="283"/>
              <w:jc w:val="right"/>
              <w:rPr/>
            </w:pPr>
            <w:r>
              <w:rPr/>
              <w:t>782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(789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(101</w:t>
            </w:r>
          </w:p>
        </w:tc>
        <w:tc>
          <w:tcPr>
            <w:tcW w:w="110" w:type="dxa"/>
            <w:tcBorders/>
            <w:shd w:fill="CCEEFF" w:val="clear"/>
            <w:vAlign w:val="center"/>
          </w:tcPr>
          <w:p>
            <w:pPr>
              <w:pStyle w:val="TableContents"/>
              <w:bidi w:val="0"/>
              <w:spacing w:before="0" w:after="283"/>
              <w:jc w:val="left"/>
              <w:rPr/>
            </w:pPr>
            <w:r>
              <w:rPr/>
              <w:t>)</w:t>
            </w:r>
          </w:p>
        </w:tc>
      </w:tr>
      <w:tr>
        <w:trPr/>
        <w:tc>
          <w:tcPr>
            <w:tcW w:w="3170" w:type="dxa"/>
            <w:tcBorders/>
            <w:shd w:fill="FFFFFF" w:val="clear"/>
            <w:vAlign w:val="center"/>
          </w:tcPr>
          <w:p>
            <w:pPr>
              <w:pStyle w:val="TableContents"/>
              <w:bidi w:val="0"/>
              <w:spacing w:before="0" w:after="283"/>
              <w:jc w:val="both"/>
              <w:rPr/>
            </w:pPr>
            <w:r>
              <w:rPr/>
              <w:t>Total income tax benefit (charge)</w:t>
            </w:r>
          </w:p>
        </w:tc>
        <w:tc>
          <w:tcPr>
            <w:tcW w:w="60"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04" w:type="dxa"/>
            <w:tcBorders>
              <w:bottom w:val="double" w:sz="6" w:space="0" w:color="000000"/>
            </w:tcBorders>
            <w:shd w:fill="FFFFFF" w:val="clear"/>
            <w:tcMar>
              <w:bottom w:w="28" w:type="dxa"/>
            </w:tcMar>
            <w:vAlign w:val="center"/>
          </w:tcPr>
          <w:p>
            <w:pPr>
              <w:pStyle w:val="TableContents"/>
              <w:bidi w:val="0"/>
              <w:spacing w:before="0" w:after="283"/>
              <w:jc w:val="right"/>
              <w:rPr/>
            </w:pPr>
            <w:r>
              <w:rPr/>
              <w:t>(7</w:t>
            </w:r>
          </w:p>
        </w:tc>
        <w:tc>
          <w:tcPr>
            <w:tcW w:w="130" w:type="dxa"/>
            <w:tcBorders/>
            <w:shd w:fill="FFFFFF" w:val="clear"/>
            <w:vAlign w:val="center"/>
          </w:tcPr>
          <w:p>
            <w:pPr>
              <w:pStyle w:val="TableContents"/>
              <w:bidi w:val="0"/>
              <w:spacing w:before="0" w:after="283"/>
              <w:jc w:val="left"/>
              <w:rPr/>
            </w:pPr>
            <w:r>
              <w:rPr/>
              <w:t>)</w:t>
            </w:r>
          </w:p>
        </w:tc>
        <w:tc>
          <w:tcPr>
            <w:tcW w:w="81"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24" w:type="dxa"/>
            <w:tcBorders>
              <w:bottom w:val="double" w:sz="6" w:space="0" w:color="000000"/>
            </w:tcBorders>
            <w:shd w:fill="FFFFFF" w:val="clear"/>
            <w:tcMar>
              <w:bottom w:w="28" w:type="dxa"/>
            </w:tcMar>
            <w:vAlign w:val="center"/>
          </w:tcPr>
          <w:p>
            <w:pPr>
              <w:pStyle w:val="TableContents"/>
              <w:bidi w:val="0"/>
              <w:spacing w:before="0" w:after="283"/>
              <w:jc w:val="right"/>
              <w:rPr/>
            </w:pPr>
            <w:r>
              <w:rPr/>
              <w:t>782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(789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(101</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151</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tax benefit decreased significantly by approximately $0.8 million, from $0.8 million benefit for the year ended December 31, 2024 to $7,000 charge for the year ended December 31, 2025, due to the ineligibility to recover in 2025 qualifying research and developments expenditure incurred during 2024. The level of tax credits recoverable is linked directly to qualifying research and development expenditure incurred in any one year and the availability of trading losses.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liquidation of the UK Subsidiary, we are no longer eligible to receive United Kingdom research and development tax credits.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Discontinued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liquidation of our former subsidiary Cyclacel Limited in January 2025 and the subsequent sale of our remaining research and development asset Plogosertib in October 2025, we no longer undertake any research and development related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with respect to our research and development expenditures, now discontinued operations, for the six months ended June 30, 2026 and June 30, 2025 (in $000s except percentages):</w:t>
      </w:r>
    </w:p>
    <w:p>
      <w:pPr>
        <w:pStyle w:val="TextBody"/>
        <w:bidi w:val="0"/>
        <w:spacing w:before="0" w:after="0"/>
        <w:ind w:left="0" w:right="0" w:firstLine="720"/>
        <w:jc w:val="both"/>
        <w:rPr>
          <w:caps w:val="false"/>
          <w:smallCaps w:val="false"/>
        </w:rPr>
      </w:pPr>
      <w:r>
        <w:rPr>
          <w:caps w:val="false"/>
          <w:smallCaps w:val="false"/>
        </w:rPr>
        <w:t> </w:t>
      </w:r>
    </w:p>
    <w:tbl>
      <w:tblPr>
        <w:tblW w:w="6705" w:type="dxa"/>
        <w:jc w:val="left"/>
        <w:tblInd w:w="0" w:type="dxa"/>
        <w:tblLayout w:type="fixed"/>
        <w:tblCellMar>
          <w:top w:w="0" w:type="dxa"/>
          <w:left w:w="0" w:type="dxa"/>
          <w:bottom w:w="0" w:type="dxa"/>
          <w:right w:w="0" w:type="dxa"/>
        </w:tblCellMar>
      </w:tblPr>
      <w:tblGrid>
        <w:gridCol w:w="4010"/>
        <w:gridCol w:w="60"/>
        <w:gridCol w:w="175"/>
        <w:gridCol w:w="325"/>
        <w:gridCol w:w="60"/>
        <w:gridCol w:w="60"/>
        <w:gridCol w:w="140"/>
        <w:gridCol w:w="380"/>
        <w:gridCol w:w="60"/>
        <w:gridCol w:w="60"/>
        <w:gridCol w:w="140"/>
        <w:gridCol w:w="455"/>
        <w:gridCol w:w="95"/>
        <w:gridCol w:w="60"/>
        <w:gridCol w:w="60"/>
        <w:gridCol w:w="455"/>
        <w:gridCol w:w="110"/>
      </w:tblGrid>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Transcriptional Regulation (fadraciclib)</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32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(389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(100</w:t>
            </w:r>
          </w:p>
        </w:tc>
        <w:tc>
          <w:tcPr>
            <w:tcW w:w="110"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left"/>
              <w:rPr/>
            </w:pPr>
            <w:r>
              <w:rPr/>
              <w:t>Anti-mitotic (plogosertib)</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423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(423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(100</w:t>
            </w:r>
          </w:p>
        </w:tc>
        <w:tc>
          <w:tcPr>
            <w:tcW w:w="110" w:type="dxa"/>
            <w:tcBorders/>
            <w:shd w:fill="FFFFFF" w:val="clear"/>
            <w:vAlign w:val="center"/>
          </w:tcPr>
          <w:p>
            <w:pPr>
              <w:pStyle w:val="TableContents"/>
              <w:bidi w:val="0"/>
              <w:spacing w:before="0" w:after="283"/>
              <w:jc w:val="left"/>
              <w:rPr/>
            </w:pPr>
            <w:r>
              <w:rPr/>
              <w:t>)</w:t>
            </w:r>
          </w:p>
        </w:tc>
      </w:tr>
      <w:tr>
        <w:trPr/>
        <w:tc>
          <w:tcPr>
            <w:tcW w:w="4010" w:type="dxa"/>
            <w:tcBorders/>
            <w:shd w:fill="CCEEFF" w:val="clear"/>
            <w:vAlign w:val="center"/>
          </w:tcPr>
          <w:p>
            <w:pPr>
              <w:pStyle w:val="TableContents"/>
              <w:bidi w:val="0"/>
              <w:spacing w:before="0" w:after="283"/>
              <w:jc w:val="left"/>
              <w:rPr/>
            </w:pPr>
            <w:r>
              <w:rPr/>
              <w:t>Other research and development expenses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pPr>
            <w:r>
              <w:rPr/>
              <w:t>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(100</w:t>
            </w:r>
          </w:p>
        </w:tc>
        <w:tc>
          <w:tcPr>
            <w:tcW w:w="110"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left"/>
              <w:rPr/>
            </w:pPr>
            <w:r>
              <w:rPr/>
              <w:t>Total discontinued operations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2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80" w:type="dxa"/>
            <w:tcBorders>
              <w:bottom w:val="double" w:sz="6" w:space="0" w:color="000000"/>
            </w:tcBorders>
            <w:shd w:fill="FFFFFF" w:val="clear"/>
            <w:tcMar>
              <w:bottom w:w="28" w:type="dxa"/>
            </w:tcMar>
            <w:vAlign w:val="center"/>
          </w:tcPr>
          <w:p>
            <w:pPr>
              <w:pStyle w:val="TableContents"/>
              <w:bidi w:val="0"/>
              <w:spacing w:before="0" w:after="283"/>
              <w:jc w:val="right"/>
              <w:rPr/>
            </w:pPr>
            <w:r>
              <w:rPr/>
              <w:t>890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(890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(100</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with respect to net other income from discontinued operations, for the six months ended June 30, 2026 and June 30, 2025 (in $000s except percentages):</w:t>
      </w:r>
    </w:p>
    <w:p>
      <w:pPr>
        <w:pStyle w:val="TextBody"/>
        <w:bidi w:val="0"/>
        <w:spacing w:before="0" w:after="0"/>
        <w:ind w:left="0" w:right="0" w:firstLine="360"/>
        <w:jc w:val="both"/>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5030"/>
        <w:gridCol w:w="60"/>
        <w:gridCol w:w="175"/>
        <w:gridCol w:w="325"/>
        <w:gridCol w:w="60"/>
        <w:gridCol w:w="60"/>
        <w:gridCol w:w="60"/>
        <w:gridCol w:w="560"/>
        <w:gridCol w:w="60"/>
        <w:gridCol w:w="60"/>
        <w:gridCol w:w="140"/>
        <w:gridCol w:w="635"/>
        <w:gridCol w:w="95"/>
        <w:gridCol w:w="60"/>
        <w:gridCol w:w="60"/>
        <w:gridCol w:w="455"/>
        <w:gridCol w:w="110"/>
      </w:tblGrid>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0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left"/>
              <w:rPr/>
            </w:pPr>
            <w:r>
              <w:rPr/>
              <w:t>Gain on deconsolidation of subsidiary</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4,947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(4,947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(100</w:t>
            </w:r>
          </w:p>
        </w:tc>
        <w:tc>
          <w:tcPr>
            <w:tcW w:w="110" w:type="dxa"/>
            <w:tcBorders/>
            <w:shd w:fill="CCEEFF" w:val="clear"/>
            <w:vAlign w:val="center"/>
          </w:tcPr>
          <w:p>
            <w:pPr>
              <w:pStyle w:val="TableContents"/>
              <w:bidi w:val="0"/>
              <w:spacing w:before="0" w:after="283"/>
              <w:jc w:val="left"/>
              <w:rPr/>
            </w:pPr>
            <w:r>
              <w:rPr/>
              <w:t>)</w:t>
            </w:r>
          </w:p>
        </w:tc>
      </w:tr>
      <w:tr>
        <w:trPr/>
        <w:tc>
          <w:tcPr>
            <w:tcW w:w="5030" w:type="dxa"/>
            <w:tcBorders/>
            <w:shd w:fill="FFFFFF" w:val="clear"/>
            <w:vAlign w:val="center"/>
          </w:tcPr>
          <w:p>
            <w:pPr>
              <w:pStyle w:val="TableContents"/>
              <w:bidi w:val="0"/>
              <w:spacing w:before="0" w:after="283"/>
              <w:jc w:val="left"/>
              <w:rPr/>
            </w:pPr>
            <w:r>
              <w:rPr/>
              <w:t>Total other income, net from discontinued operations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2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4,947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(4,947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(100</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liquidation of our formerly wholly owned subsidiary and the subsequent deconsolidation thereof in January 2025 resulted in a $4.9 million gain on deconsolidation during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our key liquidity measures as of the six months ended June 30, 2026 and June 30, 2025 (in $000s):</w:t>
      </w:r>
    </w:p>
    <w:p>
      <w:pPr>
        <w:pStyle w:val="TextBody"/>
        <w:bidi w:val="0"/>
        <w:spacing w:before="0" w:after="0"/>
        <w:jc w:val="left"/>
        <w:rPr>
          <w:caps w:val="false"/>
          <w:smallCaps w:val="false"/>
        </w:rPr>
      </w:pPr>
      <w:r>
        <w:rPr>
          <w:caps w:val="false"/>
          <w:smallCaps w:val="false"/>
        </w:rPr>
        <w:t> </w:t>
      </w:r>
    </w:p>
    <w:tbl>
      <w:tblPr>
        <w:tblW w:w="4250" w:type="dxa"/>
        <w:jc w:val="left"/>
        <w:tblInd w:w="0" w:type="dxa"/>
        <w:tblLayout w:type="fixed"/>
        <w:tblCellMar>
          <w:top w:w="0" w:type="dxa"/>
          <w:left w:w="0" w:type="dxa"/>
          <w:bottom w:w="0" w:type="dxa"/>
          <w:right w:w="0" w:type="dxa"/>
        </w:tblCellMar>
      </w:tblPr>
      <w:tblGrid>
        <w:gridCol w:w="2525"/>
        <w:gridCol w:w="60"/>
        <w:gridCol w:w="140"/>
        <w:gridCol w:w="560"/>
        <w:gridCol w:w="95"/>
        <w:gridCol w:w="60"/>
        <w:gridCol w:w="140"/>
        <w:gridCol w:w="560"/>
        <w:gridCol w:w="110"/>
      </w:tblGrid>
      <w:tr>
        <w:trPr/>
        <w:tc>
          <w:tcPr>
            <w:tcW w:w="25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3,790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4,275</w:t>
            </w:r>
          </w:p>
        </w:tc>
        <w:tc>
          <w:tcPr>
            <w:tcW w:w="11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Working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5,969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4,383</w:t>
            </w:r>
          </w:p>
        </w:tc>
        <w:tc>
          <w:tcPr>
            <w:tcW w:w="11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(692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(760</w:t>
            </w:r>
          </w:p>
        </w:tc>
        <w:tc>
          <w:tcPr>
            <w:tcW w:w="110" w:type="dxa"/>
            <w:tcBorders/>
            <w:shd w:fill="FFFFFF" w:val="clear"/>
            <w:vAlign w:val="center"/>
          </w:tcPr>
          <w:p>
            <w:pPr>
              <w:pStyle w:val="TableContents"/>
              <w:bidi w:val="0"/>
              <w:spacing w:before="0" w:after="283"/>
              <w:jc w:val="left"/>
              <w:rPr/>
            </w:pPr>
            <w:r>
              <w:rPr/>
              <w:t>)</w:t>
            </w:r>
          </w:p>
        </w:tc>
      </w:tr>
      <w:tr>
        <w:trPr/>
        <w:tc>
          <w:tcPr>
            <w:tcW w:w="2525" w:type="dxa"/>
            <w:tcBorders/>
            <w:shd w:fill="CCEEFF" w:val="clear"/>
            <w:vAlign w:val="center"/>
          </w:tcPr>
          <w:p>
            <w:pPr>
              <w:pStyle w:val="TableContents"/>
              <w:bidi w:val="0"/>
              <w:spacing w:before="0" w:after="283"/>
              <w:jc w:val="left"/>
              <w:rPr/>
            </w:pPr>
            <w:r>
              <w:rPr/>
              <w:t>Total working capital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5,277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3,623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relied primarily on the proceeds from sales of common and preferred equity securities to finance our operations and internal growth. Additional funding has come through research and development tax credits, government grants, the sale of product rights, interest on investments and licensing revenue. We have incurred significant losses since our inception. As of June 30, 2026, we had an accumulated deficit of $455.0 million.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our key liquidity measures as of December 31, 2025 and 2024 (in thousands):</w:t>
      </w:r>
    </w:p>
    <w:p>
      <w:pPr>
        <w:pStyle w:val="TextBody"/>
        <w:bidi w:val="0"/>
        <w:spacing w:before="0" w:after="0"/>
        <w:jc w:val="both"/>
        <w:rPr>
          <w:caps w:val="false"/>
          <w:smallCaps w:val="false"/>
        </w:rPr>
      </w:pPr>
      <w:r>
        <w:rPr>
          <w:caps w:val="false"/>
          <w:smallCaps w:val="false"/>
        </w:rPr>
        <w:t> </w:t>
      </w:r>
    </w:p>
    <w:tbl>
      <w:tblPr>
        <w:tblW w:w="4730" w:type="dxa"/>
        <w:jc w:val="left"/>
        <w:tblInd w:w="0" w:type="dxa"/>
        <w:tblLayout w:type="fixed"/>
        <w:tblCellMar>
          <w:top w:w="0" w:type="dxa"/>
          <w:left w:w="0" w:type="dxa"/>
          <w:bottom w:w="0" w:type="dxa"/>
          <w:right w:w="0" w:type="dxa"/>
        </w:tblCellMar>
      </w:tblPr>
      <w:tblGrid>
        <w:gridCol w:w="2855"/>
        <w:gridCol w:w="60"/>
        <w:gridCol w:w="140"/>
        <w:gridCol w:w="635"/>
        <w:gridCol w:w="95"/>
        <w:gridCol w:w="60"/>
        <w:gridCol w:w="140"/>
        <w:gridCol w:w="635"/>
        <w:gridCol w:w="110"/>
      </w:tblGrid>
      <w:tr>
        <w:trPr/>
        <w:tc>
          <w:tcPr>
            <w:tcW w:w="28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3,505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3,137</w:t>
            </w:r>
          </w:p>
        </w:tc>
        <w:tc>
          <w:tcPr>
            <w:tcW w:w="11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pPr>
            <w:r>
              <w:rPr/>
              <w:t>Working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pPr>
            <w:r>
              <w:rPr/>
              <w:t>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6,256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3,674</w:t>
            </w:r>
          </w:p>
        </w:tc>
        <w:tc>
          <w:tcPr>
            <w:tcW w:w="11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(1,332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(6,268</w:t>
            </w:r>
          </w:p>
        </w:tc>
        <w:tc>
          <w:tcPr>
            <w:tcW w:w="110" w:type="dxa"/>
            <w:tcBorders/>
            <w:shd w:fill="FFFFFF" w:val="clear"/>
            <w:vAlign w:val="center"/>
          </w:tcPr>
          <w:p>
            <w:pPr>
              <w:pStyle w:val="TableContents"/>
              <w:bidi w:val="0"/>
              <w:spacing w:before="0" w:after="283"/>
              <w:jc w:val="left"/>
              <w:rPr/>
            </w:pPr>
            <w:r>
              <w:rPr/>
              <w:t>)</w:t>
            </w:r>
          </w:p>
        </w:tc>
      </w:tr>
      <w:tr>
        <w:trPr/>
        <w:tc>
          <w:tcPr>
            <w:tcW w:w="2855" w:type="dxa"/>
            <w:tcBorders/>
            <w:shd w:fill="CCEEFF" w:val="clear"/>
            <w:vAlign w:val="center"/>
          </w:tcPr>
          <w:p>
            <w:pPr>
              <w:pStyle w:val="TableContents"/>
              <w:bidi w:val="0"/>
              <w:spacing w:before="0" w:after="283"/>
              <w:jc w:val="both"/>
              <w:rPr/>
            </w:pPr>
            <w:r>
              <w:rPr/>
              <w:t>Total working capital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4,924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(2,594</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from operating, investing and financing activities for the six months ended June 30, 2026 and June 30, 2025 is summarized as follows (in $000s):</w:t>
      </w:r>
    </w:p>
    <w:p>
      <w:pPr>
        <w:pStyle w:val="TextBody"/>
        <w:bidi w:val="0"/>
        <w:spacing w:before="0" w:after="0"/>
        <w:jc w:val="both"/>
        <w:rPr>
          <w:caps w:val="false"/>
          <w:smallCaps w:val="false"/>
        </w:rPr>
      </w:pPr>
      <w:r>
        <w:rPr>
          <w:caps w:val="false"/>
          <w:smallCaps w:val="false"/>
        </w:rPr>
        <w:t> </w:t>
      </w:r>
    </w:p>
    <w:tbl>
      <w:tblPr>
        <w:tblW w:w="7826" w:type="dxa"/>
        <w:jc w:val="left"/>
        <w:tblInd w:w="0" w:type="dxa"/>
        <w:tblLayout w:type="fixed"/>
        <w:tblCellMar>
          <w:top w:w="0" w:type="dxa"/>
          <w:left w:w="0" w:type="dxa"/>
          <w:bottom w:w="0" w:type="dxa"/>
          <w:right w:w="0" w:type="dxa"/>
        </w:tblCellMar>
      </w:tblPr>
      <w:tblGrid>
        <w:gridCol w:w="4535"/>
        <w:gridCol w:w="60"/>
        <w:gridCol w:w="286"/>
        <w:gridCol w:w="932"/>
        <w:gridCol w:w="194"/>
        <w:gridCol w:w="122"/>
        <w:gridCol w:w="286"/>
        <w:gridCol w:w="1301"/>
        <w:gridCol w:w="110"/>
      </w:tblGrid>
      <w:tr>
        <w:trPr/>
        <w:tc>
          <w:tcPr>
            <w:tcW w:w="45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12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110"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1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94"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5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both"/>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932" w:type="dxa"/>
            <w:tcBorders/>
            <w:shd w:fill="CCEEFF" w:val="clear"/>
            <w:vAlign w:val="center"/>
          </w:tcPr>
          <w:p>
            <w:pPr>
              <w:pStyle w:val="TableContents"/>
              <w:bidi w:val="0"/>
              <w:spacing w:before="0" w:after="283"/>
              <w:jc w:val="right"/>
              <w:rPr/>
            </w:pPr>
            <w:r>
              <w:rPr/>
              <w:t>(630</w:t>
            </w:r>
          </w:p>
        </w:tc>
        <w:tc>
          <w:tcPr>
            <w:tcW w:w="194" w:type="dxa"/>
            <w:tcBorders/>
            <w:shd w:fill="CCEEFF" w:val="clear"/>
            <w:vAlign w:val="center"/>
          </w:tcPr>
          <w:p>
            <w:pPr>
              <w:pStyle w:val="TableContents"/>
              <w:bidi w:val="0"/>
              <w:spacing w:before="0" w:after="283"/>
              <w:jc w:val="left"/>
              <w:rPr/>
            </w:pPr>
            <w:r>
              <w:rPr/>
              <w:t>)</w:t>
            </w:r>
          </w:p>
        </w:tc>
        <w:tc>
          <w:tcPr>
            <w:tcW w:w="122"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1301" w:type="dxa"/>
            <w:tcBorders/>
            <w:shd w:fill="CCEEFF" w:val="clear"/>
            <w:vAlign w:val="center"/>
          </w:tcPr>
          <w:p>
            <w:pPr>
              <w:pStyle w:val="TableContents"/>
              <w:bidi w:val="0"/>
              <w:spacing w:before="0" w:after="283"/>
              <w:jc w:val="right"/>
              <w:rPr/>
            </w:pPr>
            <w:r>
              <w:rPr/>
              <w:t>(4,303</w:t>
            </w:r>
          </w:p>
        </w:tc>
        <w:tc>
          <w:tcPr>
            <w:tcW w:w="110" w:type="dxa"/>
            <w:tcBorders/>
            <w:shd w:fill="CCEEFF" w:val="clear"/>
            <w:vAlign w:val="center"/>
          </w:tcPr>
          <w:p>
            <w:pPr>
              <w:pStyle w:val="TableContents"/>
              <w:bidi w:val="0"/>
              <w:spacing w:before="0" w:after="283"/>
              <w:jc w:val="left"/>
              <w:rPr/>
            </w:pPr>
            <w:r>
              <w:rPr/>
              <w:t>)</w:t>
            </w:r>
          </w:p>
        </w:tc>
      </w:tr>
      <w:tr>
        <w:trPr/>
        <w:tc>
          <w:tcPr>
            <w:tcW w:w="4535" w:type="dxa"/>
            <w:tcBorders/>
            <w:shd w:fill="FFFFFF" w:val="clear"/>
            <w:vAlign w:val="center"/>
          </w:tcPr>
          <w:p>
            <w:pPr>
              <w:pStyle w:val="TableContents"/>
              <w:bidi w:val="0"/>
              <w:spacing w:before="0" w:after="283"/>
              <w:jc w:val="both"/>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(1</w:t>
            </w:r>
          </w:p>
        </w:tc>
        <w:tc>
          <w:tcPr>
            <w:tcW w:w="194" w:type="dxa"/>
            <w:tcBorders/>
            <w:shd w:fill="FFFFFF" w:val="clear"/>
            <w:vAlign w:val="center"/>
          </w:tcPr>
          <w:p>
            <w:pPr>
              <w:pStyle w:val="TableContents"/>
              <w:bidi w:val="0"/>
              <w:spacing w:before="0" w:after="283"/>
              <w:jc w:val="left"/>
              <w:rPr/>
            </w:pPr>
            <w:r>
              <w:rPr/>
              <w:t>)</w:t>
            </w:r>
          </w:p>
        </w:tc>
        <w:tc>
          <w:tcPr>
            <w:tcW w:w="122"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both"/>
              <w:rPr/>
            </w:pPr>
            <w:r>
              <w:rPr/>
              <w:t>Net cash (used) provided by financing activities</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878</w:t>
            </w:r>
          </w:p>
        </w:tc>
        <w:tc>
          <w:tcPr>
            <w:tcW w:w="194"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5,526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from operating, investing and financing activities for the six months ended June 30, 2025 and 2024 is summarized as follows (in $000s):</w:t>
      </w:r>
    </w:p>
    <w:p>
      <w:pPr>
        <w:pStyle w:val="TextBody"/>
        <w:bidi w:val="0"/>
        <w:spacing w:before="0" w:after="0"/>
        <w:jc w:val="both"/>
        <w:rPr>
          <w:caps w:val="false"/>
          <w:smallCaps w:val="false"/>
        </w:rPr>
      </w:pPr>
      <w:r>
        <w:rPr>
          <w:caps w:val="false"/>
          <w:smallCaps w:val="false"/>
        </w:rPr>
        <w:t> </w:t>
      </w:r>
    </w:p>
    <w:tbl>
      <w:tblPr>
        <w:tblW w:w="6582" w:type="dxa"/>
        <w:jc w:val="left"/>
        <w:tblInd w:w="0" w:type="dxa"/>
        <w:tblLayout w:type="fixed"/>
        <w:tblCellMar>
          <w:top w:w="0" w:type="dxa"/>
          <w:left w:w="0" w:type="dxa"/>
          <w:bottom w:w="0" w:type="dxa"/>
          <w:right w:w="0" w:type="dxa"/>
        </w:tblCellMar>
      </w:tblPr>
      <w:tblGrid>
        <w:gridCol w:w="3890"/>
        <w:gridCol w:w="60"/>
        <w:gridCol w:w="207"/>
        <w:gridCol w:w="940"/>
        <w:gridCol w:w="140"/>
        <w:gridCol w:w="88"/>
        <w:gridCol w:w="207"/>
        <w:gridCol w:w="940"/>
        <w:gridCol w:w="110"/>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w:t>
            </w:r>
          </w:p>
        </w:tc>
        <w:tc>
          <w:tcPr>
            <w:tcW w:w="11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940" w:type="dxa"/>
            <w:tcBorders/>
            <w:shd w:fill="CCEEFF" w:val="clear"/>
            <w:vAlign w:val="center"/>
          </w:tcPr>
          <w:p>
            <w:pPr>
              <w:pStyle w:val="TableContents"/>
              <w:bidi w:val="0"/>
              <w:spacing w:before="0" w:after="283"/>
              <w:jc w:val="right"/>
              <w:rPr/>
            </w:pPr>
            <w:r>
              <w:rPr/>
              <w:t>(4,303</w:t>
            </w:r>
          </w:p>
        </w:tc>
        <w:tc>
          <w:tcPr>
            <w:tcW w:w="140" w:type="dxa"/>
            <w:tcBorders/>
            <w:shd w:fill="CCEEFF" w:val="clear"/>
            <w:vAlign w:val="center"/>
          </w:tcPr>
          <w:p>
            <w:pPr>
              <w:pStyle w:val="TableContents"/>
              <w:bidi w:val="0"/>
              <w:spacing w:before="0" w:after="283"/>
              <w:jc w:val="left"/>
              <w:rPr/>
            </w:pPr>
            <w:r>
              <w:rPr/>
              <w:t>)</w:t>
            </w:r>
          </w:p>
        </w:tc>
        <w:tc>
          <w:tcPr>
            <w:tcW w:w="8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940" w:type="dxa"/>
            <w:tcBorders/>
            <w:shd w:fill="CCEEFF" w:val="clear"/>
            <w:vAlign w:val="center"/>
          </w:tcPr>
          <w:p>
            <w:pPr>
              <w:pStyle w:val="TableContents"/>
              <w:bidi w:val="0"/>
              <w:spacing w:before="0" w:after="283"/>
              <w:jc w:val="right"/>
              <w:rPr/>
            </w:pPr>
            <w:r>
              <w:rPr/>
              <w:t>(3,567</w:t>
            </w:r>
          </w:p>
        </w:tc>
        <w:tc>
          <w:tcPr>
            <w:tcW w:w="110" w:type="dxa"/>
            <w:tcBorders/>
            <w:shd w:fill="CCEEFF" w:val="clear"/>
            <w:vAlign w:val="center"/>
          </w:tcPr>
          <w:p>
            <w:pPr>
              <w:pStyle w:val="TableContents"/>
              <w:bidi w:val="0"/>
              <w:spacing w:before="0" w:after="283"/>
              <w:jc w:val="left"/>
              <w:rPr/>
            </w:pPr>
            <w:r>
              <w:rPr/>
              <w:t>)</w:t>
            </w:r>
          </w:p>
        </w:tc>
      </w:tr>
      <w:tr>
        <w:trPr/>
        <w:tc>
          <w:tcPr>
            <w:tcW w:w="3890"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5,526</w:t>
            </w:r>
          </w:p>
        </w:tc>
        <w:tc>
          <w:tcPr>
            <w:tcW w:w="14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6,210</w:t>
            </w:r>
          </w:p>
        </w:tc>
        <w:tc>
          <w:tcPr>
            <w:tcW w:w="110"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Six</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recognized $1.1 million of revenue for the six months ended June 30, 2026 and $0 of revenue for the six months ended June 30, 2025, respectively. Revenue recognized in the current periods relate to product revenues from sales of fire safety equipment and services within our wholly-owned Malaysian-based subsidiary, Fitters Sdn. Bhd. which was acquired in September 2025.</w:t>
      </w:r>
    </w:p>
    <w:p>
      <w:pPr>
        <w:pStyle w:val="TextBody"/>
        <w:bidi w:val="0"/>
        <w:spacing w:before="0" w:after="0"/>
        <w:ind w:left="0" w:right="0" w:firstLine="360"/>
        <w:jc w:val="both"/>
        <w:rPr>
          <w:caps w:val="false"/>
          <w:smallCaps w:val="false"/>
        </w:rPr>
      </w:pPr>
      <w:r>
        <w:rPr>
          <w:caps w:val="false"/>
          <w:smallCaps w:val="false"/>
        </w:rPr>
        <w:t> </w:t>
      </w:r>
    </w:p>
    <w:tbl>
      <w:tblPr>
        <w:tblW w:w="4640" w:type="dxa"/>
        <w:jc w:val="left"/>
        <w:tblInd w:w="0" w:type="dxa"/>
        <w:tblLayout w:type="fixed"/>
        <w:tblCellMar>
          <w:top w:w="0" w:type="dxa"/>
          <w:left w:w="0" w:type="dxa"/>
          <w:bottom w:w="0" w:type="dxa"/>
          <w:right w:w="0" w:type="dxa"/>
        </w:tblCellMar>
      </w:tblPr>
      <w:tblGrid>
        <w:gridCol w:w="2090"/>
        <w:gridCol w:w="60"/>
        <w:gridCol w:w="125"/>
        <w:gridCol w:w="485"/>
        <w:gridCol w:w="60"/>
        <w:gridCol w:w="60"/>
        <w:gridCol w:w="142"/>
        <w:gridCol w:w="298"/>
        <w:gridCol w:w="60"/>
        <w:gridCol w:w="60"/>
        <w:gridCol w:w="125"/>
        <w:gridCol w:w="485"/>
        <w:gridCol w:w="60"/>
        <w:gridCol w:w="60"/>
        <w:gridCol w:w="60"/>
        <w:gridCol w:w="335"/>
        <w:gridCol w:w="75"/>
      </w:tblGrid>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5" w:type="dxa"/>
            <w:gridSpan w:val="14"/>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 Ended</w:t>
            </w:r>
          </w:p>
        </w:tc>
        <w:tc>
          <w:tcPr>
            <w:tcW w:w="7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5"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Difference</w:t>
            </w:r>
          </w:p>
        </w:tc>
        <w:tc>
          <w:tcPr>
            <w:tcW w:w="7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w:t>
            </w:r>
          </w:p>
        </w:tc>
        <w:tc>
          <w:tcPr>
            <w:tcW w:w="75"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left"/>
              <w:rPr>
                <w:sz w:val="20"/>
              </w:rPr>
            </w:pPr>
            <w:r>
              <w:rPr>
                <w:sz w:val="20"/>
              </w:rPr>
              <w:t>Product sales – fire safety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85" w:type="dxa"/>
            <w:tcBorders/>
            <w:shd w:fill="CCEEFF" w:val="clear"/>
            <w:vAlign w:val="center"/>
          </w:tcPr>
          <w:p>
            <w:pPr>
              <w:pStyle w:val="TableContents"/>
              <w:bidi w:val="0"/>
              <w:spacing w:before="0" w:after="283"/>
              <w:jc w:val="right"/>
              <w:rPr>
                <w:sz w:val="20"/>
              </w:rPr>
            </w:pPr>
            <w:r>
              <w:rPr>
                <w:sz w:val="20"/>
              </w:rPr>
              <w:t>1,114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20"/>
              </w:rPr>
            </w:pPr>
            <w:r>
              <w:rPr>
                <w:sz w:val="20"/>
              </w:rPr>
              <w:t>$</w:t>
            </w:r>
          </w:p>
        </w:tc>
        <w:tc>
          <w:tcPr>
            <w:tcW w:w="29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85" w:type="dxa"/>
            <w:tcBorders/>
            <w:shd w:fill="CCEEFF" w:val="clear"/>
            <w:vAlign w:val="center"/>
          </w:tcPr>
          <w:p>
            <w:pPr>
              <w:pStyle w:val="TableContents"/>
              <w:bidi w:val="0"/>
              <w:spacing w:before="0" w:after="283"/>
              <w:jc w:val="right"/>
              <w:rPr>
                <w:sz w:val="20"/>
              </w:rPr>
            </w:pPr>
            <w:r>
              <w:rPr>
                <w:sz w:val="20"/>
              </w:rPr>
              <w:t>1,114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sz w:val="20"/>
              </w:rPr>
            </w:pPr>
            <w:r>
              <w:rPr>
                <w:sz w:val="20"/>
              </w:rPr>
              <w:t>100</w:t>
            </w:r>
          </w:p>
        </w:tc>
        <w:tc>
          <w:tcPr>
            <w:tcW w:w="75"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left"/>
              <w:rPr>
                <w:sz w:val="20"/>
              </w:rPr>
            </w:pPr>
            <w:r>
              <w:rPr>
                <w:sz w:val="20"/>
              </w:rPr>
              <w:t>Total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1,114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298"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1,114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revenues in fire safety in general to grow modestly in the near term, but expect more elevated growth in revenues for fire safety equipment in future years, to service the rapid expansion of data centers in Southern Malaysia.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recognized $0.9 million cost of sales for the six months ended June 30, 2026 and $0 for the six months ended June 30, 2025. This cost of sales is related to product revenue generated by Fitters Sdn. Bhd.</w:t>
      </w:r>
    </w:p>
    <w:p>
      <w:pPr>
        <w:pStyle w:val="TextBody"/>
        <w:bidi w:val="0"/>
        <w:spacing w:before="0" w:after="0"/>
        <w:ind w:left="0" w:right="0" w:firstLine="360"/>
        <w:jc w:val="both"/>
        <w:rPr>
          <w:caps w:val="false"/>
          <w:smallCaps w:val="false"/>
        </w:rPr>
      </w:pPr>
      <w:r>
        <w:rPr>
          <w:caps w:val="false"/>
          <w:smallCaps w:val="false"/>
        </w:rPr>
        <w:t> </w:t>
      </w:r>
    </w:p>
    <w:tbl>
      <w:tblPr>
        <w:tblW w:w="3740" w:type="dxa"/>
        <w:jc w:val="left"/>
        <w:tblInd w:w="0" w:type="dxa"/>
        <w:tblLayout w:type="fixed"/>
        <w:tblCellMar>
          <w:top w:w="0" w:type="dxa"/>
          <w:left w:w="0" w:type="dxa"/>
          <w:bottom w:w="0" w:type="dxa"/>
          <w:right w:w="0" w:type="dxa"/>
        </w:tblCellMar>
      </w:tblPr>
      <w:tblGrid>
        <w:gridCol w:w="1490"/>
        <w:gridCol w:w="60"/>
        <w:gridCol w:w="125"/>
        <w:gridCol w:w="335"/>
        <w:gridCol w:w="60"/>
        <w:gridCol w:w="60"/>
        <w:gridCol w:w="142"/>
        <w:gridCol w:w="298"/>
        <w:gridCol w:w="60"/>
        <w:gridCol w:w="60"/>
        <w:gridCol w:w="125"/>
        <w:gridCol w:w="335"/>
        <w:gridCol w:w="60"/>
        <w:gridCol w:w="60"/>
        <w:gridCol w:w="60"/>
        <w:gridCol w:w="335"/>
        <w:gridCol w:w="75"/>
      </w:tblGrid>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5" w:type="dxa"/>
            <w:gridSpan w:val="14"/>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 Ended</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5"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Difference</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w:t>
            </w:r>
          </w:p>
        </w:tc>
        <w:tc>
          <w:tcPr>
            <w:tcW w:w="75"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sz w:val="20"/>
              </w:rPr>
            </w:pPr>
            <w:r>
              <w:rPr>
                <w:sz w:val="20"/>
              </w:rPr>
              <w:t>Total cost of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335" w:type="dxa"/>
            <w:tcBorders/>
            <w:shd w:fill="CCEEFF" w:val="clear"/>
            <w:vAlign w:val="center"/>
          </w:tcPr>
          <w:p>
            <w:pPr>
              <w:pStyle w:val="TableContents"/>
              <w:bidi w:val="0"/>
              <w:spacing w:before="0" w:after="283"/>
              <w:jc w:val="right"/>
              <w:rPr>
                <w:sz w:val="20"/>
              </w:rPr>
            </w:pPr>
            <w:r>
              <w:rPr>
                <w:sz w:val="20"/>
              </w:rPr>
              <w:t>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20"/>
              </w:rPr>
            </w:pPr>
            <w:r>
              <w:rPr>
                <w:sz w:val="20"/>
              </w:rPr>
              <w:t>$</w:t>
            </w:r>
          </w:p>
        </w:tc>
        <w:tc>
          <w:tcPr>
            <w:tcW w:w="29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335" w:type="dxa"/>
            <w:tcBorders/>
            <w:shd w:fill="CCEEFF" w:val="clear"/>
            <w:vAlign w:val="center"/>
          </w:tcPr>
          <w:p>
            <w:pPr>
              <w:pStyle w:val="TableContents"/>
              <w:bidi w:val="0"/>
              <w:spacing w:before="0" w:after="283"/>
              <w:jc w:val="right"/>
              <w:rPr>
                <w:sz w:val="20"/>
              </w:rPr>
            </w:pPr>
            <w:r>
              <w:rPr>
                <w:sz w:val="20"/>
              </w:rPr>
              <w:t>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sz w:val="20"/>
              </w:rPr>
            </w:pPr>
            <w:r>
              <w:rPr>
                <w:sz w:val="20"/>
              </w:rPr>
              <w:t>100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sales represented 50% and 0% of our operating expenses for the six months ended June 30, 2026 and 2025, respectively. Our gross margins for the three months ended March 31, 2026 approximate to 20% of gross revenues. We do not expect the product mix or margins to change significantly in the near term. We are, however, susceptible to potential increased costs brought about by geo-political events such as adverse movements in world oil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decreased by $3.6 million, from $4.3 million for the six months ended June 30, 2025 to $0.6 million for the six months ended June 30, 2026. The decrease in cash used by operating activities was primarily due to changes in working capital of $4.6 million following the acquisition of Fitters Sdn. Bhd. in September 2025 and offset by lower year-over-year stock compensation expense of $1.6 million, and lower year-over-year net losses of $0.8 million.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decreased by $3.1 million, from $8.0 million for the year ended December 31, 2024 to $4.8 million for the year ended December 31, 2025. The decrease in cash used by operating activities was primarily the result of a decrease in net loss of $8.3 million, and add backs for non-cash stock based compensation of $1.7 million. Offsetting these movements was a gain on deconsolidation of Cyclacel Limited of $4.9 million. In addition, we experienced an $11.9 million change in working capital primarily related to the settlement of accounts payable and accrued liabilities associated with our former UK subsidiary Cyclacel Limited.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investing activities was $1,000 for the six months ended June 30, 2026 and $0 for the six months ended June 30, 2025. Capital expenditure for the six months ended June 30, 2026 was related to computer equipment.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net cash used in investing activities for the year ended December 31, 2024 and $6,000 in capital expenditures on information technology (“IT”) during the respective comparative period.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$5.3 million for the year ended December 31, 2025 as a direct result of receiving approximately $6.4 million, net of expenses, from the issuance of preferred stock under Securities Purchase Agreements, offset by:</w:t>
      </w:r>
    </w:p>
    <w:p>
      <w:pPr>
        <w:pStyle w:val="TextBody"/>
        <w:bidi w:val="0"/>
        <w:spacing w:before="0" w:after="0"/>
        <w:jc w:val="both"/>
        <w:rPr>
          <w:caps w:val="false"/>
          <w:smallCaps w:val="false"/>
        </w:rPr>
      </w:pPr>
      <w:r>
        <w:rPr>
          <w:caps w:val="false"/>
          <w:smallCaps w:val="false"/>
        </w:rPr>
        <w:t> </w:t>
      </w:r>
    </w:p>
    <w:tbl>
      <w:tblPr>
        <w:tblW w:w="8643" w:type="dxa"/>
        <w:jc w:val="left"/>
        <w:tblInd w:w="0" w:type="dxa"/>
        <w:tblLayout w:type="fixed"/>
        <w:tblCellMar>
          <w:top w:w="0" w:type="dxa"/>
          <w:left w:w="0" w:type="dxa"/>
          <w:bottom w:w="0" w:type="dxa"/>
          <w:right w:w="0" w:type="dxa"/>
        </w:tblCellMar>
      </w:tblPr>
      <w:tblGrid>
        <w:gridCol w:w="38"/>
        <w:gridCol w:w="170"/>
        <w:gridCol w:w="84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million in net payments under the November 2024 Warrant Exchange Agreement, as amended, and</w:t>
            </w:r>
          </w:p>
        </w:tc>
      </w:tr>
    </w:tbl>
    <w:p>
      <w:pPr>
        <w:pStyle w:val="TextBody"/>
        <w:bidi w:val="0"/>
        <w:spacing w:before="0" w:after="0"/>
        <w:ind w:left="630" w:right="0" w:hanging="360"/>
        <w:jc w:val="both"/>
        <w:rPr>
          <w:caps w:val="false"/>
          <w:smallCaps w:val="false"/>
        </w:rPr>
      </w:pPr>
      <w:r>
        <w:rPr>
          <w:caps w:val="false"/>
          <w:smallCaps w:val="false"/>
        </w:rPr>
        <w:t> </w:t>
      </w:r>
    </w:p>
    <w:tbl>
      <w:tblPr>
        <w:tblW w:w="8553" w:type="dxa"/>
        <w:jc w:val="left"/>
        <w:tblInd w:w="0" w:type="dxa"/>
        <w:tblLayout w:type="fixed"/>
        <w:tblCellMar>
          <w:top w:w="0" w:type="dxa"/>
          <w:left w:w="0" w:type="dxa"/>
          <w:bottom w:w="0" w:type="dxa"/>
          <w:right w:w="0" w:type="dxa"/>
        </w:tblCellMar>
      </w:tblPr>
      <w:tblGrid>
        <w:gridCol w:w="38"/>
        <w:gridCol w:w="170"/>
        <w:gridCol w:w="8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 million in dividend payments to the holders of our 6% Convertible Exchangeable Preferred Stock</w:t>
            </w:r>
          </w:p>
        </w:tc>
      </w:tr>
    </w:tbl>
    <w:p>
      <w:pPr>
        <w:pStyle w:val="TextBody"/>
        <w:bidi w:val="0"/>
        <w:spacing w:before="0" w:after="0"/>
        <w:ind w:left="630"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$7.8 million for the year ended December 31, 2024 as a direct result of receiving approximately:</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million, net of expenses, from the issuance of common stock and warrants under a Securities Purchase Agreement with an institutional investor, and</w:t>
            </w:r>
          </w:p>
        </w:tc>
      </w:tr>
    </w:tbl>
    <w:p>
      <w:pPr>
        <w:pStyle w:val="TextBody"/>
        <w:bidi w:val="0"/>
        <w:spacing w:before="0" w:after="0"/>
        <w:ind w:left="728" w:right="0" w:hanging="360"/>
        <w:jc w:val="both"/>
        <w:rPr>
          <w:caps w:val="false"/>
          <w:smallCaps w:val="false"/>
        </w:rPr>
      </w:pPr>
      <w:r>
        <w:rPr>
          <w:caps w:val="false"/>
          <w:smallCaps w:val="false"/>
        </w:rPr>
        <w:t> </w:t>
      </w:r>
    </w:p>
    <w:tbl>
      <w:tblPr>
        <w:tblW w:w="6213" w:type="dxa"/>
        <w:jc w:val="left"/>
        <w:tblInd w:w="0" w:type="dxa"/>
        <w:tblLayout w:type="fixed"/>
        <w:tblCellMar>
          <w:top w:w="0" w:type="dxa"/>
          <w:left w:w="0" w:type="dxa"/>
          <w:bottom w:w="0" w:type="dxa"/>
          <w:right w:w="0" w:type="dxa"/>
        </w:tblCellMar>
      </w:tblPr>
      <w:tblGrid>
        <w:gridCol w:w="38"/>
        <w:gridCol w:w="170"/>
        <w:gridCol w:w="6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million in net proceeds from a warrant exercise and reload agreement</w:t>
            </w:r>
          </w:p>
        </w:tc>
      </w:tr>
    </w:tbl>
    <w:p>
      <w:pPr>
        <w:pStyle w:val="TextBody"/>
        <w:bidi w:val="0"/>
        <w:spacing w:before="0" w:after="0"/>
        <w:ind w:left="728"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financing activities was $0.9 million for the six months ended June 30, 2026 as a direct result of receiving $0.8 million, net of expenses, from the issuance of a Securities Purchase Agreement in a private placement, and the adjustment to issuance costs of $0.1 million under a warrant exchange agreement, as amended and offset by a dividend payment of approximately $40,580 to the holders of our 6% Preferred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$5.5 million for the six months ended June 30, 2025 as a direct result of receiving approximately $6.6 million, net of expenses, from the issuance of preferred stock under a Securities Purchase Agreement following a change of control of the Company. This was offset by a payment of $1.1 million under the November 2024 Warrant Exchange Agreement, as amended.</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153</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long-term contractual obligations as of December 31, 2024 (in thousands):</w:t>
      </w:r>
    </w:p>
    <w:p>
      <w:pPr>
        <w:pStyle w:val="TextBody"/>
        <w:bidi w:val="0"/>
        <w:spacing w:before="0" w:after="0"/>
        <w:jc w:val="both"/>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2750"/>
        <w:gridCol w:w="60"/>
        <w:gridCol w:w="196"/>
        <w:gridCol w:w="364"/>
        <w:gridCol w:w="60"/>
        <w:gridCol w:w="60"/>
        <w:gridCol w:w="285"/>
        <w:gridCol w:w="529"/>
        <w:gridCol w:w="82"/>
        <w:gridCol w:w="82"/>
        <w:gridCol w:w="550"/>
        <w:gridCol w:w="550"/>
        <w:gridCol w:w="82"/>
        <w:gridCol w:w="82"/>
        <w:gridCol w:w="385"/>
        <w:gridCol w:w="715"/>
        <w:gridCol w:w="82"/>
        <w:gridCol w:w="82"/>
        <w:gridCol w:w="316"/>
        <w:gridCol w:w="588"/>
        <w:gridCol w:w="75"/>
      </w:tblGrid>
      <w:tr>
        <w:trPr/>
        <w:tc>
          <w:tcPr>
            <w:tcW w:w="2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1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Payments Due by Period</w:t>
            </w:r>
          </w:p>
        </w:tc>
        <w:tc>
          <w:tcPr>
            <w:tcW w:w="75"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Less than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year</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 – 3 years</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3 – 5 years</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More than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years</w:t>
            </w:r>
          </w:p>
        </w:tc>
        <w:tc>
          <w:tcPr>
            <w:tcW w:w="75"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Operating Lease Obligations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364" w:type="dxa"/>
            <w:tcBorders/>
            <w:shd w:fill="CCEEFF" w:val="clear"/>
            <w:vAlign w:val="center"/>
          </w:tcPr>
          <w:p>
            <w:pPr>
              <w:pStyle w:val="TableContents"/>
              <w:bidi w:val="0"/>
              <w:spacing w:before="0" w:after="283"/>
              <w:jc w:val="right"/>
              <w:rPr/>
            </w:pPr>
            <w:r>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w:t>
            </w:r>
          </w:p>
        </w:tc>
        <w:tc>
          <w:tcPr>
            <w:tcW w:w="529" w:type="dxa"/>
            <w:tcBorders/>
            <w:shd w:fill="CCEEFF" w:val="clear"/>
            <w:vAlign w:val="center"/>
          </w:tcPr>
          <w:p>
            <w:pPr>
              <w:pStyle w:val="TableContents"/>
              <w:bidi w:val="0"/>
              <w:spacing w:before="0" w:after="283"/>
              <w:jc w:val="right"/>
              <w:rPr/>
            </w:pPr>
            <w:r>
              <w:rPr/>
              <w:t>18</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pPr>
            <w:r>
              <w:rPr/>
              <w:t>$</w:t>
            </w:r>
          </w:p>
        </w:tc>
        <w:tc>
          <w:tcPr>
            <w:tcW w:w="550" w:type="dxa"/>
            <w:tcBorders/>
            <w:shd w:fill="CCEEFF" w:val="clear"/>
            <w:vAlign w:val="center"/>
          </w:tcPr>
          <w:p>
            <w:pPr>
              <w:pStyle w:val="TableContents"/>
              <w:bidi w:val="0"/>
              <w:spacing w:before="0" w:after="283"/>
              <w:jc w:val="right"/>
              <w:rPr/>
            </w:pPr>
            <w:r>
              <w:rPr/>
              <w:t>2</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p>
        </w:tc>
        <w:tc>
          <w:tcPr>
            <w:tcW w:w="715"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w:t>
            </w:r>
          </w:p>
        </w:tc>
        <w:tc>
          <w:tcPr>
            <w:tcW w:w="58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obligations relates to leasing office space at our Berkeley Heights, New Jersey location. The lease for our Berkeley Heights location, which was entered into in April 2022, has been terminated, effective January 31, 2025. Effective March 1, 2025, the Company entered into a two year lease agreement for our corporate headquarters at Level 10, Tower 11, Avenue 5, No. 8, Jalan Kerinchi, 59200 Kuala Lumpur, Malaysia.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not had any off-balance sheet arrangements or relationships with unconsolidated entities or financial partnerships, such as entities often referred to as structured finance or variable interest entities, which are typically established for the purpose of facilitating off-balance sheet arrangements or other contractually narrow or limited purposes.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Accounting Pronouncements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Note 2 to the consolidated financial statements for a discussion of the potential effects that recently issued, but not yet effective, accounting standards will have on our financial statements when adopted in a future period.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discussion and analysis of our financial condition and results of operations is based on our financial statements, which have been prepared in accordance with accounting principles generally accepted in the United States. The preparation of these financial statements requires us to make estimates and judgments that affect the reported amounts of assets, liabilities and expenses and related disclosure of contingent assets and liabilities. We review our estimates on an ongoing basis. We base our estimates on historical experience and on various other factors that we believe to be reasonable under the circumstances. Actual results may differ from these estimates. We believe the judgments and estimates required by the following accounting policies to be critical in the preparation of our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significant accounting policies are more fully described in Note 2 to our consolidated financial statements included elsewhere in this report. We believe the following critical accounting policies reflect our more significant estimates and assumptions used in the preparation of our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critical accounting policies are those policies which require the most significant judgments and estimates in the preparation of our consolidated financial statements. We evaluate our estimates, judgments, and assumptions on an ongoing basis. Actual results may differ from these estimates under different assumptions or conditions. A summary of our critical accounting policies is presented in Part II, Item 7, of our Annual Report on Form 10-K for the year ended December 31, 2025 and Note 2 to our unaudited consolidated financial statements included elsewhere in this Quarterly Report on Form 10-Q. There have been no material changes to our critical accounting policies during the six months ended June 30,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Accrued Research and Development Costs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research and development costs comprise our best estimates related to the cost of clinical trials, laboratory, and manufacturing activities that were incurred, but not paid or invoiced, as of the end of a reporting period.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management and monitoring of our clinical trials are performed with the assistance of contract research organizations, or CROs, or clinical research associates, or CRAs, in accordance with our standard operating procedures. Typically, CROs and CRAs bill monthly for services performed, or based upon milestones achieved. We accrue unbilled clinical trial expenses based on estimates of the level of services performed each period. Moreover, clinical trial costs related to patient enrollment are accrued as patients are entered into and progress through the trial.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perform outsourced laboratory and manufacturing activities. We accrue for unbilled laboratory and manufacturing activities performed by third parties based on estimates of their progress towards completing the requested tasks.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accrued $0 research and development costs. As of December 31, 2024, we accrued $1.3 million research and development costs, that we have estimated to have been incurred as of year-end but had not been invoiced. This represents approximately 20% of our total research and development expense for the year ended December 31,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recording these accruals, we must make judgments about the progress of our various clinical activities. We (as well as our CROs and CRAs) are reliant on information being provided timely and accurately by the multitude of clinics and hospitals where the studies are being conducted, some of which are located internationally. We must also make estimates about the progress our third-party vendors are making towards completing laboratory and manufacturing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Stock-based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grant stock options, restricted stock units and restricted stock to officers, employees, directors and consultants under our 2018 Equity Incentive Plan (the 2018 Plan) and the 2020 Inducement Equity Incentive Plan. We measure compensation cost for all stock-based awards at fair value on date of grant and recognize compensation over the requisite service period. The fair value of restricted stock and restricted stock units is determined based on the number of shares granted and the quoted price of our common stock on the date of grant. The determination of grant-date fair value for stock option awards is estimated using an option-pricing model, which includes variables such as the expected volatility of our share price, the anticipated exercise behavior of our employees, interest rates, and dividend yields. These variables are projected based on our historical data, experience, and other factors. Changes in any of these variables could result in significant adjustments to the costs recognized for share-based payments.</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4" w:name="ak_054"/>
      <w:bookmarkEnd w:id="84"/>
      <w:r>
        <w:rPr>
          <w:rFonts w:ascii="Times New Roman;Times;Serif" w:hAnsi="Times New Roman;Times;Serif"/>
          <w:b/>
          <w:i w:val="false"/>
          <w:caps w:val="false"/>
          <w:smallCaps w:val="false"/>
          <w:sz w:val="20"/>
        </w:rPr>
        <w:t>MANAGEMENT’S DISCUSSION AND ANALYSIS 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CONDITION AND RESULTS OF OPERATIONS OF FUTURE NRG SDN. BHD.</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[Registration No: 200801012859 (814147-M)]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 (“FNRG,” “Future NRG,” “we,” “our,” or the “Company”) is a private limited company incorporated in Malaysia under the Companies Act 2016. The Company is principally engaged in the provision of medical waste collection, packaging, transportation, and treatment services to clinic operators throughout Malaysia. Its principal place of business is located at Lot PT 6127, 3A/1, Jalan Tech Valley, Bandar Sri Sendayan, Seremban, Negeri Sembilan, Malaysia. FNRG’s clinical waste treatment plant has been operating since 2017 and, using ozone technology from the United States, has been able to serve more than 4,400 waste generators nationwide.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18(1) &amp; 18(1a) Environmental Quality Act, 1974, Future NRG has been certified by the Jabatan Alam Sekitar (i.e., the Department of Environment, a Malaysian government agency under the Ministry of Natural Resources and Environmental Sustainability) to (a) operate the Clinical Waste Treatment Facility using Ozone in Sendayan Techvalley, Bandar Sri Sendayan (License No.: 006044); and to (b) transport Clinical Waste (“SW404”) from waste generators to the treatment facility (License No.: 006045). By complying to numerous environmental regulations throughout the globe - Future NRG’s ozone treatment is fast becoming a choice for medical waste generators in Malaysia. The Company was founded by and previously wholly owned by Fitters Diversified Berhad (“Fitters”), a company listed on the Main Market of Bursa Malaysia Securities Berhad.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Events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Restructuring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2026, Fitters entered into share sale agreements (“Share Sale Agreements”) with multiple purchasers to dispose of its entire equity interest in FNRG, comprising 28,000,000 ordinary shares, for an aggregate cash consideration of RM15,200,000. Under the terms of these Share Sale Agreements, the shareholding was distributed as follows: 15,400,000 ordinary shares (representing 55% of the total shareholding) were allocated to Perfect Energy Sdn. Bhd. for a consideration of RM8.36 million; 7,000,000 ordinary shares (representing 25% of the total shareholding) were allocated to Antbiz Sdn. Bhd. for a consideration of RM3.80 million; and the remaining 5,600,000 ordinary shares (representing 20% of the total shareholding) were divested to the following nine individual purchasers for an aggregate consideration of RM3.04 million: Ng Kok Yung, Tan Siew Ching, Ng Ling Hong, Wong Min Lin, Toh Jia Ying, Ng Kok Yee, Tan Sui Hua, Loh Yoke Mooi, and Liew Kim Foong.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conditions precedent under the Share Sale Agreements were fulfilled on March 26, 2026, upon which the agreements became unconditional. The parties subsequently executed the relevant instruments of transfer and mutually agreed that completion would take effect on the same date. Following these transactions, and the subsequent divestment of Fitters’ entire equity interest in FNRG to Perfect Energy Sdn. Bhd., Antbiz Sdn. Bhd. and the nine individual investors on March 26, 2026, FNRG ceased to be part of the Fitters group. Pursuant to the share sale agreement entered between Antbiz Sdn. Bhd. on 8 May 2026, which holds 7,000,000 or 25% of the total paid-up issued shares in FNRG, Antbiz Sdn. Bhd. has disposed of 2,520,000 or 9% and 1,960,000 or 7% of the total paid-up shares in FNRG to Yap Mun Kie and Kua Lik Jang respectively (“said Transfer”). The transfer of the shares had been validly executed by Antbiz Sdn. Bhd., Yap Mun Kie and Kua Lik Jang and the shareholdings of the said Transfer has been updated to reflect the said Transfer. As such, effective 25 May 2026, Antbiz Sdn. Bhd. holds 9% of the shares in the Company.</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Disposal of its subsidiary, Solid Orient Holdings Sdn. Bhd</w:t>
      </w:r>
      <w:r>
        <w:rPr>
          <w:rFonts w:ascii="Times New Roman;Times;Serif" w:hAnsi="Times New Roman;Times;Serif"/>
          <w:b w:val="false"/>
          <w:i/>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December 31, 2024, the Company held a 100% equity interest in Solid Orient Holdings Sdn. Bhd. (“SOH”), a company principally engaged in palm oil milling operations. On December 22, 2025, the Company entered into a share sale agreement (“SSA”) with its then-ultimate holding company, Fitters, to dispose of its 100% equity interest in SOH for a total consideration of RM 10,500,000 (equivalent to USD 2,585,620). On January 8, 2026, SOH allotted 46,700,000 new ordinary shares at an issue price of RM1.00 per share to the ultimate holding company, Fitters for cash consideration of RM46,700,000. As a result of this share allotment, the Company’s equity interest in SOH was diluted from 100% to 18.36%, resulting in a loss of control of the Company over SOH.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Subsequently, on January 23, 2026, the Company completed the disposal of its remaining 18.36% equity interest in SOH, comprising 10,500,000 ordinary shares, to Fitters pursuant to the SSA executed on 22 December 2025. The disposal consideration of RM10.5 million (equivalent to approximately USD 2,585,620) was applied to offset and reduce outstanding intercompany amounts owed to Fitters. Following completion of the transaction, the Company no longer holds any equity interest in SOH.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Consequently, the Company recognized a non-operating loss on disposal of equity interest in SOH of USD 1,904,424 (translated historically recorded as USD 1,919,251 in the three months ended March 31, 2026). On March 16, 2026, Fitters unconditionally waived the remaining outstanding intercompany payable balance of RM 7,855,337 (USD 1,926,508, translated historically recorded as USD 1,941,507), resulting in a non-cash gain on waiver of debt in Q2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 with Bio Green Med Solution, Inc.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a Delaware corporation (“BGMS” or “Parent”), the Company and certain shareholders of the Company (collectively, the “Selling Shareholders” and together with Parent, and the Company, the “Parties” and each, a “Party”) entered into a Business Combination Agreement dated as of June 4, 2026 (collectively, the “Business Combination Agreement”). The Parties thereto intend to effect a voluntary share exchange between Parent and the Selling Shareholders (the “Exchange”), in which the Company will become a wholly-owned subsidiary of Parent, in accordance with the terms of the Business Combination Agreement and the rules under Delaware General Corporation Law (the “DGCL”) and the Malaysian Companies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and in accordance with the DGCL, at the closing of the Exchange (the “Closing”), the Selling Shareholders shall convey, assign, and transfer all of their right, title and interest to the Company Ordinary Shares (individually, a “Share” and collectively, the “Shares”) to Parent by delivering to Parent executed and transferrable Share certificates (if certificated) endorsed in blank (or accompanied by duly executed stock powers endorsed in blank) in proper form for transfer, or if uncertificated, other applicable transfer instrument in accordance with the Malaysian Companies Act. The Shares transferred to Parent at the Closing shall constitute one hundred (100%) percent of the issued and outstanding capital shares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its acquisition of the Shares and without any action on the part of any Party or the holders of securities of Parent or the Company, each Share issued and outstanding immediately prior to the date and time of the filing of the Malaysia Form of Transfer or at such later date or time as may be agreed by the Company and Parent in writing and specified in the Malaysia Form of Transfer in accordance with relevant provisions of the Malaysian Companies Act (the “Effective Time”) shall be converted into, and the holder thereof shall be entitled to receive a number of Parent Common Stock equal to the quotient of (i) the Transaction Consideration Shares (as defined below) divided by (ii) the total number of Shares issued and outstanding immediately prior to the Effective Time.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amount of Parent Common Stock (the “Exchange Shares”) shall be issued to the Selling Shareholders by issuance of book-entry shares representing the Exchange Shares in accordance with the applicable provisions of the DGCL, and the Transfer Agent shall be instructed to update the register of stockholders of Parent. Transaction Consideration Shares means that number of Parent Common Stock equal to (x) the quotient of Aggregate Transaction Consideration Value divided </w:t>
      </w:r>
      <w:r>
        <w:rPr>
          <w:rFonts w:ascii="Times New Roman;Times;Serif" w:hAnsi="Times New Roman;Times;Serif"/>
          <w:b w:val="false"/>
          <w:i/>
          <w:caps w:val="false"/>
          <w:smallCaps w:val="false"/>
          <w:sz w:val="20"/>
        </w:rPr>
        <w:t>by</w:t>
      </w:r>
      <w:r>
        <w:rPr>
          <w:rFonts w:ascii="Times New Roman;Times;Serif" w:hAnsi="Times New Roman;Times;Serif"/>
          <w:b w:val="false"/>
          <w:i w:val="false"/>
          <w:caps w:val="false"/>
          <w:smallCaps w:val="false"/>
          <w:sz w:val="20"/>
        </w:rPr>
        <w:t xml:space="preserve"> (y) thirty (30) day VWAP immediately prior to the date on which the closing occurs and the transactions contemplated in the Business Combination Agreement become effective (the “Closing Date”). “Aggregate Transaction Consideration Value” means $2,000,000,000.</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the Closing of the Exchange shall take place no later than three business days after the date on which the conditions to Closing set forth in the Business Combination Agreement shall have been satisfied or, to the extent permitted thereunder, waived by the appropriate Party (other than those conditions that by their nature are to be satisfied at the Closing, but subject to the satisfaction or, to the extent permitted hereunder, waiver of all such conditions) or at such other time, date or location as the parties hereto agree. At the time of the Closing, Parent, the Company and the Selling Shareholders shall deliver the certificates and other documents and instruments required to be delivered under the Business Combination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Business Combination Agreement, at the Closing, the parties hereto shall (a) cause a Form Section 105 (Form of Transfer of Securities) in substantially the form of Exhibit B to the Business Combination Agreement (the “Malaysia Form of Transfer”) to be executed, acknowledged and filed with the Companies Commission of Malaysia, as provided in sections 105 and 106 of the Malaysian Companies Act and (b) take all such other and further actions as may be required by the Malaysian Companies Act or other applicable Law to make the Exchange effective.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federal income tax purposes, the Exchange is intended to constitute a tax-free exchange of property within the meaning of Section 351 of the Internal Revenue Code of 1986, as amended (the “Code”), and the Parties shall report the transactions contemplated by the Business Combination Agreement consistent with such intent and shall take no position in any tax filing or legal proceeding inconsistent therewith. None of Parent, the Company or the Selling Shareholders has taken or failed to take, and after the Effective Time, Parent shall not take or fail to take, any action which reasonably could be expected to cause the Exchange to fail to qualify as a tax-free exchange of property within the meaning of Section 351 of the Code. Nevertheless, there can be no assurance that the IRS will not challenge the qualification of the Exchange as a tax-free exchange under Section 351. Parent stockholders are urged to consult their own tax advisors.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are prepared in conformity with U.S. generally accepted accounting principles (“U.S. GAAP”) as established by the Financial Accounting Standards Board (“FASB”), and are presented in U.S. Dollars (“USD”). The functional currency of the Company and SOH is the Malaysian Ringgit (“RM”). The preparation of financial statements in conformity with U.S. GAAP requires management to make estimates and assumptions that affect the reported amounts of assets, liabilities, revenues, and expenses, and the disclosure of contingent assets and liabilities. The Company bases its estimates on historical experience and on various assumptions that it believes to be reasonable under the circumstances. Actual results may differ from these estimates. The following accounting policies are considered critical because they involve significant judgment and estimation.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Discontinued Operations Classification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component is reported as a discontinued operation when it represents a strategic shift that has, or will have, a major effect on the entity’s operations and financial results, and meets the held-for-sale criteria under ASC 360-10-45. Results of discontinued operations are presented separately in the consolidated statements of operations, net of tax. Comparative periods are retrospectively reclassified in accordance with ASC 205-20. The classification of SOH as a discontinued operation required management judgment as to whether the disposal criteria were met as of December 22,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Allowance for Expected Credit Losses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accounts receivable are carried at amortized cost, net of an allowance for expected credit losses (“ECL”) estimated using an aging schedule based on historical loss experience, current conditions, and reasonable and supportable forward-looking information, in accordance with ASC 326, Financial Instruments — Credit Losses. Significant judgment is applied in assessing the collectability of individual balances and in determining appropriate loss rate assumptions.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 — Impairment Assessment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are reviewed for impairment whenever events or changes in circumstances indicate that the carrying amount of an asset may not be recoverable, in accordance with ASC 360-10. Impairment is measured by comparing the carrying amount to the undiscounted future cash flows expected to result from the use and eventual disposition of the asset.</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Contingent Liabilities — Legal Proceedings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 provision for legal proceedings when it is probable that a loss has been incurred and the amount can be reasonably estimated, in accordance with ASC 450-20, Loss Contingencies. Management exercises significant judgment in assessing the probability of loss and estimating the probable amount, based on available information including legal advice.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Translation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of the Company is the Malaysian Ringgit (“RM”). Financial statements are translated into USD as the reporting currency in accordance with ASC 830, Foreign Currency Matters. Assets and liabilities are translated at period-end exchange rates; income and expense items are translated at average rates. Translation differences are recognized in other comprehensive income (loss) and accumulated in the AOCI component of stockholders’ equity.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Years Ended December 31, 2025 and December 31,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Company’s results of continuing operations for the years ended December 31, 2025 and 2024:</w:t>
      </w:r>
    </w:p>
    <w:p>
      <w:pPr>
        <w:pStyle w:val="TextBody"/>
        <w:bidi w:val="0"/>
        <w:spacing w:before="0" w:after="0"/>
        <w:jc w:val="both"/>
        <w:rPr>
          <w:caps w:val="false"/>
          <w:smallCaps w:val="false"/>
        </w:rPr>
      </w:pPr>
      <w:r>
        <w:rPr>
          <w:caps w:val="false"/>
          <w:smallCaps w:val="false"/>
        </w:rPr>
        <w:t> </w:t>
      </w:r>
    </w:p>
    <w:tbl>
      <w:tblPr>
        <w:tblW w:w="9017" w:type="dxa"/>
        <w:jc w:val="left"/>
        <w:tblInd w:w="0" w:type="dxa"/>
        <w:tblLayout w:type="fixed"/>
        <w:tblCellMar>
          <w:top w:w="0" w:type="dxa"/>
          <w:left w:w="0" w:type="dxa"/>
          <w:bottom w:w="0" w:type="dxa"/>
          <w:right w:w="0" w:type="dxa"/>
        </w:tblCellMar>
      </w:tblPr>
      <w:tblGrid>
        <w:gridCol w:w="4010"/>
        <w:gridCol w:w="60"/>
        <w:gridCol w:w="98"/>
        <w:gridCol w:w="1436"/>
        <w:gridCol w:w="95"/>
        <w:gridCol w:w="60"/>
        <w:gridCol w:w="98"/>
        <w:gridCol w:w="1436"/>
        <w:gridCol w:w="95"/>
        <w:gridCol w:w="60"/>
        <w:gridCol w:w="131"/>
        <w:gridCol w:w="1133"/>
        <w:gridCol w:w="305"/>
      </w:tblGrid>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8" w:space="0" w:color="000000"/>
            </w:tcBorders>
            <w:tcMar>
              <w:bottom w:w="28" w:type="dxa"/>
            </w:tcMar>
            <w:vAlign w:val="center"/>
          </w:tcPr>
          <w:p>
            <w:pPr>
              <w:pStyle w:val="TableContents"/>
              <w:bidi w:val="0"/>
              <w:spacing w:before="0" w:after="283"/>
              <w:jc w:val="right"/>
              <w:rPr>
                <w:b/>
              </w:rPr>
            </w:pPr>
            <w:r>
              <w:rPr>
                <w:b/>
              </w:rPr>
              <w:t>FY2025 (USD)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8" w:space="0" w:color="000000"/>
            </w:tcBorders>
            <w:tcMar>
              <w:bottom w:w="28" w:type="dxa"/>
            </w:tcMar>
            <w:vAlign w:val="center"/>
          </w:tcPr>
          <w:p>
            <w:pPr>
              <w:pStyle w:val="TableContents"/>
              <w:bidi w:val="0"/>
              <w:spacing w:before="0" w:after="283"/>
              <w:jc w:val="right"/>
              <w:rPr>
                <w:b/>
              </w:rPr>
            </w:pPr>
            <w:r>
              <w:rPr>
                <w:b/>
              </w:rPr>
              <w:t>FY2024 (USD)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right"/>
              <w:rPr>
                <w:b/>
              </w:rPr>
            </w:pPr>
            <w:r>
              <w:rPr>
                <w:b/>
              </w:rPr>
              <w:t>Change (%)</w:t>
            </w:r>
          </w:p>
        </w:tc>
        <w:tc>
          <w:tcPr>
            <w:tcW w:w="305"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854,337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871,741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(2.0</w:t>
            </w:r>
          </w:p>
        </w:tc>
        <w:tc>
          <w:tcPr>
            <w:tcW w:w="305"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(580,357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(598,307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(3.0</w:t>
            </w:r>
          </w:p>
        </w:tc>
        <w:tc>
          <w:tcPr>
            <w:tcW w:w="305" w:type="dxa"/>
            <w:tcBorders/>
            <w:shd w:fill="FFFFFF" w:val="clear"/>
            <w:vAlign w:val="center"/>
          </w:tcPr>
          <w:p>
            <w:pPr>
              <w:pStyle w:val="TableContents"/>
              <w:bidi w:val="0"/>
              <w:spacing w:before="0" w:after="283"/>
              <w:jc w:val="left"/>
              <w:rPr/>
            </w:pPr>
            <w:r>
              <w:rPr/>
              <w:t>%)</w:t>
            </w:r>
          </w:p>
        </w:tc>
      </w:tr>
      <w:tr>
        <w:trPr/>
        <w:tc>
          <w:tcPr>
            <w:tcW w:w="401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273,980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273,434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0.2</w:t>
            </w:r>
          </w:p>
        </w:tc>
        <w:tc>
          <w:tcPr>
            <w:tcW w:w="305"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(381,519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(432,375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(11.8</w:t>
            </w:r>
          </w:p>
        </w:tc>
        <w:tc>
          <w:tcPr>
            <w:tcW w:w="305" w:type="dxa"/>
            <w:tcBorders/>
            <w:shd w:fill="FFFFFF" w:val="clear"/>
            <w:vAlign w:val="center"/>
          </w:tcPr>
          <w:p>
            <w:pPr>
              <w:pStyle w:val="TableContents"/>
              <w:bidi w:val="0"/>
              <w:spacing w:before="0" w:after="283"/>
              <w:jc w:val="left"/>
              <w:rPr/>
            </w:pPr>
            <w:r>
              <w:rPr/>
              <w:t>%)</w:t>
            </w:r>
          </w:p>
        </w:tc>
      </w:tr>
      <w:tr>
        <w:trPr/>
        <w:tc>
          <w:tcPr>
            <w:tcW w:w="4010" w:type="dxa"/>
            <w:tcBorders/>
            <w:shd w:fill="CCEEFF" w:val="clear"/>
            <w:vAlign w:val="center"/>
          </w:tcPr>
          <w:p>
            <w:pPr>
              <w:pStyle w:val="TableContents"/>
              <w:bidi w:val="0"/>
              <w:spacing w:before="0" w:after="283"/>
              <w:jc w:val="left"/>
              <w:rPr/>
            </w:pPr>
            <w:r>
              <w:rPr/>
              <w:t>Operating loss from continuing operations</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CCEEFF" w:val="clear"/>
            <w:tcMar>
              <w:bottom w:w="28" w:type="dxa"/>
            </w:tcMar>
            <w:vAlign w:val="center"/>
          </w:tcPr>
          <w:p>
            <w:pPr>
              <w:pStyle w:val="TableContents"/>
              <w:bidi w:val="0"/>
              <w:spacing w:before="0" w:after="283"/>
              <w:jc w:val="right"/>
              <w:rPr/>
            </w:pPr>
            <w:r>
              <w:rPr/>
              <w:t>(107,539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CCEEFF" w:val="clear"/>
            <w:tcMar>
              <w:bottom w:w="28" w:type="dxa"/>
            </w:tcMar>
            <w:vAlign w:val="center"/>
          </w:tcPr>
          <w:p>
            <w:pPr>
              <w:pStyle w:val="TableContents"/>
              <w:bidi w:val="0"/>
              <w:spacing w:before="0" w:after="283"/>
              <w:jc w:val="right"/>
              <w:rPr/>
            </w:pPr>
            <w:r>
              <w:rPr/>
              <w:t>(158,941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CCEEFF" w:val="clear"/>
            <w:tcMar>
              <w:bottom w:w="28" w:type="dxa"/>
            </w:tcMar>
            <w:vAlign w:val="center"/>
          </w:tcPr>
          <w:p>
            <w:pPr>
              <w:pStyle w:val="TableContents"/>
              <w:bidi w:val="0"/>
              <w:spacing w:before="0" w:after="283"/>
              <w:jc w:val="right"/>
              <w:rPr/>
            </w:pPr>
            <w:r>
              <w:rPr/>
              <w:t>(32.3</w:t>
            </w:r>
          </w:p>
        </w:tc>
        <w:tc>
          <w:tcPr>
            <w:tcW w:w="305"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FFFFFF" w:val="clear"/>
            <w:tcMar>
              <w:bottom w:w="28" w:type="dxa"/>
            </w:tcMar>
            <w:vAlign w:val="center"/>
          </w:tcPr>
          <w:p>
            <w:pPr>
              <w:pStyle w:val="TableContents"/>
              <w:bidi w:val="0"/>
              <w:spacing w:before="0" w:after="283"/>
              <w:jc w:val="right"/>
              <w:rPr/>
            </w:pPr>
            <w:r>
              <w:rPr/>
              <w:t>40,677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FFFFFF" w:val="clear"/>
            <w:tcMar>
              <w:bottom w:w="28" w:type="dxa"/>
            </w:tcMar>
            <w:vAlign w:val="center"/>
          </w:tcPr>
          <w:p>
            <w:pPr>
              <w:pStyle w:val="TableContents"/>
              <w:bidi w:val="0"/>
              <w:spacing w:before="0" w:after="283"/>
              <w:jc w:val="right"/>
              <w:rPr/>
            </w:pPr>
            <w:r>
              <w:rPr/>
              <w:t>35,508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FFFFFF" w:val="clear"/>
            <w:tcMar>
              <w:bottom w:w="28" w:type="dxa"/>
            </w:tcMar>
            <w:vAlign w:val="center"/>
          </w:tcPr>
          <w:p>
            <w:pPr>
              <w:pStyle w:val="TableContents"/>
              <w:bidi w:val="0"/>
              <w:spacing w:before="0" w:after="283"/>
              <w:jc w:val="right"/>
              <w:rPr/>
            </w:pPr>
            <w:r>
              <w:rPr/>
              <w:t>14.6</w:t>
            </w:r>
          </w:p>
        </w:tc>
        <w:tc>
          <w:tcPr>
            <w:tcW w:w="305" w:type="dxa"/>
            <w:tcBorders/>
            <w:shd w:fill="FFFFFF" w:val="clear"/>
            <w:vAlign w:val="center"/>
          </w:tcPr>
          <w:p>
            <w:pPr>
              <w:pStyle w:val="TableContents"/>
              <w:bidi w:val="0"/>
              <w:spacing w:before="0" w:after="283"/>
              <w:jc w:val="left"/>
              <w:rPr/>
            </w:pPr>
            <w:r>
              <w:rPr/>
              <w:t>%</w:t>
            </w:r>
          </w:p>
        </w:tc>
      </w:tr>
      <w:tr>
        <w:trPr/>
        <w:tc>
          <w:tcPr>
            <w:tcW w:w="4010" w:type="dxa"/>
            <w:tcBorders/>
            <w:shd w:fill="CCEEFF" w:val="clear"/>
            <w:vAlign w:val="center"/>
          </w:tcPr>
          <w:p>
            <w:pPr>
              <w:pStyle w:val="TableContents"/>
              <w:bidi w:val="0"/>
              <w:spacing w:before="0" w:after="283"/>
              <w:jc w:val="left"/>
              <w:rPr/>
            </w:pPr>
            <w:r>
              <w:rPr/>
              <w:t>Loss before income taxes (continuing)</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(66,862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(123,433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(45.8</w:t>
            </w:r>
          </w:p>
        </w:tc>
        <w:tc>
          <w:tcPr>
            <w:tcW w:w="305"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left"/>
              <w:rPr/>
            </w:pPr>
            <w:r>
              <w:rPr/>
              <w:t>Income tax provision</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(278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305"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b/>
              </w:rPr>
            </w:pPr>
            <w:r>
              <w:rPr>
                <w:b/>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CCEEFF" w:val="clear"/>
            <w:tcMar>
              <w:bottom w:w="28" w:type="dxa"/>
            </w:tcMar>
            <w:vAlign w:val="center"/>
          </w:tcPr>
          <w:p>
            <w:pPr>
              <w:pStyle w:val="TableContents"/>
              <w:bidi w:val="0"/>
              <w:spacing w:before="0" w:after="283"/>
              <w:jc w:val="right"/>
              <w:rPr/>
            </w:pPr>
            <w:r>
              <w:rPr/>
              <w:t>(67,140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CCEEFF" w:val="clear"/>
            <w:tcMar>
              <w:bottom w:w="28" w:type="dxa"/>
            </w:tcMar>
            <w:vAlign w:val="center"/>
          </w:tcPr>
          <w:p>
            <w:pPr>
              <w:pStyle w:val="TableContents"/>
              <w:bidi w:val="0"/>
              <w:spacing w:before="0" w:after="283"/>
              <w:jc w:val="right"/>
              <w:rPr/>
            </w:pPr>
            <w:r>
              <w:rPr/>
              <w:t>(123,433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CCEEFF" w:val="clear"/>
            <w:tcMar>
              <w:bottom w:w="28" w:type="dxa"/>
            </w:tcMar>
            <w:vAlign w:val="center"/>
          </w:tcPr>
          <w:p>
            <w:pPr>
              <w:pStyle w:val="TableContents"/>
              <w:bidi w:val="0"/>
              <w:spacing w:before="0" w:after="283"/>
              <w:jc w:val="right"/>
              <w:rPr/>
            </w:pPr>
            <w:r>
              <w:rPr/>
              <w:t>(45.6</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 Continuing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continuing operations decreased by USD 17,404, or 2.0%, from USD 871,741 for the year ended December 31, 2024 to USD 854,337 for the year ended December 31, 2025. This slight decline was primarily attributable to lower volume in clinic waste generator services, which decreased from USD 671,032 to USD 640,321. Clinic waste logistics services revenue increased from USD 196,179 to USD 209,915, partially offsetting the decline. All revenue is denominated in RM and generated from customers in Malaysia.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in accordance with ASC 606, Revenue from Contracts with Customers, at the point in time when services are performed. The Company’s revenue base remained highly concentrated, with one customer accounting for approximately 70% of total continuing operations revenue in FY2025 (FY2024: 71%). The loss of this customer could have a material adverse effect on the Company’s business, financial position, results of operations, and cash flows.</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158</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revenues from continuing operations decreased by USD 17,950, or 3.0%, from USD 598,307 in FY2024 to USD 580,357 in FY2025. This improvement was driven by reductions in compensation and benefits (from USD 83,223 to USD 72,663) and upkeep of plant costs (from USD 371,934 to USD 345,172), partially offset by higher other cost of revenues (from USD 143,150 to USD 162,522). The gross margin from continuing operations was broadly stable at 32.1% in FY2025 (FY2024: 31.4%).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from continuing operations decreased by USD 50,856, or 11.8%, from USD 432,375 in FY2024 to USD 381,519 in FY2025, primarily reflecting a significant reduction in general and administrative expenses (from USD 114,979 to USD 35,708). This decrease was partially offset by higher depreciation and amortization (from USD 173,709 to USD 191,982), reflecting additions to property and equipment, and increased impairment on financial assets (from USD 32,318 to USD 35,616) attributable to ongoing provisioning against trade receivables. Compensation and benefits in operating expenses increased from USD 86,105 to USD 97,826.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Loss from Continuing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loss from continuing operations narrowed significantly from USD 158,941 in FY2024 to USD 107,539 in FY2025, representing an improvement of USD 51,402 or 32.3%, driven by the reduction in operating expenses described above, partially offset by the slight decline in revenue.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from Continuing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from continuing operations improved from USD 123,433 in FY2024 to USD 67,140 in FY2025, an improvement of USD 56,293 or 45.6%, driven by reduced operating expenses and stable gross profit.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Discontinued Operations (SOH — Palm Oil Milling)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from discontinued operations increased significantly from USD 921,119 in FY2024 to USD 2,557,550 in FY2025. SOH’s revenue grew from USD 54,777,343 to USD 66,623,781 (an increase of 21.6%), reflecting stronger palm oil throughput and pricing during FY2025. Gross profit increased from USD 2,579,906 to USD 4,472,526.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 Income (Loss)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adjustments produced other comprehensive income of USD 174,075 in FY2025 (FY2024: USD 22,645), arising from the translation of RM-denominated assets and liabilities into USD at the period-end exchange rate of RM 4.0610 per USD (December 31, 2024: RM 4.4755 per USD), reflecting an appreciation of the RM against the USD. Separately, the AOCI in the statements of changes in stockholders’ equity reflects foreign currency translation adjustment of USD 182,395 for FY2025, which includes USD 174,075 from continuing operations and USD 8,320 attributable to discontinued operations (SOH) not separately presented in the Statement of Comprehensive Income.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Six Months Ended June 30, 2026 (Unaudited)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Company’s results of operations for the six months ended June 30, 2026. The Q2 2026 financial statements are presented on a standalone (entity-level) basis as the Company had no subsidiary following the disposal of SOH in January 2026. No comparative period is presented for Q2 2025 as those figures were not included in the Company’s standalone interim reporting.</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159</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7493" w:type="dxa"/>
        <w:jc w:val="left"/>
        <w:tblInd w:w="0" w:type="dxa"/>
        <w:tblLayout w:type="fixed"/>
        <w:tblCellMar>
          <w:top w:w="0" w:type="dxa"/>
          <w:left w:w="0" w:type="dxa"/>
          <w:bottom w:w="0" w:type="dxa"/>
          <w:right w:w="0" w:type="dxa"/>
        </w:tblCellMar>
      </w:tblPr>
      <w:tblGrid>
        <w:gridCol w:w="4040"/>
        <w:gridCol w:w="60"/>
        <w:gridCol w:w="83"/>
        <w:gridCol w:w="1481"/>
        <w:gridCol w:w="95"/>
        <w:gridCol w:w="60"/>
        <w:gridCol w:w="99"/>
        <w:gridCol w:w="1465"/>
        <w:gridCol w:w="110"/>
      </w:tblGrid>
      <w:tr>
        <w:trPr/>
        <w:tc>
          <w:tcPr>
            <w:tcW w:w="4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4" w:type="dxa"/>
            <w:gridSpan w:val="2"/>
            <w:tcBorders>
              <w:bottom w:val="single" w:sz="8" w:space="0" w:color="000000"/>
            </w:tcBorders>
            <w:tcMar>
              <w:bottom w:w="28" w:type="dxa"/>
            </w:tcMar>
            <w:vAlign w:val="center"/>
          </w:tcPr>
          <w:p>
            <w:pPr>
              <w:pStyle w:val="TableContents"/>
              <w:bidi w:val="0"/>
              <w:jc w:val="right"/>
              <w:rPr>
                <w:b/>
              </w:rPr>
            </w:pPr>
            <w:r>
              <w:rPr>
                <w:b/>
              </w:rPr>
              <w:t>Q2 2026 (USD)</w:t>
            </w:r>
          </w:p>
          <w:p>
            <w:pPr>
              <w:pStyle w:val="TableContents"/>
              <w:bidi w:val="0"/>
              <w:spacing w:before="0" w:after="283"/>
              <w:jc w:val="right"/>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4" w:type="dxa"/>
            <w:gridSpan w:val="2"/>
            <w:tcBorders>
              <w:bottom w:val="single" w:sz="8" w:space="0" w:color="000000"/>
            </w:tcBorders>
            <w:tcMar>
              <w:bottom w:w="28" w:type="dxa"/>
            </w:tcMar>
            <w:vAlign w:val="center"/>
          </w:tcPr>
          <w:p>
            <w:pPr>
              <w:pStyle w:val="TableContents"/>
              <w:bidi w:val="0"/>
              <w:jc w:val="right"/>
              <w:rPr>
                <w:b/>
              </w:rPr>
            </w:pPr>
            <w:r>
              <w:rPr>
                <w:b/>
              </w:rPr>
              <w:t>Q2 2025 (USD)</w:t>
            </w:r>
          </w:p>
          <w:p>
            <w:pPr>
              <w:pStyle w:val="TableContents"/>
              <w:bidi w:val="0"/>
              <w:spacing w:before="0" w:after="283"/>
              <w:jc w:val="right"/>
              <w:rPr>
                <w:b/>
              </w:rPr>
            </w:pPr>
            <w:r>
              <w:rPr>
                <w:b/>
              </w:rPr>
              <w:t>(Unaudited)</w:t>
            </w:r>
          </w:p>
        </w:tc>
        <w:tc>
          <w:tcPr>
            <w:tcW w:w="110" w:type="dxa"/>
            <w:tcBorders/>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pPr>
            <w:r>
              <w:rPr/>
              <w:t>Revenue from services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right"/>
              <w:rPr/>
            </w:pPr>
            <w:r>
              <w:rPr/>
              <w:t>373,123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465" w:type="dxa"/>
            <w:tcBorders/>
            <w:shd w:fill="CCEEFF" w:val="clear"/>
            <w:vAlign w:val="center"/>
          </w:tcPr>
          <w:p>
            <w:pPr>
              <w:pStyle w:val="TableContents"/>
              <w:bidi w:val="0"/>
              <w:spacing w:before="0" w:after="283"/>
              <w:jc w:val="right"/>
              <w:rPr/>
            </w:pPr>
            <w:r>
              <w:rPr/>
              <w:t>421,912</w:t>
            </w:r>
          </w:p>
        </w:tc>
        <w:tc>
          <w:tcPr>
            <w:tcW w:w="11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right"/>
              <w:rPr/>
            </w:pPr>
            <w:r>
              <w:rPr/>
              <w:t>(259,986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465" w:type="dxa"/>
            <w:tcBorders/>
            <w:shd w:fill="FFFFFF" w:val="clear"/>
            <w:vAlign w:val="center"/>
          </w:tcPr>
          <w:p>
            <w:pPr>
              <w:pStyle w:val="TableContents"/>
              <w:bidi w:val="0"/>
              <w:spacing w:before="0" w:after="283"/>
              <w:jc w:val="right"/>
              <w:rPr/>
            </w:pPr>
            <w:r>
              <w:rPr/>
              <w:t>(256,900</w:t>
            </w:r>
          </w:p>
        </w:tc>
        <w:tc>
          <w:tcPr>
            <w:tcW w:w="110" w:type="dxa"/>
            <w:tcBorders/>
            <w:shd w:fill="FFFFFF" w:val="clear"/>
            <w:vAlign w:val="center"/>
          </w:tcPr>
          <w:p>
            <w:pPr>
              <w:pStyle w:val="TableContents"/>
              <w:bidi w:val="0"/>
              <w:spacing w:before="0" w:after="283"/>
              <w:jc w:val="left"/>
              <w:rPr/>
            </w:pPr>
            <w:r>
              <w:rPr/>
              <w:t>)</w:t>
            </w:r>
          </w:p>
        </w:tc>
      </w:tr>
      <w:tr>
        <w:trPr/>
        <w:tc>
          <w:tcPr>
            <w:tcW w:w="404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right"/>
              <w:rPr/>
            </w:pPr>
            <w:r>
              <w:rPr/>
              <w:t>113,137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465" w:type="dxa"/>
            <w:tcBorders/>
            <w:shd w:fill="CCEEFF" w:val="clear"/>
            <w:vAlign w:val="center"/>
          </w:tcPr>
          <w:p>
            <w:pPr>
              <w:pStyle w:val="TableContents"/>
              <w:bidi w:val="0"/>
              <w:spacing w:before="0" w:after="283"/>
              <w:jc w:val="right"/>
              <w:rPr/>
            </w:pPr>
            <w:r>
              <w:rPr/>
              <w:t>165,012</w:t>
            </w:r>
          </w:p>
        </w:tc>
        <w:tc>
          <w:tcPr>
            <w:tcW w:w="11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Selling and distribution costs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right"/>
              <w:rPr/>
            </w:pPr>
            <w:r>
              <w:rPr/>
              <w:t>(24,832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465" w:type="dxa"/>
            <w:tcBorders/>
            <w:shd w:fill="FFFFFF" w:val="clear"/>
            <w:vAlign w:val="center"/>
          </w:tcPr>
          <w:p>
            <w:pPr>
              <w:pStyle w:val="TableContents"/>
              <w:bidi w:val="0"/>
              <w:spacing w:before="0" w:after="283"/>
              <w:jc w:val="right"/>
              <w:rPr/>
            </w:pPr>
            <w:r>
              <w:rPr/>
              <w:t>(803</w:t>
            </w:r>
          </w:p>
        </w:tc>
        <w:tc>
          <w:tcPr>
            <w:tcW w:w="110" w:type="dxa"/>
            <w:tcBorders/>
            <w:shd w:fill="FFFFFF" w:val="clear"/>
            <w:vAlign w:val="center"/>
          </w:tcPr>
          <w:p>
            <w:pPr>
              <w:pStyle w:val="TableContents"/>
              <w:bidi w:val="0"/>
              <w:spacing w:before="0" w:after="283"/>
              <w:jc w:val="left"/>
              <w:rPr/>
            </w:pPr>
            <w:r>
              <w:rPr/>
              <w:t>)</w:t>
            </w:r>
          </w:p>
        </w:tc>
      </w:tr>
      <w:tr>
        <w:trPr/>
        <w:tc>
          <w:tcPr>
            <w:tcW w:w="404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right"/>
              <w:rPr/>
            </w:pPr>
            <w:r>
              <w:rPr/>
              <w:t>(96,504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465" w:type="dxa"/>
            <w:tcBorders/>
            <w:shd w:fill="CCEEFF" w:val="clear"/>
            <w:vAlign w:val="center"/>
          </w:tcPr>
          <w:p>
            <w:pPr>
              <w:pStyle w:val="TableContents"/>
              <w:bidi w:val="0"/>
              <w:spacing w:before="0" w:after="283"/>
              <w:jc w:val="right"/>
              <w:rPr/>
            </w:pPr>
            <w:r>
              <w:rPr/>
              <w:t>(92,277</w:t>
            </w:r>
          </w:p>
        </w:tc>
        <w:tc>
          <w:tcPr>
            <w:tcW w:w="110" w:type="dxa"/>
            <w:tcBorders/>
            <w:shd w:fill="CCEEFF" w:val="clear"/>
            <w:vAlign w:val="center"/>
          </w:tcPr>
          <w:p>
            <w:pPr>
              <w:pStyle w:val="TableContents"/>
              <w:bidi w:val="0"/>
              <w:spacing w:before="0" w:after="283"/>
              <w:jc w:val="left"/>
              <w:rPr/>
            </w:pPr>
            <w:r>
              <w:rPr/>
              <w:t>)</w:t>
            </w:r>
          </w:p>
        </w:tc>
      </w:tr>
      <w:tr>
        <w:trPr/>
        <w:tc>
          <w:tcPr>
            <w:tcW w:w="4040" w:type="dxa"/>
            <w:tcBorders/>
            <w:shd w:fill="FFFFFF" w:val="clear"/>
            <w:vAlign w:val="center"/>
          </w:tcPr>
          <w:p>
            <w:pPr>
              <w:pStyle w:val="TableContents"/>
              <w:bidi w:val="0"/>
              <w:spacing w:before="0" w:after="283"/>
              <w:jc w:val="left"/>
              <w:rPr/>
            </w:pPr>
            <w:r>
              <w:rPr/>
              <w:t>Compensation and benefits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right"/>
              <w:rPr/>
            </w:pPr>
            <w:r>
              <w:rPr/>
              <w:t>(55,104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465" w:type="dxa"/>
            <w:tcBorders/>
            <w:shd w:fill="FFFFFF" w:val="clear"/>
            <w:vAlign w:val="center"/>
          </w:tcPr>
          <w:p>
            <w:pPr>
              <w:pStyle w:val="TableContents"/>
              <w:bidi w:val="0"/>
              <w:spacing w:before="0" w:after="283"/>
              <w:jc w:val="right"/>
              <w:rPr/>
            </w:pPr>
            <w:r>
              <w:rPr/>
              <w:t>(50,839</w:t>
            </w:r>
          </w:p>
        </w:tc>
        <w:tc>
          <w:tcPr>
            <w:tcW w:w="110" w:type="dxa"/>
            <w:tcBorders/>
            <w:shd w:fill="FFFFFF" w:val="clear"/>
            <w:vAlign w:val="center"/>
          </w:tcPr>
          <w:p>
            <w:pPr>
              <w:pStyle w:val="TableContents"/>
              <w:bidi w:val="0"/>
              <w:spacing w:before="0" w:after="283"/>
              <w:jc w:val="left"/>
              <w:rPr/>
            </w:pPr>
            <w:r>
              <w:rPr/>
              <w:t>)</w:t>
            </w:r>
          </w:p>
        </w:tc>
      </w:tr>
      <w:tr>
        <w:trPr/>
        <w:tc>
          <w:tcPr>
            <w:tcW w:w="4040" w:type="dxa"/>
            <w:tcBorders/>
            <w:shd w:fill="CCEEFF" w:val="clear"/>
            <w:vAlign w:val="center"/>
          </w:tcPr>
          <w:p>
            <w:pPr>
              <w:pStyle w:val="TableContents"/>
              <w:bidi w:val="0"/>
              <w:spacing w:before="0" w:after="283"/>
              <w:jc w:val="left"/>
              <w:rPr/>
            </w:pPr>
            <w:r>
              <w:rPr/>
              <w:t>Professional fees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right"/>
              <w:rPr/>
            </w:pPr>
            <w:r>
              <w:rPr/>
              <w:t>(45,030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465" w:type="dxa"/>
            <w:tcBorders/>
            <w:shd w:fill="CCEEFF" w:val="clear"/>
            <w:vAlign w:val="center"/>
          </w:tcPr>
          <w:p>
            <w:pPr>
              <w:pStyle w:val="TableContents"/>
              <w:bidi w:val="0"/>
              <w:spacing w:before="0" w:after="283"/>
              <w:jc w:val="right"/>
              <w:rPr/>
            </w:pPr>
            <w:r>
              <w:rPr/>
              <w:t>(345</w:t>
            </w:r>
          </w:p>
        </w:tc>
        <w:tc>
          <w:tcPr>
            <w:tcW w:w="110" w:type="dxa"/>
            <w:tcBorders/>
            <w:shd w:fill="CCEEFF" w:val="clear"/>
            <w:vAlign w:val="center"/>
          </w:tcPr>
          <w:p>
            <w:pPr>
              <w:pStyle w:val="TableContents"/>
              <w:bidi w:val="0"/>
              <w:spacing w:before="0" w:after="283"/>
              <w:jc w:val="left"/>
              <w:rPr/>
            </w:pPr>
            <w:r>
              <w:rPr/>
              <w:t>)</w:t>
            </w:r>
          </w:p>
        </w:tc>
      </w:tr>
      <w:tr>
        <w:trPr/>
        <w:tc>
          <w:tcPr>
            <w:tcW w:w="4040"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right"/>
              <w:rPr/>
            </w:pPr>
            <w:r>
              <w:rPr/>
              <w:t>(23,544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465" w:type="dxa"/>
            <w:tcBorders/>
            <w:shd w:fill="FFFFFF" w:val="clear"/>
            <w:vAlign w:val="center"/>
          </w:tcPr>
          <w:p>
            <w:pPr>
              <w:pStyle w:val="TableContents"/>
              <w:bidi w:val="0"/>
              <w:spacing w:before="0" w:after="283"/>
              <w:jc w:val="right"/>
              <w:rPr/>
            </w:pPr>
            <w:r>
              <w:rPr/>
              <w:t>(19,101</w:t>
            </w:r>
          </w:p>
        </w:tc>
        <w:tc>
          <w:tcPr>
            <w:tcW w:w="110" w:type="dxa"/>
            <w:tcBorders/>
            <w:shd w:fill="FFFFFF" w:val="clear"/>
            <w:vAlign w:val="center"/>
          </w:tcPr>
          <w:p>
            <w:pPr>
              <w:pStyle w:val="TableContents"/>
              <w:bidi w:val="0"/>
              <w:spacing w:before="0" w:after="283"/>
              <w:jc w:val="left"/>
              <w:rPr/>
            </w:pPr>
            <w:r>
              <w:rPr/>
              <w:t>)</w:t>
            </w:r>
          </w:p>
        </w:tc>
      </w:tr>
      <w:tr>
        <w:trPr/>
        <w:tc>
          <w:tcPr>
            <w:tcW w:w="4040" w:type="dxa"/>
            <w:tcBorders/>
            <w:shd w:fill="CCEEFF" w:val="clear"/>
            <w:vAlign w:val="center"/>
          </w:tcPr>
          <w:p>
            <w:pPr>
              <w:pStyle w:val="TableContents"/>
              <w:bidi w:val="0"/>
              <w:spacing w:before="0" w:after="283"/>
              <w:jc w:val="left"/>
              <w:rPr/>
            </w:pPr>
            <w:r>
              <w:rPr/>
              <w:t>Loss on disposal of equity interest in SOH</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right"/>
              <w:rPr/>
            </w:pPr>
            <w:r>
              <w:rPr/>
              <w:t>(1,904,424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46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right"/>
              <w:rPr/>
            </w:pPr>
            <w:r>
              <w:rPr/>
              <w:t>2,452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46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right"/>
              <w:rPr/>
            </w:pPr>
            <w:r>
              <w:rPr/>
              <w:t>(2,146,986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465" w:type="dxa"/>
            <w:tcBorders/>
            <w:shd w:fill="CCEEFF" w:val="clear"/>
            <w:vAlign w:val="center"/>
          </w:tcPr>
          <w:p>
            <w:pPr>
              <w:pStyle w:val="TableContents"/>
              <w:bidi w:val="0"/>
              <w:spacing w:before="0" w:after="283"/>
              <w:jc w:val="right"/>
              <w:rPr/>
            </w:pPr>
            <w:r>
              <w:rPr/>
              <w:t>(163,365</w:t>
            </w:r>
          </w:p>
        </w:tc>
        <w:tc>
          <w:tcPr>
            <w:tcW w:w="110" w:type="dxa"/>
            <w:tcBorders/>
            <w:shd w:fill="CCEEFF" w:val="clear"/>
            <w:vAlign w:val="center"/>
          </w:tcPr>
          <w:p>
            <w:pPr>
              <w:pStyle w:val="TableContents"/>
              <w:bidi w:val="0"/>
              <w:spacing w:before="0" w:after="283"/>
              <w:jc w:val="left"/>
              <w:rPr/>
            </w:pPr>
            <w:r>
              <w:rPr/>
              <w:t>)</w:t>
            </w:r>
          </w:p>
        </w:tc>
      </w:tr>
      <w:tr>
        <w:trPr/>
        <w:tc>
          <w:tcPr>
            <w:tcW w:w="4040" w:type="dxa"/>
            <w:tcBorders/>
            <w:shd w:fill="FFFFFF" w:val="clear"/>
            <w:vAlign w:val="center"/>
          </w:tcPr>
          <w:p>
            <w:pPr>
              <w:pStyle w:val="TableContents"/>
              <w:bidi w:val="0"/>
              <w:spacing w:before="0" w:after="283"/>
              <w:jc w:val="left"/>
              <w:rPr/>
            </w:pPr>
            <w:r>
              <w:rPr/>
              <w:t>Operating loss from continuing operations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right"/>
              <w:rPr/>
            </w:pPr>
            <w:r>
              <w:rPr/>
              <w:t>(2,033,849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465" w:type="dxa"/>
            <w:tcBorders/>
            <w:shd w:fill="FFFFFF" w:val="clear"/>
            <w:vAlign w:val="center"/>
          </w:tcPr>
          <w:p>
            <w:pPr>
              <w:pStyle w:val="TableContents"/>
              <w:bidi w:val="0"/>
              <w:spacing w:before="0" w:after="283"/>
              <w:jc w:val="right"/>
              <w:rPr/>
            </w:pPr>
            <w:r>
              <w:rPr/>
              <w:t>1,647</w:t>
            </w:r>
          </w:p>
        </w:tc>
        <w:tc>
          <w:tcPr>
            <w:tcW w:w="11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pPr>
            <w:r>
              <w:rPr/>
              <w:t>sGain on waiver of debt (non-cash)</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right"/>
              <w:rPr/>
            </w:pPr>
            <w:r>
              <w:rPr/>
              <w:t>1,926,508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46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right"/>
              <w:rPr/>
            </w:pPr>
            <w:r>
              <w:rPr/>
              <w:t>(107,341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465" w:type="dxa"/>
            <w:tcBorders/>
            <w:shd w:fill="FFFFFF" w:val="clear"/>
            <w:vAlign w:val="center"/>
          </w:tcPr>
          <w:p>
            <w:pPr>
              <w:pStyle w:val="TableContents"/>
              <w:bidi w:val="0"/>
              <w:spacing w:before="0" w:after="283"/>
              <w:jc w:val="right"/>
              <w:rPr/>
            </w:pPr>
            <w:r>
              <w:rPr/>
              <w:t>1,647</w:t>
            </w:r>
          </w:p>
        </w:tc>
        <w:tc>
          <w:tcPr>
            <w:tcW w:w="11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right"/>
              <w:rPr/>
            </w:pPr>
            <w:r>
              <w:rPr/>
              <w:t>(96,372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465" w:type="dxa"/>
            <w:tcBorders/>
            <w:shd w:fill="CCEEFF" w:val="clear"/>
            <w:vAlign w:val="center"/>
          </w:tcPr>
          <w:p>
            <w:pPr>
              <w:pStyle w:val="TableContents"/>
              <w:bidi w:val="0"/>
              <w:spacing w:before="0" w:after="283"/>
              <w:jc w:val="right"/>
              <w:rPr/>
            </w:pPr>
            <w:r>
              <w:rPr/>
              <w:t>(137,614</w:t>
            </w:r>
          </w:p>
        </w:tc>
        <w:tc>
          <w:tcPr>
            <w:tcW w:w="110" w:type="dxa"/>
            <w:tcBorders/>
            <w:shd w:fill="CCEEFF" w:val="clear"/>
            <w:vAlign w:val="center"/>
          </w:tcPr>
          <w:p>
            <w:pPr>
              <w:pStyle w:val="TableContents"/>
              <w:bidi w:val="0"/>
              <w:spacing w:before="0" w:after="283"/>
              <w:jc w:val="left"/>
              <w:rPr/>
            </w:pPr>
            <w:r>
              <w:rPr/>
              <w:t>)</w:t>
            </w:r>
          </w:p>
        </w:tc>
      </w:tr>
      <w:tr>
        <w:trPr/>
        <w:tc>
          <w:tcPr>
            <w:tcW w:w="4040" w:type="dxa"/>
            <w:tcBorders/>
            <w:shd w:fill="FFFFFF" w:val="clear"/>
            <w:vAlign w:val="center"/>
          </w:tcPr>
          <w:p>
            <w:pPr>
              <w:pStyle w:val="TableContents"/>
              <w:bidi w:val="0"/>
              <w:spacing w:before="0" w:after="283"/>
              <w:jc w:val="left"/>
              <w:rPr>
                <w:b/>
              </w:rPr>
            </w:pPr>
            <w:r>
              <w:rPr>
                <w:b/>
              </w:rPr>
              <w:t>Total comprehensive loss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right"/>
              <w:rPr/>
            </w:pPr>
            <w:r>
              <w:rPr/>
              <w:t>(203,713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465" w:type="dxa"/>
            <w:tcBorders/>
            <w:shd w:fill="FFFFFF" w:val="clear"/>
            <w:vAlign w:val="center"/>
          </w:tcPr>
          <w:p>
            <w:pPr>
              <w:pStyle w:val="TableContents"/>
              <w:bidi w:val="0"/>
              <w:spacing w:before="0" w:after="283"/>
              <w:jc w:val="right"/>
              <w:rPr/>
            </w:pPr>
            <w:r>
              <w:rPr/>
              <w:t>(135,967</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 Q2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decreased by USD 48,789, or 11.6%, to USD 373,123 for Q2 2026 from USD 421,912 for Q2 2025. On an annualized basis, six-month 2026 revenue represents approximately USD 746,246, a decline of 12.7% compared to FY2025 revenue of USD 854,337. This decline is primarily driven by lower volume optimization in the clinic waste generator collection segment, consistent with the trend identified in the first quarter of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continuing medical waste services was USD 421,912 for the six months ended June 30, 2025. On an annualized basis, the six-month 2025 revenue represents approximately USD 843,824. When compared to the six-month 2026 revenue of USD 373,123, this reflects a period-over-period decrease of approximately 11.6%. This decline is primarily driven by lower volume optimization in the clinic waste generator collection segment during the first half of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 — Q2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amounted to USD 259,986 for the six months ended June 30, 2026, comprising compensation and benefits of USD 39,753, upkeep of plant and materials of USD 169,126, and other cost of revenues of USD 51,107. This compares to USD 256,900 for the six months ended June 30, 2025, comprising compensation and benefits of USD 32,655, upkeep of plant and materials of USD 159,072, and other cost of revenues of USD 65,173. The total cost of revenue increased slightly by 1.2% to USD259,986 in Q2 2026, despite the decline in revenue as compared to Q2 2025, resulting in gross profit declining significantly by 31.4% to USD113,137, with the gross profit margin consequently deteriorating from 39.1% in the first half of 2025 to 30.3% in the Q2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on Disposal of Subsidiary and Gain on Debt Waiver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a loss on disposal of equity interest in SOH of approximately USD 1,904,424 (translated historically recorded as USD 1,919,251 in Q1 2026), arising from the deconsolidation of SOH on January 8, 2026 following the share allotment by SOH to Fitters, which diluted the Company’s equity interest from 100% to 18.36%, and the subsequent sale of the remaining 18.36% interest on January 23, 2026. On March 16, 2026, Fitters Diversified Berhad granted an unconditional forgiveness of the remaining outstanding intercompany payable balance, amounting to RM7,855,337. This debt waiver successfully extinguished the remaining liability and gave rise to a substantial gain on waiver of debts to approximately USD 1,926,508, translated historically recorded as USD 1,941,507 in Q1 2026.</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 Q2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for Q2 2026 was USD 107,341, reflecting the net effect of normal business operations, the non-recurring disposal loss and debt waiver gain described above. Excluding these items, the Company recorded a loss of USD 129,425 for Q2 2026, compared to income of USD 1,647 for Q2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selected liquidity and capital information for each period:</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45"/>
        <w:gridCol w:w="60"/>
        <w:gridCol w:w="140"/>
        <w:gridCol w:w="2017"/>
        <w:gridCol w:w="80"/>
        <w:gridCol w:w="60"/>
        <w:gridCol w:w="140"/>
        <w:gridCol w:w="2017"/>
        <w:gridCol w:w="60"/>
        <w:gridCol w:w="60"/>
        <w:gridCol w:w="64"/>
        <w:gridCol w:w="1029"/>
        <w:gridCol w:w="80"/>
        <w:gridCol w:w="60"/>
        <w:gridCol w:w="64"/>
        <w:gridCol w:w="1029"/>
        <w:gridCol w:w="100"/>
      </w:tblGrid>
      <w:tr>
        <w:trPr/>
        <w:tc>
          <w:tcPr>
            <w:tcW w:w="31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57"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 2026 (Unaudited)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7"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 2025 (Unaudited)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3"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Dec 31, 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3"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Dec 31, 2024</w:t>
            </w:r>
          </w:p>
        </w:tc>
        <w:tc>
          <w:tcPr>
            <w:tcW w:w="100" w:type="dxa"/>
            <w:tcBorders/>
            <w:vAlign w:val="center"/>
          </w:tcPr>
          <w:p>
            <w:pPr>
              <w:pStyle w:val="TableContents"/>
              <w:bidi w:val="0"/>
              <w:spacing w:before="0" w:after="283"/>
              <w:jc w:val="left"/>
              <w:rPr/>
            </w:pPr>
            <w:r>
              <w:rPr/>
              <w:t> </w:t>
            </w:r>
          </w:p>
        </w:tc>
      </w:tr>
      <w:tr>
        <w:trPr/>
        <w:tc>
          <w:tcPr>
            <w:tcW w:w="3145" w:type="dxa"/>
            <w:tcBorders/>
            <w:shd w:fill="CCEEFF" w:val="clear"/>
            <w:vAlign w:val="center"/>
          </w:tcPr>
          <w:p>
            <w:pPr>
              <w:pStyle w:val="TableContents"/>
              <w:bidi w:val="0"/>
              <w:spacing w:before="0" w:after="283"/>
              <w:jc w:val="left"/>
              <w:rPr>
                <w:sz w:val="20"/>
              </w:rPr>
            </w:pPr>
            <w:r>
              <w:rPr>
                <w:sz w:val="20"/>
              </w:rPr>
              <w:t>Cash and cash equivalents (continuing)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017" w:type="dxa"/>
            <w:tcBorders/>
            <w:shd w:fill="CCEEFF" w:val="clear"/>
            <w:vAlign w:val="center"/>
          </w:tcPr>
          <w:p>
            <w:pPr>
              <w:pStyle w:val="TableContents"/>
              <w:bidi w:val="0"/>
              <w:spacing w:before="0" w:after="283"/>
              <w:jc w:val="right"/>
              <w:rPr>
                <w:sz w:val="20"/>
              </w:rPr>
            </w:pPr>
            <w:r>
              <w:rPr>
                <w:sz w:val="20"/>
              </w:rPr>
              <w:t>27,109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017" w:type="dxa"/>
            <w:tcBorders/>
            <w:shd w:fill="CCEEFF" w:val="clear"/>
            <w:vAlign w:val="center"/>
          </w:tcPr>
          <w:p>
            <w:pPr>
              <w:pStyle w:val="TableContents"/>
              <w:bidi w:val="0"/>
              <w:spacing w:before="0" w:after="283"/>
              <w:jc w:val="right"/>
              <w:rPr>
                <w:sz w:val="20"/>
              </w:rPr>
            </w:pPr>
            <w:r>
              <w:rPr>
                <w:sz w:val="20"/>
              </w:rPr>
              <w:t>135,979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sz w:val="20"/>
              </w:rPr>
            </w:pPr>
            <w:r>
              <w:rPr>
                <w:sz w:val="20"/>
              </w:rPr>
              <w:t>202,716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sz w:val="20"/>
              </w:rPr>
            </w:pPr>
            <w:r>
              <w:rPr>
                <w:sz w:val="20"/>
              </w:rPr>
              <w:t>268,780</w:t>
            </w:r>
          </w:p>
        </w:tc>
        <w:tc>
          <w:tcPr>
            <w:tcW w:w="100" w:type="dxa"/>
            <w:tcBorders/>
            <w:shd w:fill="CCEEFF" w:val="clear"/>
            <w:vAlign w:val="center"/>
          </w:tcPr>
          <w:p>
            <w:pPr>
              <w:pStyle w:val="TableContents"/>
              <w:bidi w:val="0"/>
              <w:spacing w:before="0" w:after="283"/>
              <w:jc w:val="left"/>
              <w:rPr/>
            </w:pPr>
            <w:r>
              <w:rPr/>
              <w:t> </w:t>
            </w:r>
          </w:p>
        </w:tc>
      </w:tr>
      <w:tr>
        <w:trPr/>
        <w:tc>
          <w:tcPr>
            <w:tcW w:w="3145" w:type="dxa"/>
            <w:tcBorders/>
            <w:shd w:fill="FFFFFF" w:val="clear"/>
            <w:vAlign w:val="center"/>
          </w:tcPr>
          <w:p>
            <w:pPr>
              <w:pStyle w:val="TableContents"/>
              <w:bidi w:val="0"/>
              <w:spacing w:before="0" w:after="283"/>
              <w:jc w:val="left"/>
              <w:rPr>
                <w:sz w:val="20"/>
              </w:rPr>
            </w:pPr>
            <w:r>
              <w:rPr>
                <w:sz w:val="20"/>
              </w:rPr>
              <w:t>Cash — 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017"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017" w:type="dxa"/>
            <w:tcBorders/>
            <w:shd w:fill="FFFFFF" w:val="clear"/>
            <w:vAlign w:val="center"/>
          </w:tcPr>
          <w:p>
            <w:pPr>
              <w:pStyle w:val="TableContents"/>
              <w:bidi w:val="0"/>
              <w:spacing w:before="0" w:after="283"/>
              <w:jc w:val="righ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sz w:val="20"/>
              </w:rPr>
            </w:pPr>
            <w:r>
              <w:rPr>
                <w:sz w:val="20"/>
              </w:rPr>
              <w:t>3,135,050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sz w:val="20"/>
              </w:rPr>
            </w:pPr>
            <w:r>
              <w:rPr>
                <w:sz w:val="20"/>
              </w:rPr>
              <w:t>1,701,167</w:t>
            </w:r>
          </w:p>
        </w:tc>
        <w:tc>
          <w:tcPr>
            <w:tcW w:w="100" w:type="dxa"/>
            <w:tcBorders/>
            <w:shd w:fill="FFFFFF" w:val="clear"/>
            <w:vAlign w:val="center"/>
          </w:tcPr>
          <w:p>
            <w:pPr>
              <w:pStyle w:val="TableContents"/>
              <w:bidi w:val="0"/>
              <w:spacing w:before="0" w:after="283"/>
              <w:jc w:val="left"/>
              <w:rPr/>
            </w:pPr>
            <w:r>
              <w:rPr/>
              <w:t> </w:t>
            </w:r>
          </w:p>
        </w:tc>
      </w:tr>
      <w:tr>
        <w:trPr/>
        <w:tc>
          <w:tcPr>
            <w:tcW w:w="3145" w:type="dxa"/>
            <w:tcBorders/>
            <w:shd w:fill="CCEEFF" w:val="clear"/>
            <w:vAlign w:val="center"/>
          </w:tcPr>
          <w:p>
            <w:pPr>
              <w:pStyle w:val="TableContents"/>
              <w:bidi w:val="0"/>
              <w:spacing w:before="0" w:after="283"/>
              <w:jc w:val="left"/>
              <w:rPr>
                <w:b/>
                <w:sz w:val="20"/>
              </w:rPr>
            </w:pPr>
            <w:r>
              <w:rPr>
                <w:b/>
                <w:sz w:val="20"/>
              </w:rPr>
              <w:t>Total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017" w:type="dxa"/>
            <w:tcBorders/>
            <w:shd w:fill="CCEEFF" w:val="clear"/>
            <w:vAlign w:val="center"/>
          </w:tcPr>
          <w:p>
            <w:pPr>
              <w:pStyle w:val="TableContents"/>
              <w:bidi w:val="0"/>
              <w:spacing w:before="0" w:after="283"/>
              <w:jc w:val="right"/>
              <w:rPr>
                <w:sz w:val="20"/>
              </w:rPr>
            </w:pPr>
            <w:r>
              <w:rPr>
                <w:sz w:val="20"/>
              </w:rPr>
              <w:t>27,109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017" w:type="dxa"/>
            <w:tcBorders/>
            <w:shd w:fill="CCEEFF" w:val="clear"/>
            <w:vAlign w:val="center"/>
          </w:tcPr>
          <w:p>
            <w:pPr>
              <w:pStyle w:val="TableContents"/>
              <w:bidi w:val="0"/>
              <w:spacing w:before="0" w:after="283"/>
              <w:jc w:val="right"/>
              <w:rPr>
                <w:sz w:val="20"/>
              </w:rPr>
            </w:pPr>
            <w:r>
              <w:rPr>
                <w:sz w:val="20"/>
              </w:rPr>
              <w:t>135,979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sz w:val="20"/>
              </w:rPr>
            </w:pPr>
            <w:r>
              <w:rPr>
                <w:sz w:val="20"/>
              </w:rPr>
              <w:t>3,337,766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sz w:val="20"/>
              </w:rPr>
            </w:pPr>
            <w:r>
              <w:rPr>
                <w:sz w:val="20"/>
              </w:rPr>
              <w:t>1,969,947</w:t>
            </w:r>
          </w:p>
        </w:tc>
        <w:tc>
          <w:tcPr>
            <w:tcW w:w="100" w:type="dxa"/>
            <w:tcBorders/>
            <w:shd w:fill="CCEEFF" w:val="clear"/>
            <w:vAlign w:val="center"/>
          </w:tcPr>
          <w:p>
            <w:pPr>
              <w:pStyle w:val="TableContents"/>
              <w:bidi w:val="0"/>
              <w:spacing w:before="0" w:after="283"/>
              <w:jc w:val="left"/>
              <w:rPr/>
            </w:pPr>
            <w:r>
              <w:rPr/>
              <w:t> </w:t>
            </w:r>
          </w:p>
        </w:tc>
      </w:tr>
      <w:tr>
        <w:trPr/>
        <w:tc>
          <w:tcPr>
            <w:tcW w:w="3145" w:type="dxa"/>
            <w:tcBorders/>
            <w:shd w:fill="FFFFFF" w:val="clear"/>
            <w:vAlign w:val="center"/>
          </w:tcPr>
          <w:p>
            <w:pPr>
              <w:pStyle w:val="TableContents"/>
              <w:bidi w:val="0"/>
              <w:spacing w:before="0" w:after="283"/>
              <w:jc w:val="left"/>
              <w:rPr>
                <w:b/>
                <w:sz w:val="20"/>
              </w:rPr>
            </w:pPr>
            <w:r>
              <w:rPr>
                <w:b/>
                <w:sz w:val="20"/>
              </w:rPr>
              <w:t>Total current assets — continuing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017" w:type="dxa"/>
            <w:tcBorders/>
            <w:shd w:fill="FFFFFF" w:val="clear"/>
            <w:vAlign w:val="center"/>
          </w:tcPr>
          <w:p>
            <w:pPr>
              <w:pStyle w:val="TableContents"/>
              <w:bidi w:val="0"/>
              <w:spacing w:before="0" w:after="283"/>
              <w:jc w:val="right"/>
              <w:rPr>
                <w:sz w:val="20"/>
              </w:rPr>
            </w:pPr>
            <w:r>
              <w:rPr>
                <w:sz w:val="20"/>
              </w:rPr>
              <w:t>399,038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017" w:type="dxa"/>
            <w:tcBorders/>
            <w:shd w:fill="FFFFFF" w:val="clear"/>
            <w:vAlign w:val="center"/>
          </w:tcPr>
          <w:p>
            <w:pPr>
              <w:pStyle w:val="TableContents"/>
              <w:bidi w:val="0"/>
              <w:spacing w:before="0" w:after="283"/>
              <w:jc w:val="right"/>
              <w:rPr>
                <w:sz w:val="20"/>
              </w:rPr>
            </w:pPr>
            <w:r>
              <w:rPr>
                <w:sz w:val="20"/>
              </w:rPr>
              <w:t>420,130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sz w:val="20"/>
              </w:rPr>
            </w:pPr>
            <w:r>
              <w:rPr>
                <w:sz w:val="20"/>
              </w:rPr>
              <w:t>588,821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sz w:val="20"/>
              </w:rPr>
            </w:pPr>
            <w:r>
              <w:rPr>
                <w:sz w:val="20"/>
              </w:rPr>
              <w:t>678,735</w:t>
            </w:r>
          </w:p>
        </w:tc>
        <w:tc>
          <w:tcPr>
            <w:tcW w:w="100" w:type="dxa"/>
            <w:tcBorders/>
            <w:shd w:fill="FFFFFF" w:val="clear"/>
            <w:vAlign w:val="center"/>
          </w:tcPr>
          <w:p>
            <w:pPr>
              <w:pStyle w:val="TableContents"/>
              <w:bidi w:val="0"/>
              <w:spacing w:before="0" w:after="283"/>
              <w:jc w:val="left"/>
              <w:rPr/>
            </w:pPr>
            <w:r>
              <w:rPr/>
              <w:t> </w:t>
            </w:r>
          </w:p>
        </w:tc>
      </w:tr>
      <w:tr>
        <w:trPr/>
        <w:tc>
          <w:tcPr>
            <w:tcW w:w="3145" w:type="dxa"/>
            <w:tcBorders/>
            <w:shd w:fill="CCEEFF" w:val="clear"/>
            <w:vAlign w:val="center"/>
          </w:tcPr>
          <w:p>
            <w:pPr>
              <w:pStyle w:val="TableContents"/>
              <w:bidi w:val="0"/>
              <w:spacing w:before="0" w:after="283"/>
              <w:jc w:val="left"/>
              <w:rPr>
                <w:b/>
                <w:sz w:val="20"/>
              </w:rPr>
            </w:pPr>
            <w:r>
              <w:rPr>
                <w:b/>
                <w:sz w:val="20"/>
              </w:rPr>
              <w:t>Total current liabilities — continuing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017" w:type="dxa"/>
            <w:tcBorders/>
            <w:shd w:fill="CCEEFF" w:val="clear"/>
            <w:vAlign w:val="center"/>
          </w:tcPr>
          <w:p>
            <w:pPr>
              <w:pStyle w:val="TableContents"/>
              <w:bidi w:val="0"/>
              <w:spacing w:before="0" w:after="283"/>
              <w:jc w:val="right"/>
              <w:rPr>
                <w:sz w:val="20"/>
              </w:rPr>
            </w:pPr>
            <w:r>
              <w:rPr>
                <w:sz w:val="20"/>
              </w:rPr>
              <w:t>483,836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017" w:type="dxa"/>
            <w:tcBorders/>
            <w:shd w:fill="CCEEFF" w:val="clear"/>
            <w:vAlign w:val="center"/>
          </w:tcPr>
          <w:p>
            <w:pPr>
              <w:pStyle w:val="TableContents"/>
              <w:bidi w:val="0"/>
              <w:spacing w:before="0" w:after="283"/>
              <w:jc w:val="right"/>
              <w:rPr>
                <w:sz w:val="20"/>
              </w:rPr>
            </w:pPr>
            <w:r>
              <w:rPr>
                <w:sz w:val="20"/>
              </w:rPr>
              <w:t>4,813,527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sz w:val="20"/>
              </w:rPr>
            </w:pPr>
            <w:r>
              <w:rPr>
                <w:sz w:val="20"/>
              </w:rPr>
              <w:t>5,113,187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sz w:val="20"/>
              </w:rPr>
            </w:pPr>
            <w:r>
              <w:rPr>
                <w:sz w:val="20"/>
              </w:rPr>
              <w:t>3,440,900</w:t>
            </w:r>
          </w:p>
        </w:tc>
        <w:tc>
          <w:tcPr>
            <w:tcW w:w="100" w:type="dxa"/>
            <w:tcBorders/>
            <w:shd w:fill="CCEEFF" w:val="clear"/>
            <w:vAlign w:val="center"/>
          </w:tcPr>
          <w:p>
            <w:pPr>
              <w:pStyle w:val="TableContents"/>
              <w:bidi w:val="0"/>
              <w:spacing w:before="0" w:after="283"/>
              <w:jc w:val="left"/>
              <w:rPr/>
            </w:pPr>
            <w:r>
              <w:rPr/>
              <w:t> </w:t>
            </w:r>
          </w:p>
        </w:tc>
      </w:tr>
      <w:tr>
        <w:trPr/>
        <w:tc>
          <w:tcPr>
            <w:tcW w:w="3145" w:type="dxa"/>
            <w:tcBorders/>
            <w:shd w:fill="FFFFFF" w:val="clear"/>
            <w:vAlign w:val="center"/>
          </w:tcPr>
          <w:p>
            <w:pPr>
              <w:pStyle w:val="TableContents"/>
              <w:bidi w:val="0"/>
              <w:spacing w:before="0" w:after="283"/>
              <w:jc w:val="left"/>
              <w:rPr>
                <w:sz w:val="20"/>
              </w:rPr>
            </w:pPr>
            <w:r>
              <w:rPr>
                <w:sz w:val="20"/>
              </w:rPr>
              <w:t>Working capital (deficit) — continuing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017" w:type="dxa"/>
            <w:tcBorders/>
            <w:shd w:fill="FFFFFF" w:val="clear"/>
            <w:vAlign w:val="center"/>
          </w:tcPr>
          <w:p>
            <w:pPr>
              <w:pStyle w:val="TableContents"/>
              <w:bidi w:val="0"/>
              <w:spacing w:before="0" w:after="283"/>
              <w:jc w:val="right"/>
              <w:rPr>
                <w:sz w:val="20"/>
              </w:rPr>
            </w:pPr>
            <w:r>
              <w:rPr>
                <w:sz w:val="20"/>
              </w:rPr>
              <w:t>(136,843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017" w:type="dxa"/>
            <w:tcBorders/>
            <w:shd w:fill="FFFFFF" w:val="clear"/>
            <w:vAlign w:val="center"/>
          </w:tcPr>
          <w:p>
            <w:pPr>
              <w:pStyle w:val="TableContents"/>
              <w:bidi w:val="0"/>
              <w:spacing w:before="0" w:after="283"/>
              <w:jc w:val="right"/>
              <w:rPr>
                <w:sz w:val="20"/>
              </w:rPr>
            </w:pPr>
            <w:r>
              <w:rPr>
                <w:sz w:val="20"/>
              </w:rPr>
              <w:t>(135,606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sz w:val="20"/>
              </w:rPr>
            </w:pPr>
            <w:r>
              <w:rPr>
                <w:sz w:val="20"/>
              </w:rPr>
              <w:t>(4,524,366</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sz w:val="20"/>
              </w:rPr>
            </w:pPr>
            <w:r>
              <w:rPr>
                <w:sz w:val="20"/>
              </w:rPr>
              <w:t>(2,762,165</w:t>
            </w:r>
          </w:p>
        </w:tc>
        <w:tc>
          <w:tcPr>
            <w:tcW w:w="100" w:type="dxa"/>
            <w:tcBorders/>
            <w:shd w:fill="FFFFFF" w:val="clear"/>
            <w:vAlign w:val="center"/>
          </w:tcPr>
          <w:p>
            <w:pPr>
              <w:pStyle w:val="TableContents"/>
              <w:bidi w:val="0"/>
              <w:spacing w:before="0" w:after="283"/>
              <w:jc w:val="left"/>
              <w:rPr>
                <w:sz w:val="20"/>
              </w:rPr>
            </w:pPr>
            <w:r>
              <w:rPr>
                <w:sz w:val="20"/>
              </w:rPr>
              <w:t>)</w:t>
            </w:r>
          </w:p>
        </w:tc>
      </w:tr>
      <w:tr>
        <w:trPr/>
        <w:tc>
          <w:tcPr>
            <w:tcW w:w="3145" w:type="dxa"/>
            <w:tcBorders/>
            <w:shd w:fill="CCEEFF" w:val="clear"/>
            <w:vAlign w:val="center"/>
          </w:tcPr>
          <w:p>
            <w:pPr>
              <w:pStyle w:val="TableContents"/>
              <w:bidi w:val="0"/>
              <w:spacing w:before="0" w:after="283"/>
              <w:jc w:val="left"/>
              <w:rPr>
                <w:b/>
                <w:sz w:val="20"/>
              </w:rPr>
            </w:pPr>
            <w:r>
              <w:rPr>
                <w:b/>
                <w:sz w:val="20"/>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017" w:type="dxa"/>
            <w:tcBorders/>
            <w:shd w:fill="CCEEFF" w:val="clear"/>
            <w:vAlign w:val="center"/>
          </w:tcPr>
          <w:p>
            <w:pPr>
              <w:pStyle w:val="TableContents"/>
              <w:bidi w:val="0"/>
              <w:spacing w:before="0" w:after="283"/>
              <w:jc w:val="right"/>
              <w:rPr>
                <w:sz w:val="20"/>
              </w:rPr>
            </w:pPr>
            <w:r>
              <w:rPr>
                <w:sz w:val="20"/>
              </w:rPr>
              <w:t>4,802,647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017" w:type="dxa"/>
            <w:tcBorders/>
            <w:shd w:fill="CCEEFF" w:val="clear"/>
            <w:vAlign w:val="center"/>
          </w:tcPr>
          <w:p>
            <w:pPr>
              <w:pStyle w:val="TableContents"/>
              <w:bidi w:val="0"/>
              <w:spacing w:before="0" w:after="283"/>
              <w:jc w:val="right"/>
              <w:rPr>
                <w:sz w:val="20"/>
              </w:rPr>
            </w:pPr>
            <w:r>
              <w:rPr>
                <w:sz w:val="20"/>
              </w:rPr>
              <w:t>7,354,399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sz w:val="20"/>
              </w:rPr>
            </w:pPr>
            <w:r>
              <w:rPr>
                <w:sz w:val="20"/>
              </w:rPr>
              <w:t>26,514,439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sz w:val="20"/>
              </w:rPr>
            </w:pPr>
            <w:r>
              <w:rPr>
                <w:sz w:val="20"/>
              </w:rPr>
              <w:t>23,682,355</w:t>
            </w:r>
          </w:p>
        </w:tc>
        <w:tc>
          <w:tcPr>
            <w:tcW w:w="100" w:type="dxa"/>
            <w:tcBorders/>
            <w:shd w:fill="CCEEFF" w:val="clear"/>
            <w:vAlign w:val="center"/>
          </w:tcPr>
          <w:p>
            <w:pPr>
              <w:pStyle w:val="TableContents"/>
              <w:bidi w:val="0"/>
              <w:spacing w:before="0" w:after="283"/>
              <w:jc w:val="left"/>
              <w:rPr/>
            </w:pPr>
            <w:r>
              <w:rPr/>
              <w:t> </w:t>
            </w:r>
          </w:p>
        </w:tc>
      </w:tr>
      <w:tr>
        <w:trPr/>
        <w:tc>
          <w:tcPr>
            <w:tcW w:w="3145" w:type="dxa"/>
            <w:tcBorders/>
            <w:shd w:fill="FFFFFF" w:val="clear"/>
            <w:vAlign w:val="center"/>
          </w:tcPr>
          <w:p>
            <w:pPr>
              <w:pStyle w:val="TableContents"/>
              <w:bidi w:val="0"/>
              <w:spacing w:before="0" w:after="283"/>
              <w:jc w:val="left"/>
              <w:rPr>
                <w:b/>
                <w:sz w:val="20"/>
              </w:rPr>
            </w:pPr>
            <w:r>
              <w:rPr>
                <w:b/>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017" w:type="dxa"/>
            <w:tcBorders/>
            <w:shd w:fill="FFFFFF" w:val="clear"/>
            <w:vAlign w:val="center"/>
          </w:tcPr>
          <w:p>
            <w:pPr>
              <w:pStyle w:val="TableContents"/>
              <w:bidi w:val="0"/>
              <w:spacing w:before="0" w:after="283"/>
              <w:jc w:val="right"/>
              <w:rPr>
                <w:sz w:val="20"/>
              </w:rPr>
            </w:pPr>
            <w:r>
              <w:rPr>
                <w:sz w:val="20"/>
              </w:rPr>
              <w:t>483,836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017" w:type="dxa"/>
            <w:tcBorders/>
            <w:shd w:fill="FFFFFF" w:val="clear"/>
            <w:vAlign w:val="center"/>
          </w:tcPr>
          <w:p>
            <w:pPr>
              <w:pStyle w:val="TableContents"/>
              <w:bidi w:val="0"/>
              <w:spacing w:before="0" w:after="283"/>
              <w:jc w:val="right"/>
              <w:rPr>
                <w:sz w:val="20"/>
              </w:rPr>
            </w:pPr>
            <w:r>
              <w:rPr>
                <w:sz w:val="20"/>
              </w:rPr>
              <w:t>4,813,527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sz w:val="20"/>
              </w:rPr>
            </w:pPr>
            <w:r>
              <w:rPr>
                <w:sz w:val="20"/>
              </w:rPr>
              <w:t>22,054,649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sz w:val="20"/>
              </w:rPr>
            </w:pPr>
            <w:r>
              <w:rPr>
                <w:sz w:val="20"/>
              </w:rPr>
              <w:t>21,895,370</w:t>
            </w:r>
          </w:p>
        </w:tc>
        <w:tc>
          <w:tcPr>
            <w:tcW w:w="100" w:type="dxa"/>
            <w:tcBorders/>
            <w:shd w:fill="FFFFFF" w:val="clear"/>
            <w:vAlign w:val="center"/>
          </w:tcPr>
          <w:p>
            <w:pPr>
              <w:pStyle w:val="TableContents"/>
              <w:bidi w:val="0"/>
              <w:spacing w:before="0" w:after="283"/>
              <w:jc w:val="left"/>
              <w:rPr/>
            </w:pPr>
            <w:r>
              <w:rPr/>
              <w:t> </w:t>
            </w:r>
          </w:p>
        </w:tc>
      </w:tr>
      <w:tr>
        <w:trPr/>
        <w:tc>
          <w:tcPr>
            <w:tcW w:w="3145" w:type="dxa"/>
            <w:tcBorders/>
            <w:shd w:fill="CCEEFF" w:val="clear"/>
            <w:vAlign w:val="center"/>
          </w:tcPr>
          <w:p>
            <w:pPr>
              <w:pStyle w:val="TableContents"/>
              <w:bidi w:val="0"/>
              <w:spacing w:before="0" w:after="283"/>
              <w:jc w:val="left"/>
              <w:rPr>
                <w:b/>
                <w:sz w:val="20"/>
              </w:rPr>
            </w:pPr>
            <w:r>
              <w:rPr>
                <w:b/>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017" w:type="dxa"/>
            <w:tcBorders/>
            <w:shd w:fill="CCEEFF" w:val="clear"/>
            <w:vAlign w:val="center"/>
          </w:tcPr>
          <w:p>
            <w:pPr>
              <w:pStyle w:val="TableContents"/>
              <w:bidi w:val="0"/>
              <w:spacing w:before="0" w:after="283"/>
              <w:jc w:val="right"/>
              <w:rPr>
                <w:sz w:val="20"/>
              </w:rPr>
            </w:pPr>
            <w:r>
              <w:rPr>
                <w:sz w:val="20"/>
              </w:rPr>
              <w:t>4,318,811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017" w:type="dxa"/>
            <w:tcBorders/>
            <w:shd w:fill="CCEEFF" w:val="clear"/>
            <w:vAlign w:val="center"/>
          </w:tcPr>
          <w:p>
            <w:pPr>
              <w:pStyle w:val="TableContents"/>
              <w:bidi w:val="0"/>
              <w:spacing w:before="0" w:after="283"/>
              <w:jc w:val="right"/>
              <w:rPr>
                <w:sz w:val="20"/>
              </w:rPr>
            </w:pPr>
            <w:r>
              <w:rPr>
                <w:sz w:val="20"/>
              </w:rPr>
              <w:t>2,540,872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sz w:val="20"/>
              </w:rPr>
            </w:pPr>
            <w:r>
              <w:rPr>
                <w:sz w:val="20"/>
              </w:rPr>
              <w:t>4,459,790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sz w:val="20"/>
              </w:rPr>
            </w:pPr>
            <w:r>
              <w:rPr>
                <w:sz w:val="20"/>
              </w:rPr>
              <w:t>1,786,985</w:t>
            </w:r>
          </w:p>
        </w:tc>
        <w:tc>
          <w:tcPr>
            <w:tcW w:w="10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Working Capital Position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December 31, 2024, continuing operations had a working capital deficit of USD 2,762,165, primarily driven by amounts due to Fitters Diversified Berhad and related companies of USD 2,993,348 in aggregate (included in accounts payable and accrued liabilities). This working capital deficit widened to USD 4,524,366 as at December 31, 2025, as the intercompany payable to the ultimate holding company increased to USD 4,655,340 (December 31, 2024: USD 4,443,206). Following the disposal of SOH and the unconditional waiver of the intercompany payable by Fitters in March 2026, the working capital deficit improved significantly to USD 63,572 in Q1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current liabilities exceeded the current assets by USD 84,798. Our current liabilities of USD 483,836 consisted substantially of a USD 403,924, translated historically recorded as USD </w:t>
      </w:r>
      <w:r>
        <w:rPr>
          <w:rFonts w:ascii="Times New Roman;Times;Serif" w:hAnsi="Times New Roman;Times;Serif"/>
          <w:b w:val="false"/>
          <w:i w:val="false"/>
          <w:caps w:val="false"/>
          <w:smallCaps w:val="false"/>
          <w:sz w:val="18"/>
        </w:rPr>
        <w:t>406,945</w:t>
      </w:r>
      <w:r>
        <w:rPr>
          <w:rFonts w:ascii="Times New Roman;Times;Serif" w:hAnsi="Times New Roman;Times;Serif"/>
          <w:b w:val="false"/>
          <w:i w:val="false"/>
          <w:caps w:val="false"/>
          <w:smallCaps w:val="false"/>
          <w:sz w:val="20"/>
        </w:rPr>
        <w:t xml:space="preserve"> in Q1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provision relating to the ongoing AHT Syngas Technology litigation (Case No. 2: BA-22NCC-57-04/2022), representing approximately 83.5% of total current liabilities. Further proceedings, including the testimony of an expert witness, are scheduled for 18, 25 and 28 September 2026. Because we currently possess no external, committed bank credit facilities, any adverse judgment or immediate cash settlement requirement exceeding our current operational cash flows would severely threaten our operational capability.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compared to Q1 2026, the Company’s cash and cash equivalents increased from USD 9,649 as at 31 March 2026 to USD 27,109 as at 30 June 2026, primarily due to improved collection of receivables. Despite this improvement in cash resources, the Company remained in a net current liabilities position as at 30 June 2026, with the deficit increasing slightly from USD 63,572 in Q1 2026 to USD 84,798 in Q2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improvement in the balance sheet position between December 31, 2025 and March 31, 2026 reflects the impact of (i) the deconsolidation of SOH, which eliminated USD 16,941,462 of liabilities held for sale from the consolidated balance sheet; (ii) the application of disposal proceeds of RM 10,500,000 (USD 2,585,620) to offset the intercompany payable; and (iii) the waiver by Fitters of the remaining intercompany balance of RM 7,855,337 (USD 1,941,507).</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161</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 Summary</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16"/>
        <w:gridCol w:w="60"/>
        <w:gridCol w:w="116"/>
        <w:gridCol w:w="1773"/>
        <w:gridCol w:w="80"/>
        <w:gridCol w:w="60"/>
        <w:gridCol w:w="135"/>
        <w:gridCol w:w="1707"/>
        <w:gridCol w:w="80"/>
        <w:gridCol w:w="60"/>
        <w:gridCol w:w="70"/>
        <w:gridCol w:w="1078"/>
        <w:gridCol w:w="80"/>
        <w:gridCol w:w="60"/>
        <w:gridCol w:w="74"/>
        <w:gridCol w:w="1056"/>
        <w:gridCol w:w="100"/>
      </w:tblGrid>
      <w:tr>
        <w:trPr/>
        <w:tc>
          <w:tcPr>
            <w:tcW w:w="36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8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Q2 2026 (USD) (Unaudited)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Q2 2025 (USD) (Unaudited)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FY2025 (USD)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FY2024 (USD)</w:t>
            </w:r>
          </w:p>
        </w:tc>
        <w:tc>
          <w:tcPr>
            <w:tcW w:w="100" w:type="dxa"/>
            <w:tcBorders/>
            <w:vAlign w:val="center"/>
          </w:tcPr>
          <w:p>
            <w:pPr>
              <w:pStyle w:val="TableContents"/>
              <w:bidi w:val="0"/>
              <w:spacing w:before="0" w:after="283"/>
              <w:jc w:val="left"/>
              <w:rPr/>
            </w:pPr>
            <w:r>
              <w:rPr/>
              <w:t> </w:t>
            </w:r>
          </w:p>
        </w:tc>
      </w:tr>
      <w:tr>
        <w:trPr/>
        <w:tc>
          <w:tcPr>
            <w:tcW w:w="3616" w:type="dxa"/>
            <w:tcBorders/>
            <w:shd w:fill="CCEEFF" w:val="clear"/>
            <w:vAlign w:val="center"/>
          </w:tcPr>
          <w:p>
            <w:pPr>
              <w:pStyle w:val="TableContents"/>
              <w:bidi w:val="0"/>
              <w:spacing w:before="0" w:after="283"/>
              <w:jc w:val="left"/>
              <w:rPr>
                <w:b/>
                <w:sz w:val="20"/>
              </w:rPr>
            </w:pPr>
            <w:r>
              <w:rPr>
                <w:b/>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sz w:val="20"/>
              </w:rPr>
            </w:pPr>
            <w:r>
              <w:rPr>
                <w:sz w:val="20"/>
              </w:rPr>
              <w:t>Continuing operations — FNRG</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73" w:type="dxa"/>
            <w:tcBorders/>
            <w:shd w:fill="FFFFFF" w:val="clear"/>
            <w:vAlign w:val="center"/>
          </w:tcPr>
          <w:p>
            <w:pPr>
              <w:pStyle w:val="TableContents"/>
              <w:bidi w:val="0"/>
              <w:spacing w:before="0" w:after="283"/>
              <w:jc w:val="right"/>
              <w:rPr>
                <w:sz w:val="20"/>
              </w:rPr>
            </w:pPr>
            <w:r>
              <w:rPr>
                <w:sz w:val="20"/>
              </w:rPr>
              <w:t>(29,502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sz w:val="20"/>
              </w:rPr>
            </w:pPr>
            <w:r>
              <w:rPr>
                <w:sz w:val="20"/>
              </w:rPr>
              <w:t>(137,253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sz w:val="20"/>
              </w:rPr>
            </w:pPr>
            <w:r>
              <w:rPr>
                <w:sz w:val="20"/>
              </w:rPr>
              <w:t>(86,229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sz w:val="20"/>
              </w:rPr>
            </w:pPr>
            <w:r>
              <w:rPr>
                <w:sz w:val="20"/>
              </w:rPr>
              <w:t>175,349</w:t>
            </w:r>
          </w:p>
        </w:tc>
        <w:tc>
          <w:tcPr>
            <w:tcW w:w="100" w:type="dxa"/>
            <w:tcBorders/>
            <w:shd w:fill="FFFFFF" w:val="clear"/>
            <w:vAlign w:val="center"/>
          </w:tcPr>
          <w:p>
            <w:pPr>
              <w:pStyle w:val="TableContents"/>
              <w:bidi w:val="0"/>
              <w:spacing w:before="0" w:after="283"/>
              <w:jc w:val="left"/>
              <w:rPr/>
            </w:pPr>
            <w:r>
              <w:rPr/>
              <w:t> </w:t>
            </w:r>
          </w:p>
        </w:tc>
      </w:tr>
      <w:tr>
        <w:trPr/>
        <w:tc>
          <w:tcPr>
            <w:tcW w:w="3616" w:type="dxa"/>
            <w:tcBorders/>
            <w:shd w:fill="CCEEFF" w:val="clear"/>
            <w:vAlign w:val="center"/>
          </w:tcPr>
          <w:p>
            <w:pPr>
              <w:pStyle w:val="TableContents"/>
              <w:bidi w:val="0"/>
              <w:spacing w:before="0" w:after="283"/>
              <w:jc w:val="left"/>
              <w:rPr>
                <w:sz w:val="20"/>
              </w:rPr>
            </w:pPr>
            <w:r>
              <w:rPr>
                <w:sz w:val="20"/>
              </w:rPr>
              <w:t>Discontinued operations — SOH</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73"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sz w:val="20"/>
              </w:rPr>
            </w:pPr>
            <w:r>
              <w:rPr>
                <w:sz w:val="20"/>
              </w:rPr>
              <w:t>2,574,419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sz w:val="20"/>
              </w:rPr>
            </w:pPr>
            <w:r>
              <w:rPr>
                <w:sz w:val="20"/>
              </w:rPr>
              <w:t>1,089,200</w:t>
            </w:r>
          </w:p>
        </w:tc>
        <w:tc>
          <w:tcPr>
            <w:tcW w:w="100" w:type="dxa"/>
            <w:tcBorders/>
            <w:shd w:fill="CCEEFF" w:val="cle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b/>
                <w:sz w:val="20"/>
              </w:rPr>
            </w:pPr>
            <w:r>
              <w:rPr>
                <w:b/>
                <w:sz w:val="20"/>
              </w:rPr>
              <w:t>Net cash from (used in) operating activities</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73" w:type="dxa"/>
            <w:tcBorders/>
            <w:shd w:fill="FFFFFF" w:val="clear"/>
            <w:vAlign w:val="center"/>
          </w:tcPr>
          <w:p>
            <w:pPr>
              <w:pStyle w:val="TableContents"/>
              <w:bidi w:val="0"/>
              <w:spacing w:before="0" w:after="283"/>
              <w:jc w:val="right"/>
              <w:rPr>
                <w:b/>
                <w:sz w:val="20"/>
              </w:rPr>
            </w:pPr>
            <w:r>
              <w:rPr>
                <w:b/>
                <w:sz w:val="20"/>
              </w:rPr>
              <w:t>(29,502</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b/>
                <w:sz w:val="20"/>
              </w:rPr>
            </w:pPr>
            <w:r>
              <w:rPr>
                <w:b/>
                <w:sz w:val="20"/>
              </w:rPr>
              <w:t>(137,253</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b/>
                <w:sz w:val="20"/>
              </w:rPr>
            </w:pPr>
            <w:r>
              <w:rPr>
                <w:b/>
                <w:sz w:val="20"/>
              </w:rPr>
              <w:t>2,488,190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b/>
                <w:sz w:val="20"/>
              </w:rPr>
            </w:pPr>
            <w:r>
              <w:rPr>
                <w:b/>
                <w:sz w:val="20"/>
              </w:rPr>
              <w:t>1,264,549</w:t>
            </w:r>
          </w:p>
        </w:tc>
        <w:tc>
          <w:tcPr>
            <w:tcW w:w="100" w:type="dxa"/>
            <w:tcBorders/>
            <w:shd w:fill="FFFFFF" w:val="clear"/>
            <w:vAlign w:val="center"/>
          </w:tcPr>
          <w:p>
            <w:pPr>
              <w:pStyle w:val="TableContents"/>
              <w:bidi w:val="0"/>
              <w:spacing w:before="0" w:after="283"/>
              <w:jc w:val="left"/>
              <w:rPr/>
            </w:pPr>
            <w:r>
              <w:rPr/>
              <w:t> </w:t>
            </w:r>
          </w:p>
        </w:tc>
      </w:tr>
      <w:tr>
        <w:trPr/>
        <w:tc>
          <w:tcPr>
            <w:tcW w:w="3616" w:type="dxa"/>
            <w:tcBorders/>
            <w:shd w:fill="CCEEFF" w:val="clear"/>
            <w:vAlign w:val="center"/>
          </w:tcPr>
          <w:p>
            <w:pPr>
              <w:pStyle w:val="TableContents"/>
              <w:bidi w:val="0"/>
              <w:spacing w:before="0" w:after="283"/>
              <w:jc w:val="left"/>
              <w:rPr>
                <w:b/>
                <w:sz w:val="20"/>
              </w:rPr>
            </w:pPr>
            <w:r>
              <w:rPr>
                <w:b/>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sz w:val="20"/>
              </w:rPr>
            </w:pPr>
            <w:r>
              <w:rPr>
                <w:sz w:val="20"/>
              </w:rPr>
              <w:t>Continuing operations — FNRG</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73"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sz w:val="20"/>
              </w:rPr>
            </w:pPr>
            <w:r>
              <w:rPr>
                <w:sz w:val="20"/>
              </w:rPr>
              <w:t>(7,270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sz w:val="20"/>
              </w:rPr>
            </w:pPr>
            <w:r>
              <w:rPr>
                <w:sz w:val="20"/>
              </w:rPr>
              <w:t>(282</w:t>
            </w:r>
          </w:p>
        </w:tc>
        <w:tc>
          <w:tcPr>
            <w:tcW w:w="100" w:type="dxa"/>
            <w:tcBorders/>
            <w:shd w:fill="FFFFFF" w:val="clear"/>
            <w:vAlign w:val="center"/>
          </w:tcPr>
          <w:p>
            <w:pPr>
              <w:pStyle w:val="TableContents"/>
              <w:bidi w:val="0"/>
              <w:spacing w:before="0" w:after="283"/>
              <w:jc w:val="left"/>
              <w:rPr>
                <w:sz w:val="20"/>
              </w:rPr>
            </w:pPr>
            <w:r>
              <w:rPr>
                <w:sz w:val="20"/>
              </w:rPr>
              <w:t>)</w:t>
            </w:r>
          </w:p>
        </w:tc>
      </w:tr>
      <w:tr>
        <w:trPr/>
        <w:tc>
          <w:tcPr>
            <w:tcW w:w="3616" w:type="dxa"/>
            <w:tcBorders/>
            <w:shd w:fill="CCEEFF" w:val="clear"/>
            <w:vAlign w:val="center"/>
          </w:tcPr>
          <w:p>
            <w:pPr>
              <w:pStyle w:val="TableContents"/>
              <w:bidi w:val="0"/>
              <w:spacing w:before="0" w:after="283"/>
              <w:jc w:val="left"/>
              <w:rPr>
                <w:sz w:val="20"/>
              </w:rPr>
            </w:pPr>
            <w:r>
              <w:rPr>
                <w:sz w:val="20"/>
              </w:rPr>
              <w:t>Discontinued operations — SOH</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73"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sz w:val="20"/>
              </w:rPr>
            </w:pPr>
            <w:r>
              <w:rPr>
                <w:sz w:val="20"/>
              </w:rPr>
              <w:t>(155,543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sz w:val="20"/>
              </w:rPr>
            </w:pPr>
            <w:r>
              <w:rPr>
                <w:sz w:val="20"/>
              </w:rPr>
              <w:t>(8,336</w:t>
            </w:r>
          </w:p>
        </w:tc>
        <w:tc>
          <w:tcPr>
            <w:tcW w:w="100" w:type="dxa"/>
            <w:tcBorders/>
            <w:shd w:fill="CCEEFF" w:val="clear"/>
            <w:vAlign w:val="center"/>
          </w:tcPr>
          <w:p>
            <w:pPr>
              <w:pStyle w:val="TableContents"/>
              <w:bidi w:val="0"/>
              <w:spacing w:before="0" w:after="283"/>
              <w:jc w:val="left"/>
              <w:rPr>
                <w:sz w:val="20"/>
              </w:rPr>
            </w:pPr>
            <w:r>
              <w:rPr>
                <w:sz w:val="20"/>
              </w:rPr>
              <w:t>)</w:t>
            </w:r>
          </w:p>
        </w:tc>
      </w:tr>
      <w:tr>
        <w:trPr/>
        <w:tc>
          <w:tcPr>
            <w:tcW w:w="3616" w:type="dxa"/>
            <w:tcBorders/>
            <w:shd w:fill="FFFFFF" w:val="clear"/>
            <w:vAlign w:val="center"/>
          </w:tcPr>
          <w:p>
            <w:pPr>
              <w:pStyle w:val="TableContents"/>
              <w:bidi w:val="0"/>
              <w:spacing w:before="0" w:after="283"/>
              <w:jc w:val="left"/>
              <w:rPr>
                <w:sz w:val="20"/>
              </w:rPr>
            </w:pPr>
            <w:r>
              <w:rPr>
                <w:sz w:val="20"/>
              </w:rPr>
              <w:t>Disposal of SOH — net cash outflow on deconsolidation</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73" w:type="dxa"/>
            <w:tcBorders/>
            <w:shd w:fill="FFFFFF" w:val="clear"/>
            <w:vAlign w:val="center"/>
          </w:tcPr>
          <w:p>
            <w:pPr>
              <w:pStyle w:val="TableContents"/>
              <w:bidi w:val="0"/>
              <w:spacing w:before="0" w:after="283"/>
              <w:jc w:val="right"/>
              <w:rPr>
                <w:sz w:val="20"/>
              </w:rPr>
            </w:pPr>
            <w:r>
              <w:rPr>
                <w:sz w:val="20"/>
              </w:rPr>
              <w:t>(3,135,050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sz w:val="20"/>
              </w:rPr>
            </w:pPr>
            <w:r>
              <w:rPr>
                <w:sz w:val="20"/>
              </w:rPr>
              <w:t>-</w:t>
            </w:r>
          </w:p>
        </w:tc>
        <w:tc>
          <w:tcPr>
            <w:tcW w:w="100" w:type="dxa"/>
            <w:tcBorders/>
            <w:shd w:fill="FFFFFF" w:val="clear"/>
            <w:vAlign w:val="center"/>
          </w:tcPr>
          <w:p>
            <w:pPr>
              <w:pStyle w:val="TableContents"/>
              <w:bidi w:val="0"/>
              <w:spacing w:before="0" w:after="283"/>
              <w:jc w:val="left"/>
              <w:rPr/>
            </w:pPr>
            <w:r>
              <w:rPr/>
              <w:t> </w:t>
            </w:r>
          </w:p>
        </w:tc>
      </w:tr>
      <w:tr>
        <w:trPr/>
        <w:tc>
          <w:tcPr>
            <w:tcW w:w="3616" w:type="dxa"/>
            <w:tcBorders/>
            <w:shd w:fill="CCEEFF" w:val="clear"/>
            <w:vAlign w:val="center"/>
          </w:tcPr>
          <w:p>
            <w:pPr>
              <w:pStyle w:val="TableContents"/>
              <w:bidi w:val="0"/>
              <w:spacing w:before="0" w:after="283"/>
              <w:jc w:val="left"/>
              <w:rPr>
                <w:b/>
                <w:sz w:val="20"/>
              </w:rPr>
            </w:pPr>
            <w:r>
              <w:rPr>
                <w:b/>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73" w:type="dxa"/>
            <w:tcBorders/>
            <w:shd w:fill="CCEEFF" w:val="clear"/>
            <w:vAlign w:val="center"/>
          </w:tcPr>
          <w:p>
            <w:pPr>
              <w:pStyle w:val="TableContents"/>
              <w:bidi w:val="0"/>
              <w:spacing w:before="0" w:after="283"/>
              <w:jc w:val="right"/>
              <w:rPr>
                <w:b/>
                <w:sz w:val="20"/>
              </w:rPr>
            </w:pPr>
            <w:r>
              <w:rPr>
                <w:b/>
                <w:sz w:val="20"/>
              </w:rPr>
              <w:t>(3,135,050</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b/>
                <w:sz w:val="20"/>
              </w:rPr>
            </w:pPr>
            <w:r>
              <w:rPr>
                <w:b/>
                <w:sz w:val="20"/>
              </w:rPr>
              <w:t>(162,813</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b/>
                <w:sz w:val="20"/>
              </w:rPr>
            </w:pPr>
            <w:r>
              <w:rPr>
                <w:b/>
                <w:sz w:val="20"/>
              </w:rPr>
              <w:t>(8,618</w:t>
            </w:r>
          </w:p>
        </w:tc>
        <w:tc>
          <w:tcPr>
            <w:tcW w:w="100" w:type="dxa"/>
            <w:tcBorders/>
            <w:shd w:fill="CCEEFF" w:val="clear"/>
            <w:vAlign w:val="center"/>
          </w:tcPr>
          <w:p>
            <w:pPr>
              <w:pStyle w:val="TableContents"/>
              <w:bidi w:val="0"/>
              <w:spacing w:before="0" w:after="283"/>
              <w:jc w:val="left"/>
              <w:rPr>
                <w:b/>
                <w:sz w:val="20"/>
              </w:rPr>
            </w:pPr>
            <w:r>
              <w:rPr>
                <w:b/>
                <w:sz w:val="20"/>
              </w:rPr>
              <w:t>)</w:t>
            </w:r>
          </w:p>
        </w:tc>
      </w:tr>
      <w:tr>
        <w:trPr/>
        <w:tc>
          <w:tcPr>
            <w:tcW w:w="3616" w:type="dxa"/>
            <w:tcBorders/>
            <w:shd w:fill="FFFFFF" w:val="clear"/>
            <w:vAlign w:val="center"/>
          </w:tcPr>
          <w:p>
            <w:pPr>
              <w:pStyle w:val="TableContents"/>
              <w:bidi w:val="0"/>
              <w:spacing w:before="0" w:after="283"/>
              <w:jc w:val="left"/>
              <w:rPr>
                <w:b/>
                <w:sz w:val="20"/>
              </w:rPr>
            </w:pPr>
            <w:r>
              <w:rPr>
                <w:b/>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3616" w:type="dxa"/>
            <w:tcBorders/>
            <w:shd w:fill="CCEEFF" w:val="clear"/>
            <w:vAlign w:val="center"/>
          </w:tcPr>
          <w:p>
            <w:pPr>
              <w:pStyle w:val="TableContents"/>
              <w:bidi w:val="0"/>
              <w:spacing w:before="0" w:after="283"/>
              <w:jc w:val="left"/>
              <w:rPr>
                <w:sz w:val="20"/>
              </w:rPr>
            </w:pPr>
            <w:r>
              <w:rPr>
                <w:sz w:val="20"/>
              </w:rPr>
              <w:t>Continuing operations — FNRG</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73"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sz w:val="20"/>
              </w:rPr>
            </w:pPr>
            <w:r>
              <w:rPr>
                <w:sz w:val="20"/>
              </w:rPr>
              <w:t>-</w:t>
            </w:r>
          </w:p>
        </w:tc>
        <w:tc>
          <w:tcPr>
            <w:tcW w:w="100" w:type="dxa"/>
            <w:tcBorders/>
            <w:shd w:fill="CCEEFF" w:val="cle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sz w:val="20"/>
              </w:rPr>
            </w:pPr>
            <w:r>
              <w:rPr>
                <w:sz w:val="20"/>
              </w:rPr>
              <w:t>Discontinued operations — SOH</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73"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sz w:val="20"/>
              </w:rPr>
            </w:pPr>
            <w:r>
              <w:rPr>
                <w:sz w:val="20"/>
              </w:rPr>
              <w:t>(1,183,544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sz w:val="20"/>
              </w:rPr>
            </w:pPr>
            <w:r>
              <w:rPr>
                <w:sz w:val="20"/>
              </w:rPr>
              <w:t>(751,544</w:t>
            </w:r>
          </w:p>
        </w:tc>
        <w:tc>
          <w:tcPr>
            <w:tcW w:w="100" w:type="dxa"/>
            <w:tcBorders/>
            <w:shd w:fill="FFFFFF" w:val="clear"/>
            <w:vAlign w:val="center"/>
          </w:tcPr>
          <w:p>
            <w:pPr>
              <w:pStyle w:val="TableContents"/>
              <w:bidi w:val="0"/>
              <w:spacing w:before="0" w:after="283"/>
              <w:jc w:val="left"/>
              <w:rPr>
                <w:sz w:val="20"/>
              </w:rPr>
            </w:pPr>
            <w:r>
              <w:rPr>
                <w:sz w:val="20"/>
              </w:rPr>
              <w:t>)</w:t>
            </w:r>
          </w:p>
        </w:tc>
      </w:tr>
      <w:tr>
        <w:trPr/>
        <w:tc>
          <w:tcPr>
            <w:tcW w:w="3616" w:type="dxa"/>
            <w:tcBorders/>
            <w:shd w:fill="CCEEFF" w:val="clear"/>
            <w:vAlign w:val="center"/>
          </w:tcPr>
          <w:p>
            <w:pPr>
              <w:pStyle w:val="TableContents"/>
              <w:bidi w:val="0"/>
              <w:spacing w:before="0" w:after="283"/>
              <w:jc w:val="left"/>
              <w:rPr>
                <w:b/>
                <w:sz w:val="20"/>
              </w:rPr>
            </w:pPr>
            <w:r>
              <w:rPr>
                <w:b/>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73"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b/>
                <w:sz w:val="20"/>
              </w:rPr>
            </w:pPr>
            <w:r>
              <w:rPr>
                <w:b/>
                <w:sz w:val="20"/>
              </w:rPr>
              <w:t>(1,183,544</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b/>
                <w:sz w:val="20"/>
              </w:rPr>
            </w:pPr>
            <w:r>
              <w:rPr>
                <w:b/>
                <w:sz w:val="20"/>
              </w:rPr>
              <w:t>(751,544</w:t>
            </w:r>
          </w:p>
        </w:tc>
        <w:tc>
          <w:tcPr>
            <w:tcW w:w="100" w:type="dxa"/>
            <w:tcBorders/>
            <w:shd w:fill="CCEEFF" w:val="clear"/>
            <w:vAlign w:val="center"/>
          </w:tcPr>
          <w:p>
            <w:pPr>
              <w:pStyle w:val="TableContents"/>
              <w:bidi w:val="0"/>
              <w:spacing w:before="0" w:after="283"/>
              <w:jc w:val="left"/>
              <w:rPr>
                <w:b/>
                <w:sz w:val="20"/>
              </w:rPr>
            </w:pPr>
            <w:r>
              <w:rPr>
                <w:b/>
                <w:sz w:val="20"/>
              </w:rPr>
              <w:t>)</w:t>
            </w:r>
          </w:p>
        </w:tc>
      </w:tr>
      <w:tr>
        <w:trPr/>
        <w:tc>
          <w:tcPr>
            <w:tcW w:w="3616" w:type="dxa"/>
            <w:tcBorders/>
            <w:shd w:fill="FFFFFF" w:val="clear"/>
            <w:vAlign w:val="center"/>
          </w:tcPr>
          <w:p>
            <w:pPr>
              <w:pStyle w:val="TableContents"/>
              <w:bidi w:val="0"/>
              <w:spacing w:before="0" w:after="283"/>
              <w:jc w:val="left"/>
              <w:rPr>
                <w:sz w:val="20"/>
              </w:rPr>
            </w:pPr>
            <w:r>
              <w:rPr>
                <w:sz w:val="20"/>
              </w:rPr>
              <w:t>Effect of exchange rate changes on cash</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73" w:type="dxa"/>
            <w:tcBorders/>
            <w:shd w:fill="FFFFFF" w:val="clear"/>
            <w:vAlign w:val="center"/>
          </w:tcPr>
          <w:p>
            <w:pPr>
              <w:pStyle w:val="TableContents"/>
              <w:bidi w:val="0"/>
              <w:spacing w:before="0" w:after="283"/>
              <w:jc w:val="right"/>
              <w:rPr>
                <w:sz w:val="20"/>
              </w:rPr>
            </w:pPr>
            <w:r>
              <w:rPr>
                <w:sz w:val="20"/>
              </w:rPr>
              <w:t>(146,105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sz w:val="20"/>
              </w:rPr>
            </w:pPr>
            <w:r>
              <w:rPr>
                <w:sz w:val="20"/>
              </w:rPr>
              <w:t>4,452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sz w:val="20"/>
              </w:rPr>
            </w:pPr>
            <w:r>
              <w:rPr>
                <w:sz w:val="20"/>
              </w:rPr>
              <w:t>225,986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sz w:val="20"/>
              </w:rPr>
            </w:pPr>
            <w:r>
              <w:rPr>
                <w:sz w:val="20"/>
              </w:rPr>
              <w:t>36,558</w:t>
            </w:r>
          </w:p>
        </w:tc>
        <w:tc>
          <w:tcPr>
            <w:tcW w:w="100" w:type="dxa"/>
            <w:tcBorders/>
            <w:shd w:fill="FFFFFF" w:val="clear"/>
            <w:vAlign w:val="center"/>
          </w:tcPr>
          <w:p>
            <w:pPr>
              <w:pStyle w:val="TableContents"/>
              <w:bidi w:val="0"/>
              <w:spacing w:before="0" w:after="283"/>
              <w:jc w:val="left"/>
              <w:rPr/>
            </w:pPr>
            <w:r>
              <w:rPr/>
              <w:t> </w:t>
            </w:r>
          </w:p>
        </w:tc>
      </w:tr>
      <w:tr>
        <w:trPr/>
        <w:tc>
          <w:tcPr>
            <w:tcW w:w="3616" w:type="dxa"/>
            <w:tcBorders/>
            <w:shd w:fill="CCEEFF" w:val="clear"/>
            <w:vAlign w:val="center"/>
          </w:tcPr>
          <w:p>
            <w:pPr>
              <w:pStyle w:val="TableContents"/>
              <w:bidi w:val="0"/>
              <w:spacing w:before="0" w:after="283"/>
              <w:jc w:val="left"/>
              <w:rPr>
                <w:b/>
                <w:sz w:val="20"/>
              </w:rPr>
            </w:pPr>
            <w:r>
              <w:rPr>
                <w:b/>
                <w:sz w:val="20"/>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73" w:type="dxa"/>
            <w:tcBorders/>
            <w:shd w:fill="CCEEFF" w:val="clear"/>
            <w:vAlign w:val="center"/>
          </w:tcPr>
          <w:p>
            <w:pPr>
              <w:pStyle w:val="TableContents"/>
              <w:bidi w:val="0"/>
              <w:spacing w:before="0" w:after="283"/>
              <w:jc w:val="right"/>
              <w:rPr>
                <w:b/>
                <w:sz w:val="20"/>
              </w:rPr>
            </w:pPr>
            <w:r>
              <w:rPr>
                <w:b/>
                <w:sz w:val="20"/>
              </w:rPr>
              <w:t>(3,310,657</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right"/>
              <w:rPr>
                <w:b/>
                <w:sz w:val="20"/>
              </w:rPr>
            </w:pPr>
            <w:r>
              <w:rPr>
                <w:b/>
                <w:sz w:val="20"/>
              </w:rPr>
              <w:t>(132,801</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b/>
                <w:sz w:val="20"/>
              </w:rPr>
            </w:pPr>
            <w:r>
              <w:rPr>
                <w:b/>
                <w:sz w:val="20"/>
              </w:rPr>
              <w:t>1,367,819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b/>
                <w:sz w:val="20"/>
              </w:rPr>
            </w:pPr>
            <w:r>
              <w:rPr>
                <w:b/>
                <w:sz w:val="20"/>
              </w:rPr>
              <w:t>540,945</w:t>
            </w:r>
          </w:p>
        </w:tc>
        <w:tc>
          <w:tcPr>
            <w:tcW w:w="100" w:type="dxa"/>
            <w:tcBorders/>
            <w:shd w:fill="CCEEFF" w:val="cle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sz w:val="20"/>
              </w:rPr>
            </w:pPr>
            <w:r>
              <w:rPr>
                <w:sz w:val="20"/>
              </w:rPr>
              <w:t>Cash — beginning of period (total group)</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73" w:type="dxa"/>
            <w:tcBorders/>
            <w:shd w:fill="FFFFFF" w:val="clear"/>
            <w:vAlign w:val="center"/>
          </w:tcPr>
          <w:p>
            <w:pPr>
              <w:pStyle w:val="TableContents"/>
              <w:bidi w:val="0"/>
              <w:spacing w:before="0" w:after="283"/>
              <w:jc w:val="right"/>
              <w:rPr>
                <w:sz w:val="20"/>
              </w:rPr>
            </w:pPr>
            <w:r>
              <w:rPr>
                <w:sz w:val="20"/>
              </w:rPr>
              <w:t>3,337,766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sz w:val="20"/>
              </w:rPr>
            </w:pPr>
            <w:r>
              <w:rPr>
                <w:sz w:val="20"/>
              </w:rPr>
              <w:t>(268,780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sz w:val="20"/>
              </w:rPr>
            </w:pPr>
            <w:r>
              <w:rPr>
                <w:sz w:val="20"/>
              </w:rPr>
              <w:t>1,969,947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sz w:val="20"/>
              </w:rPr>
            </w:pPr>
            <w:r>
              <w:rPr>
                <w:sz w:val="20"/>
              </w:rPr>
              <w:t>1,429,002</w:t>
            </w:r>
          </w:p>
        </w:tc>
        <w:tc>
          <w:tcPr>
            <w:tcW w:w="100" w:type="dxa"/>
            <w:tcBorders/>
            <w:shd w:fill="FFFFFF" w:val="clear"/>
            <w:vAlign w:val="center"/>
          </w:tcPr>
          <w:p>
            <w:pPr>
              <w:pStyle w:val="TableContents"/>
              <w:bidi w:val="0"/>
              <w:spacing w:before="0" w:after="283"/>
              <w:jc w:val="left"/>
              <w:rPr/>
            </w:pPr>
            <w:r>
              <w:rPr/>
              <w:t> </w:t>
            </w:r>
          </w:p>
        </w:tc>
      </w:tr>
      <w:tr>
        <w:trPr/>
        <w:tc>
          <w:tcPr>
            <w:tcW w:w="3616" w:type="dxa"/>
            <w:tcBorders/>
            <w:shd w:fill="CCEEFF" w:val="clear"/>
            <w:vAlign w:val="center"/>
          </w:tcPr>
          <w:p>
            <w:pPr>
              <w:pStyle w:val="TableContents"/>
              <w:bidi w:val="0"/>
              <w:spacing w:before="0" w:after="283"/>
              <w:jc w:val="left"/>
              <w:rPr>
                <w:b/>
                <w:sz w:val="20"/>
              </w:rPr>
            </w:pPr>
            <w:r>
              <w:rPr>
                <w:b/>
                <w:sz w:val="20"/>
              </w:rPr>
              <w:t>Cash — end of period (total group)</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73" w:type="dxa"/>
            <w:tcBorders/>
            <w:shd w:fill="CCEEFF" w:val="clear"/>
            <w:vAlign w:val="center"/>
          </w:tcPr>
          <w:p>
            <w:pPr>
              <w:pStyle w:val="TableContents"/>
              <w:bidi w:val="0"/>
              <w:spacing w:before="0" w:after="283"/>
              <w:jc w:val="right"/>
              <w:rPr>
                <w:b/>
                <w:sz w:val="20"/>
              </w:rPr>
            </w:pPr>
            <w:r>
              <w:rPr>
                <w:b/>
                <w:sz w:val="20"/>
              </w:rPr>
              <w:t>27,109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right"/>
              <w:rPr>
                <w:b/>
                <w:sz w:val="20"/>
              </w:rPr>
            </w:pPr>
            <w:r>
              <w:rPr>
                <w:b/>
                <w:sz w:val="20"/>
              </w:rPr>
              <w:t>135,979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b/>
                <w:sz w:val="20"/>
              </w:rPr>
            </w:pPr>
            <w:r>
              <w:rPr>
                <w:b/>
                <w:sz w:val="20"/>
              </w:rPr>
              <w:t>3,337,766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b/>
                <w:sz w:val="20"/>
              </w:rPr>
            </w:pPr>
            <w:r>
              <w:rPr>
                <w:b/>
                <w:sz w:val="20"/>
              </w:rPr>
              <w:t>1,969,947</w:t>
            </w:r>
          </w:p>
        </w:tc>
        <w:tc>
          <w:tcPr>
            <w:tcW w:w="100" w:type="dxa"/>
            <w:tcBorders/>
            <w:shd w:fill="CCEEFF" w:val="cle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b/>
                <w:sz w:val="20"/>
              </w:rPr>
            </w:pPr>
            <w:r>
              <w:rPr>
                <w:b/>
                <w:sz w:val="20"/>
              </w:rPr>
              <w:t>COMPOSITION OF CLOSING CASH</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3616" w:type="dxa"/>
            <w:tcBorders/>
            <w:shd w:fill="CCEEFF" w:val="clear"/>
            <w:vAlign w:val="center"/>
          </w:tcPr>
          <w:p>
            <w:pPr>
              <w:pStyle w:val="TableContents"/>
              <w:bidi w:val="0"/>
              <w:spacing w:before="0" w:after="283"/>
              <w:jc w:val="left"/>
              <w:rPr>
                <w:sz w:val="20"/>
              </w:rPr>
            </w:pPr>
            <w:r>
              <w:rPr>
                <w:sz w:val="20"/>
              </w:rPr>
              <w:t>Continuing operations — FNRG</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73" w:type="dxa"/>
            <w:tcBorders/>
            <w:shd w:fill="CCEEFF" w:val="clear"/>
            <w:vAlign w:val="center"/>
          </w:tcPr>
          <w:p>
            <w:pPr>
              <w:pStyle w:val="TableContents"/>
              <w:bidi w:val="0"/>
              <w:spacing w:before="0" w:after="283"/>
              <w:jc w:val="right"/>
              <w:rPr>
                <w:sz w:val="20"/>
              </w:rPr>
            </w:pPr>
            <w:r>
              <w:rPr>
                <w:sz w:val="20"/>
              </w:rPr>
              <w:t>27,109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right"/>
              <w:rPr>
                <w:sz w:val="20"/>
              </w:rPr>
            </w:pPr>
            <w:r>
              <w:rPr>
                <w:sz w:val="20"/>
              </w:rPr>
              <w:t>135,979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sz w:val="20"/>
              </w:rPr>
            </w:pPr>
            <w:r>
              <w:rPr>
                <w:sz w:val="20"/>
              </w:rPr>
              <w:t>202,716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sz w:val="20"/>
              </w:rPr>
            </w:pPr>
            <w:r>
              <w:rPr>
                <w:sz w:val="20"/>
              </w:rPr>
              <w:t>268,780</w:t>
            </w:r>
          </w:p>
        </w:tc>
        <w:tc>
          <w:tcPr>
            <w:tcW w:w="100" w:type="dxa"/>
            <w:tcBorders/>
            <w:shd w:fill="CCEEFF" w:val="cle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sz w:val="20"/>
              </w:rPr>
            </w:pPr>
            <w:r>
              <w:rPr>
                <w:sz w:val="20"/>
              </w:rPr>
              <w:t>Discontinued operations — SOH</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7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sz w:val="20"/>
              </w:rPr>
            </w:pPr>
            <w:r>
              <w:rPr>
                <w:sz w:val="20"/>
              </w:rPr>
              <w:t>3,135,050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sz w:val="20"/>
              </w:rPr>
            </w:pPr>
            <w:r>
              <w:rPr>
                <w:sz w:val="20"/>
              </w:rPr>
              <w:t>1,701,167</w:t>
            </w:r>
          </w:p>
        </w:tc>
        <w:tc>
          <w:tcPr>
            <w:tcW w:w="100" w:type="dxa"/>
            <w:tcBorders/>
            <w:shd w:fill="FFFFFF" w:val="clear"/>
            <w:vAlign w:val="center"/>
          </w:tcPr>
          <w:p>
            <w:pPr>
              <w:pStyle w:val="TableContents"/>
              <w:bidi w:val="0"/>
              <w:spacing w:before="0" w:after="283"/>
              <w:jc w:val="left"/>
              <w:rPr/>
            </w:pPr>
            <w:r>
              <w:rPr/>
              <w:t> </w:t>
            </w:r>
          </w:p>
        </w:tc>
      </w:tr>
      <w:tr>
        <w:trPr/>
        <w:tc>
          <w:tcPr>
            <w:tcW w:w="3616" w:type="dxa"/>
            <w:tcBorders/>
            <w:shd w:fill="CCEEFF" w:val="clear"/>
            <w:vAlign w:val="center"/>
          </w:tcPr>
          <w:p>
            <w:pPr>
              <w:pStyle w:val="TableContents"/>
              <w:bidi w:val="0"/>
              <w:spacing w:before="0" w:after="283"/>
              <w:jc w:val="left"/>
              <w:rPr>
                <w:b/>
                <w:sz w:val="20"/>
              </w:rPr>
            </w:pPr>
            <w:r>
              <w:rPr>
                <w:b/>
                <w:sz w:val="20"/>
              </w:rPr>
              <w:t>Total cash and cash equivalents</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73" w:type="dxa"/>
            <w:tcBorders/>
            <w:shd w:fill="CCEEFF" w:val="clear"/>
            <w:vAlign w:val="center"/>
          </w:tcPr>
          <w:p>
            <w:pPr>
              <w:pStyle w:val="TableContents"/>
              <w:bidi w:val="0"/>
              <w:spacing w:before="0" w:after="283"/>
              <w:jc w:val="right"/>
              <w:rPr>
                <w:b/>
                <w:sz w:val="20"/>
              </w:rPr>
            </w:pPr>
            <w:r>
              <w:rPr>
                <w:b/>
                <w:sz w:val="20"/>
              </w:rPr>
              <w:t>27,109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right"/>
              <w:rPr>
                <w:b/>
                <w:sz w:val="20"/>
              </w:rPr>
            </w:pPr>
            <w:r>
              <w:rPr>
                <w:b/>
                <w:sz w:val="20"/>
              </w:rPr>
              <w:t>135,979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b/>
                <w:sz w:val="20"/>
              </w:rPr>
            </w:pPr>
            <w:r>
              <w:rPr>
                <w:b/>
                <w:sz w:val="20"/>
              </w:rPr>
              <w:t>3,337,766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b/>
                <w:sz w:val="20"/>
              </w:rPr>
            </w:pPr>
            <w:r>
              <w:rPr>
                <w:b/>
                <w:sz w:val="20"/>
              </w:rPr>
              <w:t>1,969,947</w:t>
            </w:r>
          </w:p>
        </w:tc>
        <w:tc>
          <w:tcPr>
            <w:tcW w:w="10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from operating activities for FY2025 was USD 2,488,190 (FY2024: USD 1,264,549), reflecting consolidated cash flows across continuing and discontinued operations. Continuing operations generated a negative operating cash flow of RM 350,174 (USD 86,229) in FY2025, compared to a positive operating cash flow of RM 784,774 (USD 175,349) in FY2024. The FY2025 operating cash outflow from continuing operations was driven by: net loss of RM 271,526 (USD 66,862); non-cash items including depreciation and amortization of RM 779,638 (USD 191,982), impairment on financial assets of RM 144,638 (USD 35,616), and bad debts written off of RM 424,730 (USD 104,588); and working capital movements including an increase in accounts receivable of RM 422,770 (USD 104,105) and a decrease in accounts payable and accrued liabilities of RM 1,123,937 (USD 276,764).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Discontinued operations (SOH) generated operating cash flows of RM 10,460,374 (USD 2,575,813) in FY2025 (FY2024: RM 4,883,728, USD 1,091,214). SOH’s strong operating cash generation was underpinned by net income of RM 10,386,210 (FY2024: RM 4,122,471) and non-cash depreciation and amortization of RM 4,824,062 (USD 1,187,900) (FY2024: RM 4,756,635), partially offset by working capital movements including an increase in inventories of RM 1,494,001 (FY2024: RM 93,017) and a decrease in trade payables and accrued liabilities of RM 2,579,291 (FY2024: increase of RM 630,509).</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Q2 2026, net cash used in operating activities was USD 29,502, reflecting normal business operations of the standalone Company without the SOH subsidiary. The primary non-cash adjustments were depreciation of USD 96,504, the non-cash loss on disposal of USD 1,904,424 (translated historically recorded as USD 1,919,251 in Q1 2026), and the non-cash gain on waiver of debt of USD 1,926,508 (translated historically recorded as USD 1,941,507). Working capital movements reflected a net cash outflow of USD 5,871 from changes in receivables, inventories, and payables.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Activities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FY2025, consolidated net cash used in investing activities was USD 162,813 (FY2024: USD 8,618). Continuing operations incurred capital expenditure of RM 29,524 (USD 7,270) in FY2025 (FY2024: RM 1,262, USD 282), relating to additions to property and equipment at the medical waste processing facility. Discontinued operations (SOH) incurred capital expenditure of RM 631,661 (USD 155,543) in FY2025 (FY2024: RM 37,309, USD 8,336) for machinery and plant additions at the palm oil mill. For Q1 2026, net cash used in investing activities was USD 3,150,000, representing the net cash outflow on the disposal of SOH. This outflow reflects the deconsolidation of SOH’s cash balances of USD 3,135,050 upon derecognition, plus minimal transaction-related costs.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Q2 2026, net cash used in investing activities was USD 3,135,050, representing the net cash outflow on the disposal of SOH. This outflow reflects the deconsolidation of SOH’s cash balances (USD 3,135,050 at December 31, 2025) upon derecognition.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Activities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from discontinued operation for FY2025 was USD 1,183,544, comprising repayment of banker’s acceptances within SOH (USD 1,031,318) and hire purchase obligations within SOH (USD 152,226). For FY2024, net cash used in financing activities was USD 751,544. No financing activities were recorded in Q1 2026 upon disposal of the SOH subsidiary.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Contingent Liabilities — Legal Proceedings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two legal proceedings filed by AHT Syngas Technology NV (“AHT”) in the Shah Alam High Court. Case 1 (BA-22NCC-104-08/2021), in which AHT claimed EUR 1,783,810 relating to a coal gasification system, was struck out on September 8, 2025 following AHT’s non-compliance with a security-for-costs order. AHT has appealed (Appeal No. B-02(IM)(NCC)-1992-10/2025); no provision has been recognized for this case as a loss is not considered probable.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Case 2 (BA-22NCC-57-04/2022), in which AHT claimed EUR 342,857 relates to a biomass gasification plant contract. The trial is ongoing. One of FNRG’s witnesses completed his testimony on 31 July 2026, while another witness remains under cross-examination. Further proceedings, including the testimony of an expert witness, are scheduled for 18 September 2026, 25 September 2026 and 28 September 2026. The Company has recognized a provision of RM 1,647,000 (USD 403,924, translated historically recorded as USD 406,945 in Q1 2026) as at June 30, 2026 (December 31, 2025: USD 405,566), representing management’s best estimate of the probable loss in accordance with ASC 450-20, Loss Contingencies.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Requirements and Future Outlook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disposal of SOH and the extinguishment of the intercompany payable to Fitters, the Company’s continuing operations consist solely of its medical waste management. The Company’s primary capital requirement is to fund working capital for the continuing operations, including receivables, consumables inventory, and maintenance of its processing facility.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total shareholders’ equity was USD 4,318,811, supported principally by property and equipment with a net book value of USD 4,403,609. However, the Company’s cash and cash equivalents remained at a low level, increasing from USD 9,649 as at March 31, 2026 to USD 27,109 as at June 30, 2026. Accordingly, the Company will need to generate sufficient cash flows from its operations and/or obtain external financing to meet its ongoing obligations, including any potential adverse outcomes arising from the AHT litigation. The financial statements do not disclose any committed external credit facilities currently available to the Company.</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163</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the Company’s continuing operations reported a net loss from continuing operations of USD 67,140 and an operating cash outflow from continuing operations of approximately USD 86,228. As at December 31, 2025, continuing operations had a working capital deficit of USD 4,524,366, primarily attributable to the intercompany payable to Fitters of USD 4,655,340. These conditions raised substantial doubt about the Company’s ability to continue as a going concern within the twelve-month period following the issuance of the FY2025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the going concern assessment, management considered the following mitigating factors: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December 31, 2024 and 2025, Fitters had not made any demand for repayment of outstanding intercompany balances and had formally confirmed its commitment to provide continued financial and operational support to enable the Company to meet its financial obligations as they fall due.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2025, the Company completed the disposal of SOH and applied the proceeds of RM 10,500,000 (USD 2,585,620) to reduce the intercompany payable.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2026, Fitters unconditionally waived the remaining intercompany payable balance of RM 7,855,337 (USD 1,941,507), effectively extinguishing the intercompany liability in full.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these events, as at March 31, 2026, current liabilities of continuing operations were reduced to USD 477,406, and the working capital deficit was reduced to USD 63,572.</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evaluated and concluded that, in light of the subsequent debt waiver and the commitment of the then-ultimate holding company, substantial doubt about the Company’s ability to continue as a going concern was alleviated as at the date of issuance of the FY2025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the Company’s cash balance of USD 27,109 remains at a critically low level relative to its ongoing operating requirements. Management is closely monitoring the Group’s cash flow position and is actively implementing measures to strengthen liquidity, including intensifying collection efforts on outstanding receivables and continuing operational cost management initiatives. The Group’s ability to continue as a going concern in future periods is dependent on its ability to generate sufficient cash flows from its medical waste management operations. This includes improving operational cash generation, timely recovery of outstanding trade receivables, and managing or deferring potential cash outflows arising from the pending AHT Syngas litigation.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Recognition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FASB Accounting Standards Update (“ASU”) 2014-09, Revenue from Contracts with Customers (ASC Topic 606), which establishes a five-step framework for revenue recognition based on the transfer of control of promised goods or services to customers at an amount that reflects the consideration to which the entity expects to be entitled. Continuing operations revenue is derived from two service streams:</w:t>
      </w:r>
    </w:p>
    <w:p>
      <w:pPr>
        <w:pStyle w:val="TextBody"/>
        <w:bidi w:val="0"/>
        <w:jc w:val="both"/>
        <w:rPr>
          <w:caps w:val="false"/>
          <w:smallCaps w:val="false"/>
        </w:rPr>
      </w:pPr>
      <w:r>
        <w:rPr>
          <w:caps w:val="false"/>
          <w:smallCaps w:val="false"/>
        </w:rPr>
        <w:t> </w:t>
      </w:r>
    </w:p>
    <w:tbl>
      <w:tblPr>
        <w:tblW w:w="10060" w:type="dxa"/>
        <w:jc w:val="left"/>
        <w:tblInd w:w="0" w:type="dxa"/>
        <w:tblLayout w:type="fixed"/>
        <w:tblCellMar>
          <w:top w:w="0" w:type="dxa"/>
          <w:left w:w="0" w:type="dxa"/>
          <w:bottom w:w="0" w:type="dxa"/>
          <w:right w:w="0" w:type="dxa"/>
        </w:tblCellMar>
      </w:tblPr>
      <w:tblGrid>
        <w:gridCol w:w="75"/>
        <w:gridCol w:w="170"/>
        <w:gridCol w:w="981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 waste generator services: collection, packaging, and treatment of medical waste from clinic operators;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 waste logistics services: transportation and logistics services associated with the medical waste collection process.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at a point in time when services are performed and control transfers to the customer. Payment terms are 30 to 60 days. All revenue is denominated in RM and generated from customers in Malaysia. No significant variable consideration, financing components, or contract assets or liabilities existed in any of the periods presented.</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164</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various transactions with its then-ultimate holding company, Fitters Diversified Berhad, and other related companies within the Fitters Group in the ordinary course of business during FY2024 and FY2025. These transactions consisted primarily of:</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Non-trade financing provided by Fitters and related entities on behalf of the Company to fund operational expenses, statutory obligations, and administrative costs. These balances were unsecured, interest-free, and repayable on demand. As at December 31, 2025, the amount due to Fitters and related companies was USD 4,655,340 (December 31, 2024: USD 2,993,348 in aggregate including related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charges billed by Fitters to SOH (the discontinued palm oil subsidiary) of USD 51,220 for FY2025 (FY2024: USD 16,801). These transactions were between Fitters and SOH, outside the Group’s consolidation perimeter, and were not eliminated on consolidation.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SSA executed on December 22, 2025 for the disposal of SOH to Fitters for RM 10,500,000 (USD 2,585,620), completed in January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sale agreements executed on March 16, 2026 for Fitters’ disposal of its entire shareholding in the Company for RM 15,200,000.</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intercompany balances due to Fitters were fully extinguished during Q1 2026, comprising the application of SOH disposal proceeds and the unconditional waiver of RM 7,855,337 (USD 1,904,424, translated historically recorded as USD 1,919,251 in Q1 2026) by Fitters. Administrative charges and rental billed by Fitters Diversified Berhad entities to the Company for six months period ended June 30, 2026 amounted to USD 8,929 (June 30, 20205: USD10,469). These charges ceased upon Fitters’ effective disposal of its shareholding on March 26, 2026. The intercompany payable to Fitters was fully extinguished on March 16,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Quantitative and Qualitative Disclosures About Market Risk</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Risk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functional currency is the RM, and its financial statements are presented in USD. The Company’s results of operations and financial position as reported in USD are therefore subject to exchange rate fluctuations between the RM and the USD. A strengthening of the RM relative to the USD results in higher USD-reported revenues, expenses, and asset values.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RM/USD exchange rate moved from RM 4.4755 per USD as at December 31, 2024 to RM 4.0610 per USD as at December 31, 2025 (a RM appreciation of approximately 9.3%), contributing to the positive foreign currency translation adjustments recognized in other comprehensive income for FY2025. As at June 30, 2026, the closing rate was RM </w:t>
      </w:r>
      <w:r>
        <w:rPr>
          <w:rFonts w:ascii="Times New Roman;Times;Serif" w:hAnsi="Times New Roman;Times;Serif"/>
          <w:b w:val="false"/>
          <w:i w:val="false"/>
          <w:caps w:val="false"/>
          <w:smallCaps w:val="false"/>
          <w:sz w:val="18"/>
        </w:rPr>
        <w:t>4.078</w:t>
      </w:r>
      <w:r>
        <w:rPr>
          <w:rFonts w:ascii="Times New Roman;Times;Serif" w:hAnsi="Times New Roman;Times;Serif"/>
          <w:b w:val="false"/>
          <w:i w:val="false"/>
          <w:caps w:val="false"/>
          <w:smallCaps w:val="false"/>
          <w:sz w:val="20"/>
        </w:rPr>
        <w:t xml:space="preserve"> per USD (March 31, 2026 : RM 4.046 per USD). The Company’s transactions are primarily denominated in RM; there are no significant foreign currency transaction exposures in its day-to-day operations.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Risk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continuing operations do not have external debt facilities as at any of the balance sheet dates presented.</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Credit Risk and Concentration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continues to have a highly concentrated customer base, with a single customer contributing approximately 70% of revenue from continuing operations for the financial year ended 31 December 2025 (2024: 71%). This customer also accounted for approximately 75.72% of gross trade receivables as at 31 December 2025. The concentration remained significant as at 31 March 2026 and 30 June 2026, with the same customer representing approximately 75.7% of gross trade receivables at both reporting dates. For the six-month period ended 30 June 2026, the customer contributed approximately 71% of the Company’s total revenue (six months ended 30 June 2025: 76%).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Group is exposed to customer concentration risk, as any significant reduction in business volume, deterioration in the financial condition, or loss of this key customer could materially affect the Group’s revenue, cash flows, and operating results. To mitigate credit risk, management monitors the customer’s creditworthiness on an ongoing basis and maintains an allowance for expected credit losses based on aging analysis and forward-looking information.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entered into any off-balance sheet arrangements, including special purpose entities, variable interest entities, or synthetic leases, in any of the periods presented. The Company does not hold any financial guarantees other than as described in the commitments and contingencies note to the financial statements.</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165</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Benefit Plans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makes statutory defined contribution plan contributions for its employees in Malaysia in accordance with the following legislation: the Employees Provident Fund Act 1991 (EPF), the Social Security Organization Act 1969 (SOCSO), the Employment Insurance System Act 2017 (EIS), and the Human Resource Development Corporation Act 2001 (HRDC). The Company’s total statutory contribution expense for employee and director contributions was USD 11,706 for FY2025 and USD 9,782 for the six months ended June 30, 2026 (June 30, 2025: USD 8,700). There are no defined benefit plans, deferred compensation arrangements, or equity incentive plans in place.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Trends and Outlook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products and services are driven primarily by the increasing demand for renewable and clean energy solutions, including solar energy systems, energy storage technologies, and related infrastructure. Global momentum toward decarbonization, net-zero commitments by governments and corporations, and favorable regulatory frameworks, such as renewable energy mandates, feed-in tariffs, and carbon reduction incentives, continue to accelerate adoption of clean energy technologies across both developed and emerging markets. We believe drivers of industry demand should remain favorable in most of our geographic markets, supported by declining costs of renewable energy generation, heightened energy security concerns, growing electrification trends, and increased corporate and institutional procurement of clean energy. For more information regarding these industry trends, see “</w:t>
      </w:r>
      <w:r>
        <w:rPr>
          <w:rFonts w:ascii="Times New Roman;Times;Serif" w:hAnsi="Times New Roman;Times;Serif"/>
          <w:b w:val="false"/>
          <w:i/>
          <w:caps w:val="false"/>
          <w:smallCaps w:val="false"/>
          <w:sz w:val="20"/>
        </w:rPr>
        <w:t>Future NRG Sdn. Bhd. Business — Industry Overview.</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 targeting efforts, product development projects, and aftermarket service offerings are focused on enhancing our exposure to these trends. In particular, we are positioning our business to capitalize on the expanding addressable market for distributed and utility-scale renewable energy projects, the growing demand for integrated energy management and storage solutions, and the increasing need for ongoing maintenance, monitoring, and optimization services across installed energy assets. We expect these secular tailwinds to provide long-term growth opportunities, although our results in any given period may be influenced by macroeconomic conditions, fluctuations in energy commodity prices, changes in government incentive programs, supply chain dynamics, and competitive pressures within the renewable energy sector</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166</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5" w:name="vb_001"/>
      <w:bookmarkEnd w:id="85"/>
      <w:r>
        <w:rPr>
          <w:rFonts w:ascii="Times New Roman;Times;Serif" w:hAnsi="Times New Roman;Times;Serif"/>
          <w:b/>
          <w:i w:val="false"/>
          <w:caps w:val="false"/>
          <w:smallCaps w:val="false"/>
          <w:sz w:val="20"/>
        </w:rPr>
        <w:t>QUANTITATIVE AND QUALITATIVE DISCLOSURES ABOUT MARKET RISK OF BGMS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Sensitivity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used net cash of $0.6 million to fund our operating activities for the six months ended June 30, 2026. We had cash and cash equivalents of $3.8 million as of June 30, 2026, which will allow it to meet its liquidity requirements into the first quarter of 2027 and for working capital purposes. The Company does not enter into investments for trading or speculative purposes. The Company does not believe that it has any material exposure to changes in the fair value of these investments as a result of changes in interest rates due to their short-term nature. Declines or increases in interest rates, however, will reduce or increase future investment income, respectively, to the extent the Company has funds available for investment.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Exchange Risk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that are denominated in a foreign currency are remeasured into the functional currency at the current exchange rate on the date of the transaction. Any foreign currency-denominated monetary assets and liabilities are subsequently remeasured at current exchange rates, with gains or losses recognized as foreign exchange (losses) gains in the statement of operations. This accounting policy is also applied to foreign currency denominated intercompany payables or receivables for which settlement is planned or anticipated in the foreseeable future.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January 24, 2025, the assets and liabilities of the Company’s former international subsidiary, Cyclacel Limited, were translated from its functional currency into United States dollars at exchange rates prevailing at the balance sheet date. Average rates of exchange during the period are used to translate the statement of operations, while historical rates of exchange are used to translate any equity transactions. Translation adjustments arising on consolidation due to differences between average rates and balance sheet rates, as well as unrealized foreign exchange gains or losses arising from translation of intercompany loans for which settlement is not planned or anticipated in the foreseeable future and that are of a long-term-investment nature, were recorded in other comprehensive loss.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the Company has not entered into, and does not have any current plans to enter into, any foreign currency hedging transactions or derivative financial transactions. The Company expects its transactions outside of the U.S. in the near-term will primarily entail payments for clinical trials, and for vendors and consultants supporting those trials if 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exposure to foreign currency risk will fluctuate in future periods as our clinical trial activity in changes and if the Transaction closes, in relation to the acquisition of Future NRG Sdn. Bhd. and maintaining business operations and assets outside of the 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currencies of the Company’s foreign subsidiaries if the Transaction closes are the local currencies. Accordingly, the effects of exchange rate fluctuations on the net assets of these operations will be accounted for as translation gains or losses in accumulated other comprehensive income within stockholders’ equity. The Company currently has no foreign subsidiary.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Effects of Inflation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believe that inflation and changing prices had a significant impact on its results of operations for any periods presented herein.</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167</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6" w:name="vb_002"/>
      <w:bookmarkEnd w:id="86"/>
      <w:r>
        <w:rPr>
          <w:rFonts w:ascii="Times New Roman;Times;Serif" w:hAnsi="Times New Roman;Times;Serif"/>
          <w:b/>
          <w:i w:val="false"/>
          <w:caps w:val="false"/>
          <w:smallCaps w:val="false"/>
          <w:sz w:val="20"/>
        </w:rPr>
        <w:t>MANAGEMENT FOLLOWING THE CLOSING OF THE TRANSACTION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7" w:name="vb_003"/>
      <w:bookmarkEnd w:id="87"/>
      <w:r>
        <w:rPr>
          <w:rFonts w:ascii="Times New Roman;Times;Serif" w:hAnsi="Times New Roman;Times;Serif"/>
          <w:b/>
          <w:i w:val="false"/>
          <w:caps w:val="false"/>
          <w:smallCaps w:val="false"/>
          <w:sz w:val="20"/>
        </w:rPr>
        <w:t>Executive Officers and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Current Executive Officers of Parent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of the executive officers of Bio Green Med Solution, Inc. (the “Company” or “Parent”) is expected to continue with the combined company following the completion of the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Officers and Directors of the Combined Company Following the Closing of the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Business Combination Agreement, effective as of the effective time of the Transaction, the initial size of the board of directors of the combined company will be five and the initial directors will be comprised of four members of the current Parent board, and Mr. Pun Kah Weng, a representative of Future NRG. The following table lists the names, ages and positions of the individuals who are expected to serve as executive officers, and directors including non-employee directors of the company upon completion of the Transaction:</w:t>
      </w:r>
    </w:p>
    <w:p>
      <w:pPr>
        <w:pStyle w:val="TextBody"/>
        <w:bidi w:val="0"/>
        <w:jc w:val="both"/>
        <w:rPr>
          <w:caps w:val="false"/>
          <w:smallCaps w:val="false"/>
        </w:rPr>
      </w:pPr>
      <w:r>
        <w:rPr>
          <w:caps w:val="false"/>
          <w:smallCaps w:val="false"/>
        </w:rPr>
        <w:t> </w:t>
      </w:r>
    </w:p>
    <w:tbl>
      <w:tblPr>
        <w:tblW w:w="5340" w:type="dxa"/>
        <w:jc w:val="left"/>
        <w:tblInd w:w="0" w:type="dxa"/>
        <w:tblLayout w:type="fixed"/>
        <w:tblCellMar>
          <w:top w:w="0" w:type="dxa"/>
          <w:left w:w="0" w:type="dxa"/>
          <w:bottom w:w="28" w:type="dxa"/>
          <w:right w:w="0" w:type="dxa"/>
        </w:tblCellMar>
      </w:tblPr>
      <w:tblGrid>
        <w:gridCol w:w="1835"/>
        <w:gridCol w:w="60"/>
        <w:gridCol w:w="350"/>
        <w:gridCol w:w="60"/>
        <w:gridCol w:w="3035"/>
      </w:tblGrid>
      <w:tr>
        <w:trPr/>
        <w:tc>
          <w:tcPr>
            <w:tcW w:w="183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r>
        <w:trPr/>
        <w:tc>
          <w:tcPr>
            <w:tcW w:w="1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Kiu Cu Seng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Secretary</w:t>
            </w:r>
          </w:p>
        </w:tc>
      </w:tr>
    </w:tbl>
    <w:p>
      <w:pPr>
        <w:pStyle w:val="TextBody"/>
        <w:bidi w:val="0"/>
        <w:jc w:val="left"/>
        <w:rPr>
          <w:caps w:val="false"/>
          <w:smallCaps w:val="false"/>
        </w:rPr>
      </w:pPr>
      <w:r>
        <w:rPr>
          <w:caps w:val="false"/>
          <w:smallCaps w:val="false"/>
        </w:rPr>
        <w:t> </w:t>
      </w:r>
    </w:p>
    <w:tbl>
      <w:tblPr>
        <w:tblW w:w="4485" w:type="dxa"/>
        <w:jc w:val="left"/>
        <w:tblInd w:w="0" w:type="dxa"/>
        <w:tblLayout w:type="fixed"/>
        <w:tblCellMar>
          <w:top w:w="0" w:type="dxa"/>
          <w:left w:w="0" w:type="dxa"/>
          <w:bottom w:w="28" w:type="dxa"/>
          <w:right w:w="0" w:type="dxa"/>
        </w:tblCellMar>
      </w:tblPr>
      <w:tblGrid>
        <w:gridCol w:w="2450"/>
        <w:gridCol w:w="60"/>
        <w:gridCol w:w="350"/>
        <w:gridCol w:w="60"/>
        <w:gridCol w:w="1565"/>
      </w:tblGrid>
      <w:tr>
        <w:trPr/>
        <w:tc>
          <w:tcPr>
            <w:tcW w:w="24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Pun Kah Weng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Soon Ping Pappas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Satis Waran Nair Krishnan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Inigo Angel Laurduraj</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Parent Executive Officers and Directors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Datuk Dr. Doris Wong -- </w:t>
      </w:r>
      <w:r>
        <w:rPr>
          <w:rFonts w:ascii="Times New Roman;Times;Serif" w:hAnsi="Times New Roman;Times;Serif"/>
          <w:b w:val="false"/>
          <w:i w:val="false"/>
          <w:caps w:val="false"/>
          <w:smallCaps w:val="false"/>
          <w:sz w:val="20"/>
        </w:rPr>
        <w:t>Datuk Dr. Doris Wong is the Chief Executive Officer and Executive Director of Bio Green Med Solution, Inc. (Nasdaq: BGMS; formerly Cyclacel Pharmaceuticals, Inc.), a diversified company engaged in both the fire protection and biopharmaceutical industries, since February 26, 2025. Since February 2026, she has served as Chief Executive Officer and Executive Director of ARC Group Acquisition I Corp, a special purpose acquisition corporation, that completed its initial public offering on the Nasdaq Global Market (ARCL) on May 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Wong is a seasoned corporate leader with more than 20 years of management experience across multiple sectors, including oil and gas, property development, solar, engineering, advertising, food and beverage, and raw materials. Her core expertise includes business development, strategic consultancy, and corporate advisory related to mergers and acquisitions and joint ventures across Malaysia, Singapore, China, Japan, Thailand and Indonesia.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November 16, 2021, Datuk Dr. Wong served as an independent director and a member of the audit and compensation committees of Energem Corp following its initial public offering. She was appointed Executive Director of Energem Corp on January 27, 2023. After Energem Corp completed a series of transactions culminating in its business combination with Graphjet Technology Sdn. Bhd. (“Graphjet”) on March 14, 2024, she continued as a director of Graphjet until January 6,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October 2020, Datuk Dr. Wong has served as Executive Director of Metronic Global Berhad (KLSE: MTRONIC), where she has been responsible for financial optimization, establishing corporate objectives, providing strategic advice to the board of directors, and implementing initiatives supporting sustained growth and diversification. She currently focuses exclusively on overseeing the company’s environmental, social and governance (ESG) initiatives. Prior to this role, she served as Chief Corporate Officer of Metronic Global Berhad from January 2019 to September 2020.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Wong served as a non-independent non-executive director of Trive Property Group Berhad (KLSE: TRIVE) from February 2017 to July 2026. From May 2024 to August 2025, she served as Executive Director of BSL Corporation Berhad (KLSE: BSLCORP), a public company involved in precision metal manufacturing and printed circuit board assembly. Earlier in her career, from 2015 to 2016, she served as Country General Manager of Dai-Ichi Kikaku Sdn. Bhd., where she oversaw international business development, client strategy, creative direction, procurement and research. From 2012 to 2015, she was a Strategic Business Consultant at JLPW Law Firm, advising on mergers and acquisitions and joint ventures across multiple industries. She began her career at Niagamatic Sdn. Bhd., serving as Managing Director from 2002 to 2012, where she was responsible for overall business operations and strategic direction.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Wong holds a Doctor of Business Administration majoring in ESG in 2025, and a Master of Corporate Governance in 2016, both from HELP University, Malaysia. She earned her Bachelor’s degree in Creative Multimedia, majoring in Media Innovation in 2003 from Multimedia University, Malaysia.</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168</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Kiu Cu Seng -- </w:t>
      </w:r>
      <w:r>
        <w:rPr>
          <w:rFonts w:ascii="Times New Roman;Times;Serif" w:hAnsi="Times New Roman;Times;Serif"/>
          <w:b w:val="false"/>
          <w:i w:val="false"/>
          <w:caps w:val="false"/>
          <w:smallCaps w:val="false"/>
          <w:sz w:val="20"/>
        </w:rPr>
        <w:t>Mr. Kiu is the Chief Financial Officer and Executive Director of Bio Green Med Solution, Inc. (Nasdaq: BGMS; formerly Cyclacel Pharmaceuticals, Inc.), a diversified company engaged in both the fire protection and biopharmaceutical industries, since February 26, 2025. Mr. Kiu brings extensive accounting and audit experience involving publicly listed companies, supported by his strong background in financial reporting and compliance. Prior to his current roles, Mr. Kiu served as Energem Corp’s Chief Financial Officer from August 12, 2021 through its completion of a series of transactions that resulted in its business combination with Graphjet Technology Sdn. Bhd. (“Graphjet”) on March 14, 2024.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March 2021 to August 2026, Mr. Kiu has served as Group Accountant for Sanichi Technology Berhad (KLSE: SANICHI). He took on the role of Group Accountant at Computer Forms (Malaysia) Berhad (KLSE: CFM) from September 2022 to December 2025. In these capacities, he oversees the preparation of consolidation financial statements, ensures compliance with relevant accounting standards, and supports group-wide financial reporting, analysis and governance. Mr. Kiu served as Group Accountant for Trive Property Group Berhad and BCM Alliance Berhad from March 2021 to September 2025. From June 2019 to February 2021, Mr. Kiu held managerial roles at SBY &amp; Partners PLT (formerly known as Siew Boon Yeong &amp; Associates), a well-established professional accounting organization providing a comprehensive range of services ranging from audit and assurance, taxation and accounting where he specialized in auditing matters. Mr. Kiu graduated from Infrastructure University Kuala Lumpur in 2013 with a bachelor’s degree (with Honors) in Accounting and from Kuala Lumpur Infrastructure University College with a Diploma in Accounting in 2009</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Non-Employee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Dr. Satis Waran Nair Krishnan – </w:t>
      </w:r>
      <w:r>
        <w:rPr>
          <w:rFonts w:ascii="Times New Roman;Times;Serif" w:hAnsi="Times New Roman;Times;Serif"/>
          <w:b w:val="false"/>
          <w:i w:val="false"/>
          <w:caps w:val="false"/>
          <w:smallCaps w:val="false"/>
          <w:sz w:val="20"/>
        </w:rPr>
        <w:t>Dr. Nair serves as a director of Bio Green Med Solution, Inc. (Nasdaq: BGMS) since April 2025, where he sits on the audit committee, compensation and organization committee, and nominating and governance committee. He also serves as a director of ARC Group Acquisition I Corp (Nasdaq: ARCL), a special purpose acquisition company pursuing a pending business combination with Firstborn Top Capital Sdn. Bhd. Dr. Krishnan is a General Practitioner with Centric Health in Drogheda, County Louth, Ireland since September 2023. Prior to that, from October 2010 through August 2023, Dr. Krishnan served as a Medical Officer for the Ministry of Health Malaysia. He has extensive experience in public healthcare and primary care, having served in various clinical and leadership roles for more than a decade prior to his current role. He is also currently working closely with the Irish College of General Practitioners (ICGP) as part of ongoing professional development and training initiatives. He completed advanced training in primary care dermatology through programs offered by the Association of Family Physicians of Malaysia (AFPM) and the Institute of Dermatology in Bangkok, Thailand.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Inigo Angel Laurduraj – </w:t>
      </w:r>
      <w:r>
        <w:rPr>
          <w:rFonts w:ascii="Times New Roman;Times;Serif" w:hAnsi="Times New Roman;Times;Serif"/>
          <w:b w:val="false"/>
          <w:i w:val="false"/>
          <w:caps w:val="false"/>
          <w:smallCaps w:val="false"/>
          <w:sz w:val="20"/>
        </w:rPr>
        <w:t>Ms. Laurduraj serves as a director of Bio Green Med Solution, Inc. (Nasdaq: BGMS) since April 2025, chair of its audit committee, and a member of its compensation and organization committee and its nominating and governance committee. She also serves as a director of ARC Group Acquisition I Corp (Nasdaq: ARCL), a special purpose acquisition company pursuing a pending business combination with Firstborn Top Capital Sdn. Bhd. Ms. Laurduraj brings extensive audit and accounting services to the Company over her 20 years in that industry. Ms. Laurduraj served as a Senior Accounting Manager at IOI Oleochemicals Sdn. Bhd., an edible oil refining and oleochemicals company for 11 years from 2007 through 2018. Prior to that, she served from 2005 through 2007 as an Auditor for Moore Stephens (now Moore Global), a global firm operating in 114 countries specializing in accounting and finance services, audit and assurance, fund services, private client services, corporate services, and tax services. Ms. Laurduraj earned an Association of Chartered Certified Accountants (ACCA) in 2015 and a Bachelors of Arts in Accounting in 2014.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Soon Ping Pappas – </w:t>
      </w:r>
      <w:r>
        <w:rPr>
          <w:rFonts w:ascii="Times New Roman;Times;Serif" w:hAnsi="Times New Roman;Times;Serif"/>
          <w:b w:val="false"/>
          <w:i w:val="false"/>
          <w:caps w:val="false"/>
          <w:smallCaps w:val="false"/>
          <w:sz w:val="20"/>
        </w:rPr>
        <w:t>Ms. Pappas serves as a director of Bio Green Med Solution, Inc. (Nasdaq: BGMS) since September 2025, chair of its compensation and organization committee and a member of its audit committee and the governance committee. Ms. Pappas also serves as a director of ARC Group Acquisition I Corp (Nasdaq: ARCL), a special purpose acquisition company pursuing a pending business combination with Firstborn Top Capital Sdn. Bhd. Ms. Pappas brings more than 10 years of business and management experience to her new role on the Board. As a licensed and registered Occupational Therapy Assistant in the State of New York, Ms. Pappas has worked as an occupational therapy practitioner on Long Island, New York since 2023. Prior to that Ms. Pappas worked as an International Marketing Coordinator where she assisted in the planning, execution, and monitoring of international marketing campaigns across digital, print, and social media channels and worked with public relations, events, and operations teams to align international marketing with guest experiences. Ms. Pappas earned an Associate’s Degree in Applied Science from Suffolk Community College (New York) in 2024 (Dean’s List) and a Certificate in Business Studies from Segi College, Kuala Lumpur, Malaysia in 2010. Ms. Pappas is fluent in English, Mandarin, Cantonese, and Bahasa Melayu.</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Pun Kah Weng – </w:t>
      </w:r>
      <w:r>
        <w:rPr>
          <w:rFonts w:ascii="Times New Roman;Times;Serif" w:hAnsi="Times New Roman;Times;Serif"/>
          <w:b w:val="false"/>
          <w:i w:val="false"/>
          <w:caps w:val="false"/>
          <w:smallCaps w:val="false"/>
          <w:sz w:val="20"/>
        </w:rPr>
        <w:t>Mr. Pun has served as a Director of Perfect Energy Sdn Bhd since 2026. Mr. Pun is a qualified accounting professional and a member of the Malaysian Institute of Accountants (MIA) since 2021, with extensive experience in financial reporting, compliance, group consolidation, and commercial corporate exercises.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2022 to 2026, Mr. Pun served as Group Accountant of Computer Forms (Malaysia) Berhad, where he oversaw the group’s overall finance and accounting functions and ensured timely preparation of quarterly and annual financial reports in compliance with Bursa Malaysia and Malaysian Financial Reporting Standards (MFRS) requirements. Concurrently, from 2022 to 2026, Mr. Pun served as Finance Manager of Trive Property Group Berhad, where he was responsible for preparing and presenting quarterly reports to the board, reviewing management accounts, and liaising with auditors, legal counsel, advisors, tax agents, and the company secretary.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these roles, from 2021 to 2022, Mr. Pun served as Senior Account Executive at Foodict Maker Sdn Bhd, where he handled full-set accounts, prepared budgeting and forecasting analyses, and liaised with auditors, tax agents, and relevant authorities. From 2017 to 2021, Mr. Pun served as Senior Audit Associate at SBY &amp; Partners, where he performed audit engagements for a diverse portfolio of clients across various industries, planned and executed audit fieldwork in accordance with professional standards, and analyzed financial statements and assessed the effectiveness of internal controls.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Pun holds a Bachelor of Accounting from Universiti Tunku Abdul Rahman (UTAR), Sungai Long, which he obtained in 2017.</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169</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Independence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completion of the Transaction, Perfect Energy Sdn. Bhd. (“Perfect Energy”), which holds 55% of Future NRG’s outstanding ordinary shares, is expected to beneficially own approximately 54% of the outstanding shares of Parent Common Stock, based on its proportionate share of the Exchange Shares to be issued to the Selling Shareholders, who are expected to collectively receive Exchange Shares representing more than 99% of the outstanding shares of Parent Common Stock immediately following the Closing. Because Perfect Energy is expected to hold more than 50% of the voting power of Parent Common Stock following the Closing, the combined company will be deemed a “controlled company” within the meaning of Nasdaq Listing Rule 5615(c)(1).</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 currently intends to rely on one or more of the exemptions available to controlled companies from certain Nasdaq corporate governance requirements, including the requirement that a majority of the board of directors, and the entirety of the nominating and compensation committees, be composed of independent directors, to the extent its board of directors determines it is advisable to do so following the Closing. For additional information regarding the risks associated with the combined company’s controlled company status, see the section entitled “Risk Factors—We will be a ‘controlled company’ within the meaning of the Nasdaq listing rules” in this proxy statement/prospectus.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Nasdaq’s listing standards require that the Parent’s board of directors consist of a majority of independent directors, as determined under the applicable rules and regulations of The Nasdaq Stock Market LLC.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information requested from and provided by each proposed director concerning his or her background, employment and affiliations, including family relationships, Parent’s board of directors believes that each of Soon Ping Pappas, Dr. Satis Waran Nair Krishnan, and Inigo Angel Laurduraj, will qualify as an independent director following the completion of the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Committees of the Board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Parents’ board of directors currently has, and following the completion of the Transaction will continue to have, the following committees: audit committee, a compensation committee and a nominating and corporate governance committee.</w:t>
      </w:r>
    </w:p>
    <w:p>
      <w:pPr>
        <w:pStyle w:val="TextBody"/>
        <w:bidi w:val="0"/>
        <w:jc w:val="both"/>
        <w:rPr>
          <w:caps w:val="false"/>
          <w:smallCaps w:val="false"/>
        </w:rPr>
      </w:pPr>
      <w:r>
        <w:rPr>
          <w:caps w:val="false"/>
          <w:smallCaps w:val="false"/>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also determined that each of Soon Ping Pappas, Inigo Angel Laurduraj, and Dr. Satis Waran Nair Krishnan also satisfy the additional requirements of financial literacy and audit committee independence for audit committee service under the applicable rules and regulations of the SEC and the listing standards of Nasdaq.</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currently consists of Inigo Angel Laurduraj, as Chair, Soon Ping Pappas and Dr. Satis Waran Nair Krishnan, each of whom is an independent, non-employee director. The Audit Committee selects, on behalf of Parent’s board of directors, an independent public accounting firm to audit Parent’s financial statements, discusses with the independent auditors their independence, reviews and discusses the audited financial statements with the independent auditors and management, recommends to Parent’s board of directors whether the audited financials should be included in Parent’s annual reports to be filed with the SEC, and oversees management’s identification, evaluation, and mitigation of major risks to Parent. The Audit Committee operates pursuant to a written charter.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combined company is expected to retain these persons and their duties and responsibilities following completion of the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Parent’s board of directors has determined Inigo Angel Laurduraj qualifies as an “audit committee financial expert” as defined in SEC rules and regulations and also possesses the financial sophistication and requisite experience as required under Nasdaq listing standards, as defined in Item 407(d)(5) of Regulation S-K. To qualify as independent to serve on Parent’s audit committee, listing standards of The Nasdaq Stock Market and the applicable rules of the SEC require that a director not accept any consulting, advisory, or other compensatory fee from Parent, other than for service as a director, or be an affiliated person of Parent. Parent’s board of directors has concluded that the current composition of the audit committee meets the requirements for independence under the rules and regulations of The Nasdaq Stock Market LLC and of the SEC. Parent believes that, following completion of the Transaction, the composition of the audit committee will comply with the applicable requirements of the rules and regulations of The Nasdaq Stock Market LLC and of the SEC.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currently consists of Soon Ping Pappas, as Chair, Inigo Angel Laurduraj and Dr. Satis Waran Nair Krishnan, each of whom is an independent director. The Compensation Committee reviews and approves (1) the annual salaries and other compensation of Parent’s executive officers and (2) individual stock and stock option grants. The Compensation Committee also provides assistance and recommendations with respect to Parent’s compensation policies and practices, and assists with the administration of Parent’s compensation plans. In evaluating executive officer compensation, the Compensation Committee may retain the services of compensation consultants and considers recommendations from the Chief Executive Officer with respect compensation of the other executive officers. The Compensation Committee also periodically reviews compensation for non-employee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of the company is expected to retain these duties and responsibilities following completion of the Transaction.</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170</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of the combined company is expected to retain these persons and their duties and responsibilities following completion of the Transaction. To qualify as independent to serve on Parent’s compensation committee, the listing standards of The Nasdaq Stock Market require a director not to accept any consulting, advisory, or other compensatory fee from Parent, other than for service on Parent’s board of directors, and that Parent’s board of directors consider whether a director is affiliated with Parent and, if so, whether such affiliation would impair the director’s judgment as a member of Parent’s compensation committee. Parent’s board of directors has concluded that the composition of the compensation committee meets the requirements for independence under the rules and regulations of The Nasdaq Stock Market LLC and of the SEC. Parent believes that, after the completion of the Transaction, the composition of the compensation committee will meet the requirements for independence under, and the functioning of such compensation committee will comply with any applicable requirements of the rules and regulations of The Nasdaq Stock Market LLC and of the SEC.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Nominating and Corporate Governance Committee</w:t>
      </w:r>
    </w:p>
    <w:p>
      <w:pPr>
        <w:pStyle w:val="TextBody"/>
        <w:bidi w:val="0"/>
        <w:ind w:left="8" w:right="0" w:hanging="0"/>
        <w:jc w:val="both"/>
        <w:rPr>
          <w:caps w:val="false"/>
          <w:smallCaps w:val="false"/>
        </w:rPr>
      </w:pPr>
      <w:r>
        <w:rPr>
          <w:caps w:val="false"/>
          <w:smallCaps w:val="false"/>
        </w:rPr>
        <w:t> </w:t>
      </w:r>
    </w:p>
    <w:p>
      <w:pPr>
        <w:pStyle w:val="TextBody"/>
        <w:bidi w:val="0"/>
        <w:ind w:left="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currently consists of Dr. Satis Waran Nair Krishnan, as Chair, Soon Ping Pappas and Inigo Angel Laurduraj, each of whom was determined by the Parent board of directors to be an independent director. The Nominating and Corporate Governance Committee assists the Parent board of directors in fulfilling its responsibilities by: identifying and approving individuals qualified to serve as members of the Parent board of directors, selecting director nominees for Parent’s annual meetings of stockholders, evaluating the performance of Parent’s board of directors, and developing and recommending to Parent’s board of directors corporate governance guidelines and oversight procedures with respect to corporate governance and ethical conduct.</w:t>
      </w:r>
    </w:p>
    <w:p>
      <w:pPr>
        <w:pStyle w:val="TextBody"/>
        <w:bidi w:val="0"/>
        <w:ind w:left="8"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codes of conduct clearly outline our commitment to diversity and inclusion, where all employees are welcomed in an environment designed to make them feel comfortable, respected, and accepted regardless of their age, race, national origin, gender, religion, disability or sexual orientation. We have a set of policies explicitly setting forth our expectations for nondiscrimination and a harassment-free work environment. We are also a proud equal opportunity employer and cultivate a highly collaborative and entrepreneurial culture.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identifying and evaluating candidates, the committee takes into consideration the criteria approved by Parent’s board of directors and such other factors as it deems appropriate. These factors may include judgment, skill, diversity, experience with businesses and other organizations of comparable size, the interplay of the candidate’s experience with the experience of other members of the board of directors, and the extent to which the candidate would be a desirable addition to the board of directors and any committees of the board of directors. The Nominating and Corporate Governance Committee will consider properly submitted stockholder nominations for candidates for the board of directors. Following verification of the stockholder status of persons proposing candidates, recommendations will be aggregated and considered by the Nominating and Corporate Governance Committee. If any materials are provided by a stockholder in connection with the nomination of a director candidate, such materials will be forwarded to the Nominating and Corporate Governance Committee.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of the combined company is expected to retain these persons and their duties and responsibilities following completion of the Transaction and is expected to retain these duties and responsibilities following completion of the Transaction. Parent believes that, after the completion of the Transaction, the composition of the corporate governance committee will meet the requirements for independence under, and the functioning of such committee will comply with any applicable requirements of the rules and regulations of The Nasdaq Stock Market LLC.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8" w:name="vb_004"/>
      <w:bookmarkEnd w:id="88"/>
      <w:r>
        <w:rPr>
          <w:rFonts w:ascii="Times New Roman;Times;Serif" w:hAnsi="Times New Roman;Times;Serif"/>
          <w:b/>
          <w:i w:val="false"/>
          <w:caps w:val="false"/>
          <w:smallCaps w:val="false"/>
          <w:sz w:val="20"/>
        </w:rPr>
        <w:t>Parent’s Board of Director Compensation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does not currently have a director compensation policy. All of Parent’s directors, including those who also serve as employees (</w:t>
      </w:r>
      <w:r>
        <w:rPr>
          <w:rFonts w:ascii="Times New Roman;Times;Serif" w:hAnsi="Times New Roman;Times;Serif"/>
          <w:b w:val="false"/>
          <w:i/>
          <w:caps w:val="false"/>
          <w:smallCaps w:val="false"/>
          <w:sz w:val="20"/>
        </w:rPr>
        <w:t xml:space="preserve">i.e., </w:t>
      </w:r>
      <w:r>
        <w:rPr>
          <w:rFonts w:ascii="Times New Roman;Times;Serif" w:hAnsi="Times New Roman;Times;Serif"/>
          <w:b w:val="false"/>
          <w:i w:val="false"/>
          <w:caps w:val="false"/>
          <w:smallCaps w:val="false"/>
          <w:sz w:val="20"/>
        </w:rPr>
        <w:t>Datuk Dr. Doris Wong and Kiu Cu Seng), received cash compensation for service under their management service contracts with Parent during 2026 (see “</w:t>
      </w:r>
      <w:r>
        <w:rPr>
          <w:rFonts w:ascii="Times New Roman;Times;Serif" w:hAnsi="Times New Roman;Times;Serif"/>
          <w:b w:val="false"/>
          <w:i/>
          <w:caps w:val="false"/>
          <w:smallCaps w:val="false"/>
          <w:sz w:val="20"/>
        </w:rPr>
        <w:t>Parent Director and Executive Officer Compensation</w:t>
      </w:r>
      <w:r>
        <w:rPr>
          <w:rFonts w:ascii="Times New Roman;Times;Serif" w:hAnsi="Times New Roman;Times;Serif"/>
          <w:b w:val="false"/>
          <w:i w:val="false"/>
          <w:caps w:val="false"/>
          <w:smallCaps w:val="false"/>
          <w:sz w:val="20"/>
        </w:rPr>
        <w:t>” below).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9" w:name="vb_005"/>
      <w:bookmarkEnd w:id="89"/>
      <w:r>
        <w:rPr>
          <w:rFonts w:ascii="Times New Roman;Times;Serif" w:hAnsi="Times New Roman;Times;Serif"/>
          <w:b/>
          <w:i w:val="false"/>
          <w:caps w:val="false"/>
          <w:smallCaps w:val="false"/>
          <w:sz w:val="20"/>
        </w:rPr>
        <w:t>Parent Director and Executive Officer Compensation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Parent’s executive officers and directors presently, and who will serve as executive officers and directors of the combined company following the Transaction, are referred to in this proxy statement/prospectus as the “named executive officers and directors.”</w:t>
      </w:r>
    </w:p>
    <w:p>
      <w:pPr>
        <w:pStyle w:val="TextBody"/>
        <w:bidi w:val="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171</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Compensation Table</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compensation paid or accrued during the last two fiscal years ended December 31, 2024 and 2025 to (1) our current and former Chief Executive Officers and Executive Directors, (2) our current and any former Executive Vice President, Finance, Chief Financial Officer and Chief Operating Officer, and (3) our former Senior Vice President and Chief Medical Officer. The following table includes the named executive officers and directors who will serve as executive officers and directors of the combined company. For the management of the combined company after the closing of the Transaction, as discussed further above in this section titled “</w:t>
      </w:r>
      <w:r>
        <w:rPr>
          <w:rFonts w:ascii="Times New Roman;Times;Serif" w:hAnsi="Times New Roman;Times;Serif"/>
          <w:b w:val="false"/>
          <w:i/>
          <w:caps w:val="false"/>
          <w:smallCaps w:val="false"/>
          <w:sz w:val="20"/>
        </w:rPr>
        <w:t>Management Following the Closing of the Transaction</w:t>
      </w:r>
      <w:r>
        <w:rPr>
          <w:rFonts w:ascii="Times New Roman;Times;Serif" w:hAnsi="Times New Roman;Times;Serif"/>
          <w:b w:val="false"/>
          <w:i w:val="false"/>
          <w:caps w:val="false"/>
          <w:smallCaps w:val="false"/>
          <w:sz w:val="20"/>
        </w:rPr>
        <w:t>” beginning on page 168:</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141"/>
        <w:gridCol w:w="60"/>
        <w:gridCol w:w="60"/>
        <w:gridCol w:w="500"/>
        <w:gridCol w:w="60"/>
        <w:gridCol w:w="60"/>
        <w:gridCol w:w="60"/>
        <w:gridCol w:w="800"/>
        <w:gridCol w:w="60"/>
        <w:gridCol w:w="60"/>
        <w:gridCol w:w="60"/>
        <w:gridCol w:w="680"/>
        <w:gridCol w:w="60"/>
        <w:gridCol w:w="60"/>
        <w:gridCol w:w="65"/>
        <w:gridCol w:w="873"/>
        <w:gridCol w:w="60"/>
        <w:gridCol w:w="60"/>
        <w:gridCol w:w="60"/>
        <w:gridCol w:w="800"/>
        <w:gridCol w:w="60"/>
        <w:gridCol w:w="60"/>
        <w:gridCol w:w="96"/>
        <w:gridCol w:w="1291"/>
        <w:gridCol w:w="60"/>
        <w:gridCol w:w="60"/>
        <w:gridCol w:w="60"/>
        <w:gridCol w:w="800"/>
        <w:gridCol w:w="79"/>
      </w:tblGrid>
      <w:tr>
        <w:trPr/>
        <w:tc>
          <w:tcPr>
            <w:tcW w:w="3141" w:type="dxa"/>
            <w:tcBorders>
              <w:bottom w:val="single" w:sz="8"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b/>
              </w:rPr>
            </w:pPr>
            <w:r>
              <w:rPr>
                <w:b/>
              </w:rPr>
              <w:t xml:space="preserve">Salary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8" w:space="0" w:color="000000"/>
            </w:tcBorders>
            <w:vAlign w:val="center"/>
          </w:tcPr>
          <w:p>
            <w:pPr>
              <w:pStyle w:val="TableContents"/>
              <w:bidi w:val="0"/>
              <w:spacing w:before="0" w:after="283"/>
              <w:jc w:val="center"/>
              <w:rPr>
                <w:b/>
              </w:rPr>
            </w:pPr>
            <w:r>
              <w:rPr>
                <w:b/>
              </w:rPr>
              <w:t xml:space="preserve">Bonus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8"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Awards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7"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 Compensation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(5) (6)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b/>
              </w:rPr>
            </w:pPr>
            <w:r>
              <w:rPr>
                <w:b/>
              </w:rPr>
              <w:t xml:space="preserve">Total </w:t>
              <w:br/>
              <w:t>($)</w:t>
            </w:r>
          </w:p>
        </w:tc>
        <w:tc>
          <w:tcPr>
            <w:tcW w:w="79" w:type="dxa"/>
            <w:tcBorders/>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Datuk Dr. Doris Wong Sing Ee, Chief Executive Officer and Executive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420,249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50,536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470,785</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87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29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Kiu Cu Seng, Chief Financial Officer, Executive Director and Secretary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280,000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5,054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285,054</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87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29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David Lazar, Former Interim Chief Executive Officer and Principal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16,250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66,250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87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29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Spiro Rombotis, Former President and 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288,605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558,831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847,436</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560,131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24,869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585,000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87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29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Paul McBarron, Former Executive Vice President, Finance, Chief Financial Officer, Chief Operating Officer, Secretary(7)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162,340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337,574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499,914</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312,615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21,008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333,623</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87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29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Mark Kirschbaum, MD, Former Senior Vice President and Chief Medical Officer</w:t>
            </w:r>
            <w:r>
              <w:rPr/>
              <w:t>﻿</w:t>
            </w:r>
            <w:r>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30,365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30,365</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These amounts represent the aggregate grant date fair value for option awards computed in accordance with FASB ASC Topic 718. A discussion of the assumptions used in determining grant date fair value may be found in our Financial Statements included in our Annual Report on Form 10-K for the year ended December 31, 2025. The amounts in the column reflect rounding.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Options were granted during the year ended December 31, 2025 to Spiro Rombotis and Paul McBarron in the amounts of 4,000 shares and 2,250 shares respectively. The options were granted on February 26, 2025 with a grant date fair value of $72.15 per share, and was in connection with short term consultancy agreements entered into following their resignations on January 6, 2025. No options were granted during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Restricted Stock Units were granted during the year ended December 31, 2025 to Datuk Dr. Doris Wong and Kiu Cu Seng in the amounts of 300,178 shares and 200,000 shares respectively. The Restricted Stock Units were granted on November 12, 2025 with a grant date fair value of $1.40 per share and vest immediately upon grant. No Restricted Stock Units were granted during the year ended December 31, 2024.</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Consists of payments made to Datuk Dr Doris Wong, Kiu Cu Seng and David Lazar under the Company’s Director Compensation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Consists of Executive Officer Settlement Agreements made to Spiro Rombotis and Paul McBarron in connection with the termination of their employment contracts following their resignations on January 6,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Consists of the following for Spiro Rombotis, Paul McBarron and Mark Kirschbaum for the year ended December 31, 2024: Payments for private medical and health insurance, life insurance and permanent health insurance; and matching contributions made under the Company’s U.S. 401(k) Plan and U.K. Group Personal Pension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Mr. McBarron’s compensation for the year ended December 31, 2024 was translated from British pound sterling to the U.S. dollar using the exchange rates of 1.27795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Dr. Kirschbaum was terminated as Chief Medical Officer on January 25,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consummation of the Transaction, Parent expects to undertake a comprehensive review of all elements of its executive officer and director compensation program, including the function and design of its equity incentive programs.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90" w:name="vb_006"/>
      <w:bookmarkEnd w:id="90"/>
      <w:r>
        <w:rPr>
          <w:rFonts w:ascii="Times New Roman;Times;Serif" w:hAnsi="Times New Roman;Times;Serif"/>
          <w:b/>
          <w:i w:val="false"/>
          <w:caps w:val="false"/>
          <w:smallCaps w:val="false"/>
          <w:sz w:val="20"/>
        </w:rPr>
        <w:t>Compensation Risk Management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has considered the risk associated with its compensation policies and practices for all employees and believes it has designed its compensation policies and practices in a manner that does not create incentives that could lead to excessive risk taking that would have a material adverse effect on Parent.</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91" w:name="vb_007"/>
      <w:bookmarkEnd w:id="91"/>
      <w:r>
        <w:rPr>
          <w:rFonts w:ascii="Times New Roman;Times;Serif" w:hAnsi="Times New Roman;Times;Serif"/>
          <w:b/>
          <w:i w:val="false"/>
          <w:caps w:val="false"/>
          <w:smallCaps w:val="false"/>
          <w:sz w:val="20"/>
        </w:rPr>
        <w:t>Board of Directors of Future NRG Following the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anticipated director of Future NRG upon the closing of the Transaction:</w:t>
      </w:r>
    </w:p>
    <w:p>
      <w:pPr>
        <w:pStyle w:val="TextBody"/>
        <w:bidi w:val="0"/>
        <w:jc w:val="both"/>
        <w:rPr>
          <w:caps w:val="false"/>
          <w:smallCaps w:val="false"/>
        </w:rPr>
      </w:pPr>
      <w:r>
        <w:rPr>
          <w:caps w:val="false"/>
          <w:smallCaps w:val="false"/>
        </w:rPr>
        <w:t> </w:t>
      </w:r>
    </w:p>
    <w:tbl>
      <w:tblPr>
        <w:tblW w:w="5265" w:type="dxa"/>
        <w:jc w:val="left"/>
        <w:tblInd w:w="0" w:type="dxa"/>
        <w:tblLayout w:type="fixed"/>
        <w:tblCellMar>
          <w:top w:w="0" w:type="dxa"/>
          <w:left w:w="0" w:type="dxa"/>
          <w:bottom w:w="28" w:type="dxa"/>
          <w:right w:w="0" w:type="dxa"/>
        </w:tblCellMar>
      </w:tblPr>
      <w:tblGrid>
        <w:gridCol w:w="4100"/>
        <w:gridCol w:w="60"/>
        <w:gridCol w:w="350"/>
        <w:gridCol w:w="60"/>
        <w:gridCol w:w="695"/>
      </w:tblGrid>
      <w:tr>
        <w:trPr/>
        <w:tc>
          <w:tcPr>
            <w:tcW w:w="4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NRG Sdn. Bhd. Director or Officer Name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r>
        <w:trPr/>
        <w:tc>
          <w:tcPr>
            <w:tcW w:w="41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Pun Kah Weng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Future NRG Sdn. Bhd. Directors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Pun Kah Weng</w:t>
      </w:r>
      <w:r>
        <w:rPr>
          <w:rFonts w:ascii="Times New Roman;Times;Serif" w:hAnsi="Times New Roman;Times;Serif"/>
          <w:b w:val="false"/>
          <w:i w:val="false"/>
          <w:caps w:val="false"/>
          <w:smallCaps w:val="false"/>
          <w:sz w:val="20"/>
        </w:rPr>
        <w:t xml:space="preserve"> -- Mr. Pun has served as a Director of Perfect Energy Sdn Bhd since 2026. Mr. Pun is a qualified accounting professional and a member of the Malaysian Institute of Accountants (MIA) since 2021, with extensive experience in financial reporting, compliance, group consolidation, and commercial corporate exercises.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2022 to 2026, Mr. Pun served as Group Accountant of Computer Forms (Malaysia) Berhad, where he oversaw the group’s overall finance and accounting functions and ensured timely preparation of quarterly and annual financial reports in compliance with Bursa Malaysia and Malaysian Financial Reporting Standards (MFRS) requirements. Concurrently, from 2022 to 2026, Mr. Pun served as Finance Manager of Trive Property Group Berhad, where he was responsible for preparing and presenting quarterly reports to the board, reviewing management accounts, and liaising with auditors, legal counsel, advisors, tax agents, and the company secretary.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these roles, from 2021 to 2022, Mr. Pun served as Senior Account Executive at Foodict Maker Sdn Bhd, where he handled full-set accounts, prepared budgeting and forecasting analyses, and liaised with auditors, tax agents, and relevant authorities. From 2017 to 2021, Mr. Pun served as Senior Audit Associate at SBY &amp; Partners, where he performed audit engagements for a diverse portfolio of clients across various industries, planned and executed audit fieldwork in accordance with professional standards, and analyzed financial statements and assessed the effectiveness of internal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Pun holds a Bachelor of Accounting from Universiti Tunku Abdul Rahman (UTAR), Sungai Long, which he obtained in 2017.</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bookmarkStart w:id="92" w:name="vb_008"/>
      <w:bookmarkEnd w:id="92"/>
      <w:r>
        <w:rPr>
          <w:rFonts w:ascii="Times New Roman;Times;Serif" w:hAnsi="Times New Roman;Times;Serif"/>
          <w:b/>
          <w:i w:val="false"/>
          <w:caps w:val="false"/>
          <w:smallCaps w:val="false"/>
          <w:sz w:val="20"/>
        </w:rPr>
        <w:t xml:space="preserve">Future NRG Sdn. Bhd. Executive Officer and Director Compensation </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Compensation Table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the compensation of the executive officers and directors of Future NRG Sdn. Bhd. who will serve as executive officers and directors of Future NRG Sdn. Bhd. after the closing of the Transaction.</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643"/>
        <w:gridCol w:w="60"/>
        <w:gridCol w:w="99"/>
        <w:gridCol w:w="828"/>
        <w:gridCol w:w="60"/>
        <w:gridCol w:w="60"/>
        <w:gridCol w:w="110"/>
        <w:gridCol w:w="480"/>
        <w:gridCol w:w="60"/>
        <w:gridCol w:w="60"/>
        <w:gridCol w:w="102"/>
        <w:gridCol w:w="443"/>
        <w:gridCol w:w="60"/>
        <w:gridCol w:w="60"/>
        <w:gridCol w:w="204"/>
        <w:gridCol w:w="892"/>
        <w:gridCol w:w="60"/>
        <w:gridCol w:w="60"/>
        <w:gridCol w:w="223"/>
        <w:gridCol w:w="975"/>
        <w:gridCol w:w="60"/>
        <w:gridCol w:w="60"/>
        <w:gridCol w:w="348"/>
        <w:gridCol w:w="1514"/>
        <w:gridCol w:w="60"/>
        <w:gridCol w:w="60"/>
        <w:gridCol w:w="90"/>
        <w:gridCol w:w="395"/>
        <w:gridCol w:w="79"/>
      </w:tblGrid>
      <w:tr>
        <w:trPr/>
        <w:tc>
          <w:tcPr>
            <w:tcW w:w="2643" w:type="dxa"/>
            <w:tcBorders>
              <w:bottom w:val="single" w:sz="8" w:space="0" w:color="000000"/>
            </w:tcBorders>
            <w:shd w:fill="FFFFFF" w:val="clear"/>
            <w:vAlign w:val="center"/>
          </w:tcPr>
          <w:p>
            <w:pPr>
              <w:pStyle w:val="TableContents"/>
              <w:bidi w:val="0"/>
              <w:spacing w:before="0" w:after="283"/>
              <w:jc w:val="left"/>
              <w:rPr>
                <w:b/>
              </w:rPr>
            </w:pPr>
            <w:r>
              <w:rPr>
                <w:b/>
              </w:rPr>
              <w:t>Name and Principal Position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27"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90"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Salary</w:t>
              <w:br/>
              <w:t>($)</w:t>
            </w:r>
            <w:r>
              <w:rPr>
                <w:rFonts w:ascii="Times New Roman;Times;Serif" w:hAnsi="Times New Roman;Times;Serif"/>
                <w:b/>
                <w:position w:val="7"/>
                <w:sz w:val="16"/>
                <w:sz w:val="20"/>
              </w:rPr>
              <w:t>(1)</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45"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Bonus</w:t>
              <w:b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096"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Stock Awards</w:t>
              <w:b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198"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 Awards</w:t>
              <w:b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62"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All other compensation</w:t>
              <w:b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85"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br/>
              <w:t>$</w:t>
            </w:r>
          </w:p>
        </w:tc>
        <w:tc>
          <w:tcPr>
            <w:tcW w:w="79" w:type="dxa"/>
            <w:tcBorders/>
            <w:shd w:fill="FFFFFF" w:val="clear"/>
            <w:tcMar>
              <w:bottom w:w="0" w:type="dxa"/>
            </w:tcMar>
            <w:vAlign w:val="center"/>
          </w:tcPr>
          <w:p>
            <w:pPr>
              <w:pStyle w:val="TableContents"/>
              <w:bidi w:val="0"/>
              <w:spacing w:before="0" w:after="283"/>
              <w:jc w:val="center"/>
              <w:rPr/>
            </w:pPr>
            <w:r>
              <w:rPr/>
              <w:t> </w:t>
            </w:r>
          </w:p>
        </w:tc>
      </w:tr>
      <w:tr>
        <w:trPr/>
        <w:tc>
          <w:tcPr>
            <w:tcW w:w="2643" w:type="dxa"/>
            <w:tcBorders/>
            <w:shd w:fill="CCEEFF" w:val="clear"/>
            <w:tcMar>
              <w:bottom w:w="0" w:type="dxa"/>
            </w:tcMar>
            <w:vAlign w:val="center"/>
          </w:tcPr>
          <w:p>
            <w:pPr>
              <w:pStyle w:val="TableContents"/>
              <w:bidi w:val="0"/>
              <w:spacing w:before="0" w:after="283"/>
              <w:jc w:val="left"/>
              <w:rPr/>
            </w:pPr>
            <w:r>
              <w:rPr/>
              <w:t>Pun Kah Weng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828" w:type="dxa"/>
            <w:tcBorders/>
            <w:shd w:fill="CCEEFF" w:val="clear"/>
            <w:tcMar>
              <w:bottom w:w="0" w:type="dxa"/>
            </w:tcMar>
            <w:vAlign w:val="center"/>
          </w:tcPr>
          <w:p>
            <w:pPr>
              <w:pStyle w:val="TableContents"/>
              <w:bidi w:val="0"/>
              <w:spacing w:before="0" w:after="283"/>
              <w:jc w:val="right"/>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44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89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97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 w:type="dxa"/>
            <w:tcBorders/>
            <w:shd w:fill="CCEEFF" w:val="clear"/>
            <w:tcMar>
              <w:bottom w:w="0" w:type="dxa"/>
            </w:tcMar>
            <w:vAlign w:val="center"/>
          </w:tcPr>
          <w:p>
            <w:pPr>
              <w:pStyle w:val="TableContents"/>
              <w:bidi w:val="0"/>
              <w:spacing w:before="0" w:after="283"/>
              <w:jc w:val="left"/>
              <w:rPr/>
            </w:pPr>
            <w:r>
              <w:rPr/>
              <w:t> </w:t>
            </w:r>
          </w:p>
        </w:tc>
        <w:tc>
          <w:tcPr>
            <w:tcW w:w="151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64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828" w:type="dxa"/>
            <w:tcBorders/>
            <w:shd w:fill="FFFFFF" w:val="clear"/>
            <w:tcMar>
              <w:bottom w:w="0" w:type="dxa"/>
            </w:tcMar>
            <w:vAlign w:val="center"/>
          </w:tcPr>
          <w:p>
            <w:pPr>
              <w:pStyle w:val="TableContents"/>
              <w:bidi w:val="0"/>
              <w:spacing w:before="0" w:after="283"/>
              <w:jc w:val="right"/>
              <w:rPr/>
            </w:pPr>
            <w:r>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4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44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89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97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8" w:type="dxa"/>
            <w:tcBorders/>
            <w:shd w:fill="FFFFFF" w:val="clear"/>
            <w:tcMar>
              <w:bottom w:w="0" w:type="dxa"/>
            </w:tcMar>
            <w:vAlign w:val="center"/>
          </w:tcPr>
          <w:p>
            <w:pPr>
              <w:pStyle w:val="TableContents"/>
              <w:bidi w:val="0"/>
              <w:spacing w:before="0" w:after="283"/>
              <w:jc w:val="left"/>
              <w:rPr/>
            </w:pPr>
            <w:r>
              <w:rPr/>
              <w:t> </w:t>
            </w:r>
          </w:p>
        </w:tc>
        <w:tc>
          <w:tcPr>
            <w:tcW w:w="151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64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828" w:type="dxa"/>
            <w:tcBorders/>
            <w:shd w:fill="CCEEFF" w:val="clear"/>
            <w:tcMar>
              <w:bottom w:w="0" w:type="dxa"/>
            </w:tcMar>
            <w:vAlign w:val="center"/>
          </w:tcPr>
          <w:p>
            <w:pPr>
              <w:pStyle w:val="TableContents"/>
              <w:bidi w:val="0"/>
              <w:spacing w:before="0" w:after="283"/>
              <w:jc w:val="right"/>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44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89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97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 w:type="dxa"/>
            <w:tcBorders/>
            <w:shd w:fill="CCEEFF" w:val="clear"/>
            <w:tcMar>
              <w:bottom w:w="0" w:type="dxa"/>
            </w:tcMar>
            <w:vAlign w:val="center"/>
          </w:tcPr>
          <w:p>
            <w:pPr>
              <w:pStyle w:val="TableContents"/>
              <w:bidi w:val="0"/>
              <w:spacing w:before="0" w:after="283"/>
              <w:jc w:val="left"/>
              <w:rPr/>
            </w:pPr>
            <w:r>
              <w:rPr/>
              <w:t> </w:t>
            </w:r>
          </w:p>
        </w:tc>
        <w:tc>
          <w:tcPr>
            <w:tcW w:w="151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arrangements are expressed in USD. Pun Kah Weng’s compensation post-transaction for BGMS holding level will be USD $1k per month. There’s no compensation for him on subsidiary level</w:t>
            </w:r>
          </w:p>
        </w:tc>
      </w:tr>
    </w:tbl>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173</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93" w:name="vb_009"/>
      <w:bookmarkEnd w:id="93"/>
      <w:r>
        <w:rPr>
          <w:rFonts w:ascii="Times New Roman;Times;Serif" w:hAnsi="Times New Roman;Times;Serif"/>
          <w:b/>
          <w:i w:val="false"/>
          <w:caps w:val="false"/>
          <w:smallCaps w:val="false"/>
          <w:sz w:val="20"/>
        </w:rPr>
        <w:t>Employment Benefits Plans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Parent’s Equity Incentive Plan and Inducement Equity Inventive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grants stock options, restricted stock units and restricted stock to officers, employees, directors and consultants under our 2018 Equity Incentive Plan and the 2020 Inducement Equity Incentive Plan. Parent measures compensation cost for all stock-based awards at fair value on date of grant and recognize compensation over the requisite service period. The fair value of restricted stock and restricted stock units is determined based on the number of shares granted and the quoted price of our common stock on the date of grant. The determination of grant-date fair value for stock option awards is estimated using an option-pricing model, which includes variables such as the expected volatility of our share price, the anticipated exercise behavior of our employees, interest rates, and dividend yields. These variables are projected based on our historical data, experience, and other factors. Changes in any of these variables could result in significant adjustments to the costs recognized for share-based payments.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2018, the Company’s stockholders approved the 2018 Equity Incentive Plan (the “2018 Plan”), under which BGMS may make equity incentive grants to its officers, employees, directors and consultants. The 2018 Plan replaced the 2015 Equity Incentive Plan (the “2015 Plan”). The 2018 Plan allows for various types of award grants, including stock options and restricted stock units. Stock option awards granted under the Company’s equity incentive plans have a maximum life of 10 years and generally vest over a one to four-year period from the date of grant.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21, 2024, the Company’s stockholders approved an additional 666 shares of common stock that may be issued under the 2018 Plan. On June 13, 2023, the Company’s stockholders approved an additional 250 shares of common stock that may be issued under the 2018 Plan. As of December 31, 2024, the Company has reserved approximately 820 shares of the Company’s common stock under the 2018 Plan for future issuances. Stock option awards granted under the Company’s equity incentive plans have a maximum life of 10 years and generally vest over a one to four-year period from the date of grant.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6, 2025, the Company’s stockholders approved an amendment to the 2018 Plan to reserve an additional 500,000 shares of Common Stock for issuance thereunder, which number would not be adjusted as a result of the Reverse Stock Split. As of June 30, 2025, the Company has reserved approximately 785,000 shares of the Company’s common stock under the 2018 Plan for future issuances.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2020 Inducement Equity Incentive Plan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2020, the Inducement Equity Incentive Plan (the “Inducement Plan”), became effective. Under the Inducement Plan, BGMS may make equity incentive grants to new senior level Employees (persons to whom the Company may issue securities without stockholder approval). The Inducement Plan allows for the issuance of up to 55 shares of the Company’s common stock (or the equivalent of such number). As of December 31, 2024, the reserve remains at 55 shares.</w:t>
      </w:r>
    </w:p>
    <w:p>
      <w:pPr>
        <w:pStyle w:val="TextBody"/>
        <w:bidi w:val="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174</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94" w:name="vb_010"/>
      <w:bookmarkEnd w:id="94"/>
      <w:r>
        <w:rPr>
          <w:rFonts w:ascii="Times New Roman;Times;Serif" w:hAnsi="Times New Roman;Times;Serif"/>
          <w:b/>
          <w:i w:val="false"/>
          <w:caps w:val="false"/>
          <w:smallCaps w:val="false"/>
          <w:sz w:val="20"/>
        </w:rPr>
        <w:t>CERTAIN RELATIONSHIPS AND RELATED PARTY TRANSACTIONS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reviews and approves in advance all related-party transactions. Except as described below, there have been no transactions during our last two fiscal years with our directors and officers and beneficial owners of more than 5% of our voting securities and their affiliates.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2025, we entered into a Securities Purchase Agreement (the “Lazar Purchase Agreement”) with David E. Lazar, our former interim Chief Executive Officer, principal financial officer, principal accounting officer and secretary, pursuant to which he agreed to purchase from the Company 1,000,000 shares of Series C Convertible Preferred Stock (the “Series C Preferred Stock”) and 2,100,000 shares of Series D Convertible Preferred Stock (the “Series D Preferred Stock” and, together with the Series C Preferred Stock, the “Preferred Stock”) of the Company at a purchase price of $1.00 per share for aggregate gross proceeds of $3.1 million, subject to the terms and conditions of the Lazar Purchase Agreement. Mr. Lazar agreed to pay $1,000,000 at the initial closing of the transactions under the Lazar Purchase Agreement in exchange for 1,000,000 shares of Series C Preferred Stock, which closed on January 6, 2025. On February 6, 2025, Mr. Lazar paid an additional $2,100,000 in exchange for 2,100,000 shares of Series D Preferred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signing of the Lazar Purchase Agreement, Mr. Spiro Rombotis and Mr. Paul McBarron resigned as Chief Executive Officer and Chief Financial Officer, respectively, of the Company and Dr. Robert Spiegel, Dr. Christopher Henney, Dr. Brian Schwartz, Dr. Kenneth Ferguson and Ms. Karin Walker (together, the “Resigning Directors”) also resigned as members of our board of directors effective as of the signing of the Lazar Purchase Agreement. On January 2, 2025, the Company entered into settlement agreements with the Resigning Directors effective as of the signing of the Lazar Purchase Agreement. Pursuant to the terms of such settlement agreements, each Resigning Director resigned his or her position as a member of the Board of Directors, and any positions held on committees of the Board of Directors and received his or her accrued Board fees in full consideration of the release of claims against the Company and other promises and covenants set forth in such settlement agreements.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2025, the Company entered into a settlement agreement with Mr. Rombotis whereby Mr. Rombotis agreed to provide transition services to the Company in his capacity as a member of the Board of Directors through the filing of the Company’s Annual Report on Form 10-K for the year ended 2024. On January 2, 2025, the Company also entered into a settlement agreement with Mr. McBarron, whereby Mr. McBarron agreed to provide transition services to the Company in his capacity as a member of the Board of Directors through the filing of the Company’s Annual Report on Form 10-K for the year ended 2024. In consideration for entering into such settlement agreements, the Company agreed to pay Mr. Rombotis and Mr. McBarron payments of $279,415.50 and $165,164.50, respectively, as soon as practicable, and three months later a further one-time payment of $279,415.50 and $165,164.50 either in cash or through the issuance of common stock, respectively, in full consideration of the release of claims against the Company and other promises and covenants set forth in their settlement agreements, respectively, and the Lazar Purchase Agreement.</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February 11, 2025, Mr. Lazar entered into a securities purchase agreement (the “Wong Purchase Agreement”) with an investor, Datuk Dr. Doris Wong, pursuant to which Datuk Wong agreed to purchase 1,000,000 shares of Series C Convertible Preferred Stock of the Company, and 1,745,262 of the 2,100,000 shares of Series D Convertible Preferred Stock of the Company, currently held by Mr. Lazar so that Datuk Wong would hold seventy percent (70%) of the fully diluted issued and outstanding shares of the Company. The Wong Purchase Agreement closed on February 26, 2025 (the “Closing Date”). Additionally, Datuk Wong succeeded to all of Mr. Lazar’s rights and interests under the Lazar Purchase Agreement.</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were convertible into shares of the common stock, par value $0.001 per share (the “Common Stock”) of the Company at the election of Datuk Wong as follows: (i) the 1,000,000 shares of the Series C were convertible into 11,041 shares of Common Stock, and (ii) 1,745,262 of the Series D were convertible into 799,911 shares of Common Stock. On the Closing Date, Datuk Wong exercised the conversion rights related to the Series C and Series D shares into Common Stock in full resulting in Datuk Wong owning 810,953 shares of Common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26, 2025, Mr. Lazar provided notice of his resignation as Chief Executive Officer and Secretary of the Company and agreed to continue his role as co-principal financial officer and co-principal accounting officer to assist with the transition of the Company’s new Chief Financial Officer, until the filing date of the Company’s annual report on Form 10-K for the fiscal year ended December 31,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February 26, 2025, Samuel L. Barker resigned from our board of directors and entered into a settlement agreement with the Company whereby the Company paid him all of his accrued board fees.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June 2026 Private Placement and Overlapping Investor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2026, the Company entered into a Securities Purchase Agreement with certain foreign accredited investors, including Ms. Phuah Ee Jie and Ms. Wong Chee Sin, pursuant to which the investors purchased an aggregate of 1,103,338 shares of the Company’s common stock at a purchase price of $0.72 per share. As a result of the June 2026 private placement, Ms. Phuah Ee Jie and Ms. Wong Chee Sin each hold approximately 3.33% of the Company’s outstanding restricted shares of common stock (approximately 6.66% in the aggregate). Ms. Phuah and Ms. Wong are also substantial shareholders of Firstborn Top Capital Sdn. Bhd. (“FBTC”), a Malaysian private limited company (Company No. 1343037-U), holding approximately 9% and 7%, respectively, of FBTC’s outstanding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FBTC is the target company in a pending de-SPAC business combination with ARC Group Acquisition I Corp (Nasdaq: ARCL). Datuk Dr. Doris Wong, the Company’s Chief Executive Officer and Executive Director, also serves as Chief Executive Officer and Executive Director of ARCL. Mr. Kiu Cu Seng, the Company’s Chief Financial Officer, also serves as Chief Financial Officer of ARCL. In addition, all three of the Company’s independent directors—Soon Ping Pappas, Dr. Satis Waran Nair Krishnan, and Inigo Angel Laurduraj—also serve as directors of ARCL. The overlapping interests of Ms. Phuah and Ms. Wong as both BGMS investors and FBTC shareholders, combined with the overlapping management and board positions between BGMS and ARCL, may create actual or potential conflicts of interest. The Audit Committee reviewed and considered these relationships in connection with its approval of the June 2026 private placement.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175</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95" w:name="vb_011"/>
      <w:bookmarkEnd w:id="95"/>
      <w:r>
        <w:rPr>
          <w:rFonts w:ascii="Times New Roman;Times;Serif" w:hAnsi="Times New Roman;Times;Serif"/>
          <w:b/>
          <w:i w:val="false"/>
          <w:caps w:val="false"/>
          <w:smallCaps w:val="false"/>
          <w:sz w:val="20"/>
        </w:rPr>
        <w:t>DESCRIPTION OF CAPITAL STOCK</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capital stock of BGMS consists of 600,000,000 shares of common stock, $0.001 par value per share, and 5,000,000 shares of preferred stock, $0.001 par value per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1, 2026, there were:</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6,622,794 shares of common stock outstanding;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135,537 shares of preferred stock outstanding;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1,081 shares of common stock issuable upon the exercise of options outstanding at a weighted average exercise price of $240.04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shares of common stock issuable upon vesting of restricted stock units outstanding at a weighted average exercise price of $3,240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23,746 shares of common stock issuable pursuant to the vesting of Restricted Options at a weighted average exercise price of $79.20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4,282,130 shares of common stock reserved for future issuance under our 2018 Equity Incentive Plan (the “2018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shares of common stock reserved for future issuance under our inducement equity incentive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2,992 shares of common stock issuable upon the exercise of warrants outstanding at a weighted-average exercise price of  $507.00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shares of common stock issuable upon the conversion of 264 shares of our Series A Convertible Preferred Stock, par value $0.001 per share, outstanding; and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shares of common stock issuable upon the conversion of 135,273 shares of our 6% Convertible Exchangeable Preferred Stock, par value $0.001 per share.</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the capital stock of BGMS is not complete and may not contain all the information you should consider before investing in BGMS capital stock. This description is summarized from, and qualified in its entirety by reference to, the amended and restated certificate of incorporation of BGMS, which has been filed with the SEC. See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Split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2025, the Company filed an amendment to its Certificate of Incorporation (“Certificate of Amendment”) to implement a one-for-sixteen reverse stock split. The effective date of the Certificate of Amendment was May 12, 2025 (the “Effective Date”). The Board of Directors of the Company approved the amendment to the Company’s Certificate of Incorporation primarily to meet the minimum bid price requirements of The Nasdaq Capital Market. The Company’s stockholders approved the Certificate of Amendment at a special meeting of its stockholders held on February 6,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reverse stock split, on the Effective Date, every sixteen shares of common stock then issued and outstanding automatically combined into one share of common stock, with no change in par value per share. No fractional shares will be outstanding following the reverse stock split, and any fractional shares that would have resulted from the reverse stock split will be (a) rounded up to the nearest whole number for any shareholder who would otherwise be entitled to receive one-half or more of a fractional split-adjusted share, and (b) rounded down to the nearest whole number for any shareholder who would otherwise be entitled to receive less than one-half of a fractional split-adjusted share.</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176</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2025, the Company filed an amendment to its Certificate of Incorporation (“July Certificate of Amendment”) to implement a one-for-fifteen reverse stock split. The effective date of the July Certificate of Amendment was July 7, 2025 (the “July Effective Date”). The Company’s common stock began trading on a split-adjusted basis when the market opened on the July Effective Date. The Board of Directors of the Company approved the amendment to the Company’s July Certificate of Incorporation primarily to meet the share bid price requirements of The Nasdaq Capital Market. The Company’s stockholders approved the July Certificate of Amendment by majority written consent on May 12,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reverse stock split, on the July Effective Date, every fifteen shares of common stock then issued and outstanding automatically will be combined into one share of common stock, with no change in par value per share. No fractional shares will be outstanding following the reverse stock split, and any fractional shares that would have resulted from the reverse stock split will be (a) rounded up to the nearest whole number for any shareholder who would otherwise be entitled to receive one-half or more of a fractional split-adjusted share, and (b) rounded down to the nearest whole number for any shareholder who would otherwise be entitled to receive less than one-half of a fractional split-adjusted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are entitled to one vote for each share held of record on all matters submitted to a vote of the stockholders, and do not have cumulative voting rights. Subject to preferences that may be applicable to any outstanding shares of preferred stock, holders of common stock are entitled to receive ratably such dividends, if any, as may be declared from time to time by our board of directors out of funds legally available for dividend payments. All outstanding shares of common stock are fully paid and non-assessable, and the shares of common stock to be issued upon completion of this offering will be fully paid and non-assessable.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common stock have no preferences or rights of conversion, exchange, pre-emption or other subscription rights. There are no redemption or sinking fund provisions applicable to the common stock. In the event of any liquidation, dissolution or winding-up of our affairs, holders of common stock will be entitled to share ratably in our assets that are remaining after payment or provision for payment of all of our debts and obligations and after liquidation payments to holders of outstanding shares of preferred stock, if any. The rights, preferences and privileges of holders of common stock are subject to the rights of the holders of any outstanding shares of preferred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Listing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for quotation on The Nasdaq Capital Market under the symbol “BGMS.”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Delaware Law and Certain Charter and By-law Provisions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(1) Delaware law, (2) our amended and restated certificate of incorporation, as amended, and (3) our amended and restated bylaws discussed below could discourage or make it more difficult to accomplish a proxy contest or other change in our management or the acquisition of control by a holder of a substantial amount of our voting stock. It is possible that these provisions could make it more difficult to accomplish, or could deter, transactions that stockholders may otherwise consider to be in their best interests or in our best interests. These provisions are intended to enhance the likelihood of continuity and stability in the composition of our board of directors and in the policies formulated by the board of directors and to discourage certain types of transactions that may involve an actual or threatened change of control of us. These provisions are designed to reduce our vulnerability to an unsolicited acquisition proposal. The provisions also are intended to discourage certain tactics that may be used in proxy fights. Such provisions also may have the effect of preventing changes in our management.</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177</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Classified Board of Directors; Removal of Directors for Cause</w:t>
      </w:r>
      <w:r>
        <w:rPr>
          <w:rFonts w:ascii="Times New Roman;Times;Serif" w:hAnsi="Times New Roman;Times;Serif"/>
          <w:b w:val="false"/>
          <w:i w:val="false"/>
          <w:caps w:val="false"/>
          <w:smallCaps w:val="false"/>
          <w:sz w:val="20"/>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and amended and restated bylaws provide that our board of directors is divided into three classes, each serving staggered three-year terms ending at the annual meeting of our stockholders.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Advance Notice Provisions for Stockholder Proposals and Stockholder Nominations of Directors.</w:t>
      </w:r>
      <w:r>
        <w:rPr>
          <w:rFonts w:ascii="Times New Roman;Times;Serif" w:hAnsi="Times New Roman;Times;Serif"/>
          <w:b w:val="false"/>
          <w:i w:val="false"/>
          <w:caps w:val="false"/>
          <w:smallCaps w:val="false"/>
          <w:sz w:val="20"/>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bylaws provide that, for nominations to the board of directors or for other business to be properly brought by a stockholder before a meeting of stockholders, the stockholder must first have given timely notice of the proposal in writing to our Secretary. For an annual meeting, a stockholder’s notice generally must be delivered not less than 45 days nor more than 75 days prior to the anniversary of the mailing date of the proxy statement for the previous year’s annual meeting. For a special meeting, the notice must generally be delivered by the later of 90 days prior to the special meeting or ten days following the day on which public announcement of the meeting is first made. Detailed requirements as to the form of the notice and information required in the notice are specified in the amended and restated bylaws. If it is determined that business was not properly brought before a meeting in accordance with our bylaw provisions, such business will not be conducted at the meeting.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Meetings of Stockholders.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meetings of the stockholders may be called only by our board of directors pursuant to a resolution adopted by a majority of the total number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Super-Majority Stockholder Vote Required for Certain Actions.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amended and restated certificate of incorporation requires the affirmative vote of the holders of at least 66-2/3% of our outstanding voting stock to amend or repeal any of the anti-takeover provisions discussed in this section. This 66-2/3% stockholder vote would be in addition to any separate class vote that might in the future be required pursuant to the terms of any preferred stock that might then be outstanding. In addition, a 66-2/3% vote is also required for any amendment to, or repeal of, our amended and restated bylaws by the stockholders. Our amended and restated bylaws may be amended or repealed by a simple majority vote of the board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Series A Preferred Stock -- </w:t>
      </w:r>
      <w:r>
        <w:rPr>
          <w:rFonts w:ascii="Times New Roman;Times;Serif" w:hAnsi="Times New Roman;Times;Serif"/>
          <w:b w:val="false"/>
          <w:i w:val="false"/>
          <w:caps w:val="false"/>
          <w:smallCaps w:val="false"/>
          <w:sz w:val="20"/>
        </w:rPr>
        <w:t>A total of 8,872 shares of the Company’s Series A Preferred Stock were issued in a July 2017 Underwritten Public Offering. Each share of Series A Preferred Stock is convertible at any time at the option of the holder thereof, into a number of shares of common stock determined by dividing $1,000 by the initial conversion price of $600.00 per share, subject to a 4.99% blocker provision, or, upon election by a holder prior to the issuance of shares of Series A Preferred Stock, 9.99%, and is subject to adjustment for stock splits, stock dividends, distributions, subdivisions and combinations.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1, 2026, 264 shares of the Series A Preferred Stock remain issued and outstanding. The 264 shares of Series A Preferred Stock issued and outstanding at December 31, 2025, are convertible into 2 shares of common stock. In the event of a liquidation, the holders of shares of the Series A Preferred Stock may participate on an as-converted-to-common-stock basis in any distribution of assets of the Company. The Company shall not pay any dividends on shares of common stock (other than dividends in the form of common stock) unless and until such time as dividends on each share of Series A Preferred Stock are paid on an as-converted basis. There is no restriction on the Company’s ability to repurchase shares of Series A Preferred Stock while there is any arrearage in the payment of dividends on such shares, and there are no sinking fund provisions applicable to Series A Preferred Stock.</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178</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at any time following the issuance of the Series A Preferred Stock, the Company has the right to cause each holder of the Series A Preferred Stock to convert all or part of such holder’s Series A Preferred Stock in the event that (i) the volume weighted average price of our common stock for 30 consecutive trading days, or Measurement Period exceeds 300% of the initial conversion price of the Series A Preferred Stock (subject to adjustment for forward and reverse stock splits, recapitalizations, stock dividends and similar transactions), (ii) the daily trading volume on each Trading Day during such Measurement Period exceeds $500,000 per trading day and (iii) the holder is not in possession of any information that constitutes or might constitute, material non-public information which was provided by the Company. The right to cause each holder of Series A Preferred Stock to convert all or part of such holder’s Series A Preferred Stock shall be exercised ratably among the holders of the then outstanding preferred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Preferred Stock has no maturity date, will carry the same dividend rights as the common stock, and with certain exceptions contains no voting rights. In the event of any liquidation or dissolution of the Company, the Series A Preferred Stock ranks senior to the common stock in the distribution of assets, to the extent legally available for distribution.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6% Convertible Exchangeable Preferred Stock -- </w:t>
      </w:r>
      <w:r>
        <w:rPr>
          <w:rFonts w:ascii="Times New Roman;Times;Serif" w:hAnsi="Times New Roman;Times;Serif"/>
          <w:b w:val="false"/>
          <w:i w:val="false"/>
          <w:caps w:val="false"/>
          <w:smallCaps w:val="false"/>
          <w:sz w:val="20"/>
        </w:rPr>
        <w:t>As of September 1, 2026, there were 135,273 shares of the Company’s 6% Convertible Exchangeable, or Preferred Stock issued and outstanding at an issue price of $10.00 per share. Dividends on the Preferred Stock are cumulative from the date of original issuance at the annual rate of 6% of the liquidation preference of the Preferred Stock, and if declared, payable quarterly on the first day of February, May, August and November, commencing February 1, 2005. Any dividends must be declared by the Company’s Board of Directors and must come from funds that are legally available for dividend payments. The Preferred Stock has a liquidation preference of $10.00 per share, plus accrued and unpaid dividends.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considers numerous factors in determining whether to declare the quarterly dividend pursuant to the Certificate of Designations governing the terms of the Company’s Preferred Stock, including the requisite financial analysis and determination of a surplus. As of September 1, 2026, there were no accrued and unpaid dividends.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is convertible at the option of the holder at any time into the Company’s shares of common stock at a conversion rate of approximately 0.000000069 shares of common stock for each share of Preferred Stock based on a price of $142,128,000 per share. The Company has reserved 0 shares of common stock for issuance upon conversion of the remaining shares of Preferred Stock outstanding at September 1, 2026. The shares of previously converted Preferred Stock have been retired, cancelled and restored to the status of authorized but unissued shares of preferred stock, subject to reissuance by the Board of Directors as shares of Preferred Stock of one or more series.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automatically convert the Preferred Stock into common stock if the closing price of the Company’s common stock has exceeded $213,192,000, which is 150% of the conversion price of the Preferred Stock, for at least 20 trading days during any 30-day trading period, ending within five trading days prior to notice of automatic conversion.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Designations governing the Preferred Stock provides that if the Company fails to pay dividends on its Preferred Stock for six quarterly periods, holders of Preferred Stock are entitled to nominate and elect two directors to the Company’s Board of Directors. This right accrued to the holders of Preferred Stock as of August 2, 2010 and two directors were nominated and elected at the annual meeting held on May 24, 2011.</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authority to issue up to 5 million shares of preferred stock and to determine the terms of those shares of stock without any further action by our stockholders. The board of directors has the right, without the consent of holders of common stock, to designate and issue one or more series of preferred stock, which may be convertible into common stock at a ratio determined by the board of directors. A series of preferred stock may bear rights superior to common stock as to voting, dividends, redemption, distributions in liquidation, dissolution, or winding up, and other relative rights and preferences. The board may set the following terms of any series of preferred stock:</w:t>
      </w:r>
    </w:p>
    <w:p>
      <w:pPr>
        <w:pStyle w:val="TextBody"/>
        <w:bidi w:val="0"/>
        <w:jc w:val="both"/>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75"/>
        <w:gridCol w:w="170"/>
        <w:gridCol w:w="716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constituting the series and the distinctive designation of the series;</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179</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rates, whether dividends are cumulative, and, if so, from what date; and the relative rights of priority of payment of dividends;</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9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rights and the terms of the voting rights;</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9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privileges and the terms and conditions of conversion, including provision for adjustment of the conversion rate;</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9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rights and the terms and conditions of redemption, including the date or dates upon or after which shares may be redeemable, and the amount per share payable in case of redemption, which may vary under different conditions and at different redemption dates;</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9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sinking fund provisions for the redemption or purchase of shares;</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9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in the event of voluntary or involuntary liquidation, dissolution or winding up of the corporation, and the relative rights of priority of payment; and</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9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relative powers, preferences, rights, privileges, qualifications, limitations and restrictions of the series.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on outstanding shares of preferred stock will be paid or declared and set apart for payment before any dividends may be paid or declared and set apart for payment on the common stock with respect to the same dividend period. If, upon any voluntary or involuntary liquidation, dissolution or winding up of the Company, the assets available for distribution to holders of preferred stock are insufficient to pay the full preferential amount to which the holders are entitled, then the available assets will be distributed ratably among the shares of all series of preferred stock in accordance with the respective preferential amounts (including unpaid cumulative dividends, if any) payable with respect to each series.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preferred stock will not be entitled to preemptive rights to purchase or subscribe for any shares of any class of capital stock of the corporation. The preferred stock will, when issued, be fully paid and non-assessable. The rights of the holders of preferred stock will be subordinate to those of our general creditors.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Board of Directors exercises this power to issue preferred stock, it could be more difficult for a third party to acquire a majority of our outstanding voting stock and vote the stock they acquire to remove management or directors. Our amended and restated certificate of incorporation and amended and restated bylaws also provides staggered terms for the members of our Board of Directors. Under Section 141 of the Delaware General Corporation Law, our directors may be removed by stockholders only for cause and only by vote of the holders of a majority of voting shares then outstanding. These provisions may prevent stockholders from replacing the entire board in a single proxy contest, making it more difficult for a third party to acquire control of us without the consent of our Board of Directors. These provisions could also delay the removal of management by the Board of Directors with or without cause. In addition, our directors may only be removed for cause and amended and restated bylaws limit the ability of our stockholders to call special meetings of stockholders.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April 2024 Warrants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62,750 warrants were issued pursuant to the April 2024 Securities Purchase Agreement (the “April 2024 Securities Purchase Agreement”), consisting of Series A, Series B, Pre-funded, and Placement Agent warrants. As of December 31, 2025, only Placement Agent warrants to purchase a total of 1,242 shares of common stock remained outstanding. The 1,242 Placement Agent Warrants issued pursuant to the Engagement Letter with the placement agent, are exercisable immediately from the date of issuance for a period of five and one half (5.5) years after the date of issuance, at an exercise price of $124.512 per warrant share. A total of 20,704 Series A warrants and 9,988 Series B warrants were exercised during the year ended December 31, 2025. A total of 20,100 pre-funded warrants and 10,716 Series B warrants were exercised during the year ended December 31, 2024.</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180</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2023 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1, 2026, warrants to purchase a total of 1,750 shares of common stock issued pursuant to a securities purchase agreement in a December 2023 financing transaction remained outstanding. A total of 1,651 warrants, including 33 warrants issued in a concurrent private placement, are exercisable immediately from the date of issuance for a period of seven years after the date of issuance, at an exercise price of $765.60 per warrant share. A further 99 warrants issued in a concurrent placement agency agreement, are exercisable immediately from the date of issuance for a period of five years after the date of issuance, at an exercise price of $994.50 per warrant share. There were no exercises of these warrants during the years ended December 31, 2025 or December 31,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2020 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 1, 2026, warrants to purchase 186 shares of common stock issued pursuant to a securities purchase agreement in a December 2020 financing transaction remained outstanding. Each warrant shall be exercisable beginning on the 12-month anniversary of the date of issuance for a period of five years after the date of issuance, at an exercise price of $14,868 per warrant share. The exercise price of the warrants will be subject to adjustment in the event of any stock dividends and splits, reverse stock split, recapitalization, reorganization or similar transaction, as described in the warrants. The warrants may be exercised on a “cashless” basis. There were no exercises of these warrants during the years ended December 31, 2025 or December 31,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Equiniti Trust Company, LLC. The transfer agent and registrar’s address is 28 Liberty Street 53rd Floor, New York, NY 10005, USA.</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181</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96" w:name="vb_012"/>
      <w:bookmarkEnd w:id="96"/>
      <w:r>
        <w:rPr>
          <w:rFonts w:ascii="Times New Roman;Times;Serif" w:hAnsi="Times New Roman;Times;Serif"/>
          <w:b/>
          <w:i w:val="false"/>
          <w:caps w:val="false"/>
          <w:smallCaps w:val="false"/>
          <w:sz w:val="20"/>
        </w:rPr>
        <w:t>PRINCIPAL STOCKHOLDERS OF BGMS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beneficial ownership of BGMS common stock and preferred stock as of September 1, 2026 by:</w:t>
      </w:r>
    </w:p>
    <w:p>
      <w:pPr>
        <w:pStyle w:val="TextBody"/>
        <w:bidi w:val="0"/>
        <w:jc w:val="both"/>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75"/>
        <w:gridCol w:w="170"/>
        <w:gridCol w:w="951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or group of affiliated persons, who we know to beneficially own more than 5% of BGMS common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5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5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current directors;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5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current executive officers and directors as a group.</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ownership information shown in the table is based on an aggregate of 6,622,794 shares of our common stock and the percentage of ownership of preferred stock is based on 135,537 shares of preferred stock outstanding as of September 1,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and includes voting or investment power with respect to the securities. We deem shares of Common Stock that may be acquired by an individual or group within 60 days of September 1, 2026 pursuant to the exercise of options or warrants to be outstanding for the purpose of computing the percentage ownership of an individual or group but do not deem them to be outstanding for the purpose of computing the percentage ownership of any other person shown in the table. Except as indicated in footnotes to this table, we believe that the stockholders named in this table have sole voting and investment power with respect to all shares of stock shown to be beneficially owned by them based on information provided to us by these stockholders.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300"/>
        <w:gridCol w:w="60"/>
        <w:gridCol w:w="126"/>
        <w:gridCol w:w="2081"/>
        <w:gridCol w:w="60"/>
        <w:gridCol w:w="60"/>
        <w:gridCol w:w="104"/>
        <w:gridCol w:w="976"/>
        <w:gridCol w:w="215"/>
        <w:gridCol w:w="60"/>
        <w:gridCol w:w="857"/>
        <w:gridCol w:w="1360"/>
        <w:gridCol w:w="60"/>
        <w:gridCol w:w="60"/>
        <w:gridCol w:w="676"/>
        <w:gridCol w:w="1071"/>
        <w:gridCol w:w="79"/>
      </w:tblGrid>
      <w:tr>
        <w:trPr/>
        <w:tc>
          <w:tcPr>
            <w:tcW w:w="230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Beneficial Owners</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2207" w:type="dxa"/>
            <w:gridSpan w:val="2"/>
            <w:tcBorders>
              <w:bottom w:val="single" w:sz="8" w:space="0" w:color="000000"/>
            </w:tcBorders>
            <w:vAlign w:val="center"/>
          </w:tcPr>
          <w:p>
            <w:pPr>
              <w:pStyle w:val="TableContents"/>
              <w:bidi w:val="0"/>
              <w:spacing w:before="0" w:after="283"/>
              <w:jc w:val="center"/>
              <w:rPr>
                <w:b/>
              </w:rPr>
            </w:pPr>
            <w:r>
              <w:rPr>
                <w:b/>
              </w:rPr>
              <w:t>Number of Shares of Common Stock Beneficially 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17" w:type="dxa"/>
            <w:gridSpan w:val="2"/>
            <w:tcBorders>
              <w:bottom w:val="single" w:sz="8" w:space="0" w:color="000000"/>
            </w:tcBorders>
            <w:vAlign w:val="center"/>
          </w:tcPr>
          <w:p>
            <w:pPr>
              <w:pStyle w:val="TableContents"/>
              <w:bidi w:val="0"/>
              <w:spacing w:before="0" w:after="283"/>
              <w:jc w:val="center"/>
              <w:rPr>
                <w:b/>
              </w:rPr>
            </w:pPr>
            <w:r>
              <w:rPr>
                <w:b/>
              </w:rPr>
              <w:t>Number of Shares of Preferred Stock Beneficially 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7" w:type="dxa"/>
            <w:gridSpan w:val="2"/>
            <w:tcBorders>
              <w:bottom w:val="single" w:sz="8" w:space="0" w:color="000000"/>
            </w:tcBorders>
            <w:vAlign w:val="center"/>
          </w:tcPr>
          <w:p>
            <w:pPr>
              <w:pStyle w:val="TableContents"/>
              <w:bidi w:val="0"/>
              <w:spacing w:before="0" w:after="283"/>
              <w:jc w:val="center"/>
              <w:rPr>
                <w:b/>
              </w:rPr>
            </w:pPr>
            <w:r>
              <w:rPr>
                <w:b/>
              </w:rPr>
              <w:t>Percentage of Preferred Stock Owned</w:t>
            </w:r>
          </w:p>
        </w:tc>
        <w:tc>
          <w:tcPr>
            <w:tcW w:w="79" w:type="dxa"/>
            <w:tcBorders/>
            <w:tcMar>
              <w:bottom w:w="0" w:type="dxa"/>
            </w:tcMar>
            <w:vAlign w:val="center"/>
          </w:tcPr>
          <w:p>
            <w:pPr>
              <w:pStyle w:val="TableContents"/>
              <w:bidi w:val="0"/>
              <w:spacing w:before="0" w:after="283"/>
              <w:jc w:val="left"/>
              <w:rPr/>
            </w:pPr>
            <w:r>
              <w:rPr/>
              <w:t> </w:t>
            </w:r>
          </w:p>
        </w:tc>
      </w:tr>
      <w:tr>
        <w:trPr/>
        <w:tc>
          <w:tcPr>
            <w:tcW w:w="23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Datuk Dr. Doris Wong Sing Ee</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2081" w:type="dxa"/>
            <w:tcBorders/>
            <w:shd w:fill="CCEEFF" w:val="clear"/>
            <w:tcMar>
              <w:bottom w:w="0" w:type="dxa"/>
            </w:tcMar>
            <w:vAlign w:val="center"/>
          </w:tcPr>
          <w:p>
            <w:pPr>
              <w:pStyle w:val="TableContents"/>
              <w:bidi w:val="0"/>
              <w:spacing w:before="0" w:after="283"/>
              <w:jc w:val="right"/>
              <w:rPr/>
            </w:pPr>
            <w:r>
              <w:rPr/>
              <w:t>1,111,131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76" w:type="dxa"/>
            <w:tcBorders/>
            <w:shd w:fill="CCEEFF" w:val="clear"/>
            <w:tcMar>
              <w:bottom w:w="0" w:type="dxa"/>
            </w:tcMar>
            <w:vAlign w:val="center"/>
          </w:tcPr>
          <w:p>
            <w:pPr>
              <w:pStyle w:val="TableContents"/>
              <w:bidi w:val="0"/>
              <w:spacing w:before="0" w:after="283"/>
              <w:jc w:val="right"/>
              <w:rPr/>
            </w:pPr>
            <w:r>
              <w:rPr/>
              <w:t>16.78</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7" w:type="dxa"/>
            <w:tcBorders/>
            <w:shd w:fill="CCEEFF" w:val="clear"/>
            <w:tcMar>
              <w:bottom w:w="0" w:type="dxa"/>
            </w:tcMar>
            <w:vAlign w:val="center"/>
          </w:tcPr>
          <w:p>
            <w:pPr>
              <w:pStyle w:val="TableContents"/>
              <w:bidi w:val="0"/>
              <w:spacing w:before="0" w:after="283"/>
              <w:jc w:val="left"/>
              <w:rPr/>
            </w:pPr>
            <w:r>
              <w:rPr/>
              <w:t> </w:t>
            </w:r>
          </w:p>
        </w:tc>
        <w:tc>
          <w:tcPr>
            <w:tcW w:w="13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6" w:type="dxa"/>
            <w:tcBorders/>
            <w:shd w:fill="CCEEFF" w:val="clear"/>
            <w:tcMar>
              <w:bottom w:w="0" w:type="dxa"/>
            </w:tcMar>
            <w:vAlign w:val="center"/>
          </w:tcPr>
          <w:p>
            <w:pPr>
              <w:pStyle w:val="TableContents"/>
              <w:bidi w:val="0"/>
              <w:spacing w:before="0" w:after="283"/>
              <w:jc w:val="left"/>
              <w:rPr/>
            </w:pPr>
            <w:r>
              <w:rPr/>
              <w:t> </w:t>
            </w:r>
          </w:p>
        </w:tc>
        <w:tc>
          <w:tcPr>
            <w:tcW w:w="1071"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300" w:type="dxa"/>
            <w:tcBorders/>
            <w:shd w:fill="FFFFFF" w:val="clear"/>
            <w:tcMar>
              <w:bottom w:w="0" w:type="dxa"/>
            </w:tcMar>
            <w:vAlign w:val="center"/>
          </w:tcPr>
          <w:p>
            <w:pPr>
              <w:pStyle w:val="TableContents"/>
              <w:bidi w:val="0"/>
              <w:spacing w:before="0" w:after="283"/>
              <w:jc w:val="left"/>
              <w:rPr/>
            </w:pPr>
            <w:r>
              <w:rPr/>
              <w:t>Kiu Cu Seng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2081" w:type="dxa"/>
            <w:tcBorders/>
            <w:shd w:fill="FFFFFF" w:val="clear"/>
            <w:tcMar>
              <w:bottom w:w="0" w:type="dxa"/>
            </w:tcMar>
            <w:vAlign w:val="center"/>
          </w:tcPr>
          <w:p>
            <w:pPr>
              <w:pStyle w:val="TableContents"/>
              <w:bidi w:val="0"/>
              <w:spacing w:before="0" w:after="283"/>
              <w:jc w:val="right"/>
              <w:rPr/>
            </w:pPr>
            <w:r>
              <w:rPr/>
              <w:t>200,000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76" w:type="dxa"/>
            <w:tcBorders/>
            <w:shd w:fill="FFFFFF" w:val="clear"/>
            <w:tcMar>
              <w:bottom w:w="0" w:type="dxa"/>
            </w:tcMar>
            <w:vAlign w:val="center"/>
          </w:tcPr>
          <w:p>
            <w:pPr>
              <w:pStyle w:val="TableContents"/>
              <w:bidi w:val="0"/>
              <w:spacing w:before="0" w:after="283"/>
              <w:jc w:val="right"/>
              <w:rPr/>
            </w:pPr>
            <w:r>
              <w:rPr/>
              <w:t>3.02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7" w:type="dxa"/>
            <w:tcBorders/>
            <w:shd w:fill="FFFFFF" w:val="clear"/>
            <w:tcMar>
              <w:bottom w:w="0" w:type="dxa"/>
            </w:tcMar>
            <w:vAlign w:val="center"/>
          </w:tcPr>
          <w:p>
            <w:pPr>
              <w:pStyle w:val="TableContents"/>
              <w:bidi w:val="0"/>
              <w:spacing w:before="0" w:after="283"/>
              <w:jc w:val="left"/>
              <w:rPr/>
            </w:pPr>
            <w:r>
              <w:rPr/>
              <w:t> </w:t>
            </w:r>
          </w:p>
        </w:tc>
        <w:tc>
          <w:tcPr>
            <w:tcW w:w="13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6" w:type="dxa"/>
            <w:tcBorders/>
            <w:shd w:fill="FFFFFF" w:val="clear"/>
            <w:tcMar>
              <w:bottom w:w="0" w:type="dxa"/>
            </w:tcMar>
            <w:vAlign w:val="center"/>
          </w:tcPr>
          <w:p>
            <w:pPr>
              <w:pStyle w:val="TableContents"/>
              <w:bidi w:val="0"/>
              <w:spacing w:before="0" w:after="283"/>
              <w:jc w:val="left"/>
              <w:rPr/>
            </w:pPr>
            <w:r>
              <w:rPr/>
              <w:t> </w:t>
            </w:r>
          </w:p>
        </w:tc>
        <w:tc>
          <w:tcPr>
            <w:tcW w:w="1071" w:type="dxa"/>
            <w:tcBorders/>
            <w:shd w:fill="FFFFFF" w:val="clear"/>
            <w:tcMar>
              <w:bottom w:w="0" w:type="dxa"/>
            </w:tcM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300" w:type="dxa"/>
            <w:tcBorders/>
            <w:shd w:fill="CCEEFF" w:val="clear"/>
            <w:tcMar>
              <w:bottom w:w="0" w:type="dxa"/>
            </w:tcMar>
            <w:vAlign w:val="center"/>
          </w:tcPr>
          <w:p>
            <w:pPr>
              <w:pStyle w:val="TableContents"/>
              <w:bidi w:val="0"/>
              <w:spacing w:before="0" w:after="283"/>
              <w:jc w:val="left"/>
              <w:rPr/>
            </w:pPr>
            <w:r>
              <w:rPr/>
              <w:t>Soon Ping Pappas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208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76"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7" w:type="dxa"/>
            <w:tcBorders/>
            <w:shd w:fill="CCEEFF" w:val="clear"/>
            <w:tcMar>
              <w:bottom w:w="0" w:type="dxa"/>
            </w:tcMar>
            <w:vAlign w:val="center"/>
          </w:tcPr>
          <w:p>
            <w:pPr>
              <w:pStyle w:val="TableContents"/>
              <w:bidi w:val="0"/>
              <w:spacing w:before="0" w:after="283"/>
              <w:jc w:val="left"/>
              <w:rPr/>
            </w:pPr>
            <w:r>
              <w:rPr/>
              <w:t> </w:t>
            </w:r>
          </w:p>
        </w:tc>
        <w:tc>
          <w:tcPr>
            <w:tcW w:w="13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6" w:type="dxa"/>
            <w:tcBorders/>
            <w:shd w:fill="CCEEFF" w:val="clear"/>
            <w:tcMar>
              <w:bottom w:w="0" w:type="dxa"/>
            </w:tcMar>
            <w:vAlign w:val="center"/>
          </w:tcPr>
          <w:p>
            <w:pPr>
              <w:pStyle w:val="TableContents"/>
              <w:bidi w:val="0"/>
              <w:spacing w:before="0" w:after="283"/>
              <w:jc w:val="left"/>
              <w:rPr/>
            </w:pPr>
            <w:r>
              <w:rPr/>
              <w:t> </w:t>
            </w:r>
          </w:p>
        </w:tc>
        <w:tc>
          <w:tcPr>
            <w:tcW w:w="1071"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300" w:type="dxa"/>
            <w:tcBorders/>
            <w:shd w:fill="FFFFFF" w:val="clear"/>
            <w:tcMar>
              <w:bottom w:w="0" w:type="dxa"/>
            </w:tcMar>
            <w:vAlign w:val="center"/>
          </w:tcPr>
          <w:p>
            <w:pPr>
              <w:pStyle w:val="TableContents"/>
              <w:bidi w:val="0"/>
              <w:spacing w:before="0" w:after="283"/>
              <w:jc w:val="left"/>
              <w:rPr/>
            </w:pPr>
            <w:r>
              <w:rPr/>
              <w:t>Dr. Satis Waran Nair Krishnan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208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76"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7" w:type="dxa"/>
            <w:tcBorders/>
            <w:shd w:fill="FFFFFF" w:val="clear"/>
            <w:tcMar>
              <w:bottom w:w="0" w:type="dxa"/>
            </w:tcMar>
            <w:vAlign w:val="center"/>
          </w:tcPr>
          <w:p>
            <w:pPr>
              <w:pStyle w:val="TableContents"/>
              <w:bidi w:val="0"/>
              <w:spacing w:before="0" w:after="283"/>
              <w:jc w:val="left"/>
              <w:rPr/>
            </w:pPr>
            <w:r>
              <w:rPr/>
              <w:t> </w:t>
            </w:r>
          </w:p>
        </w:tc>
        <w:tc>
          <w:tcPr>
            <w:tcW w:w="13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6" w:type="dxa"/>
            <w:tcBorders/>
            <w:shd w:fill="FFFFFF" w:val="clear"/>
            <w:tcMar>
              <w:bottom w:w="0" w:type="dxa"/>
            </w:tcMar>
            <w:vAlign w:val="center"/>
          </w:tcPr>
          <w:p>
            <w:pPr>
              <w:pStyle w:val="TableContents"/>
              <w:bidi w:val="0"/>
              <w:spacing w:before="0" w:after="283"/>
              <w:jc w:val="left"/>
              <w:rPr/>
            </w:pPr>
            <w:r>
              <w:rPr/>
              <w:t> </w:t>
            </w:r>
          </w:p>
        </w:tc>
        <w:tc>
          <w:tcPr>
            <w:tcW w:w="1071" w:type="dxa"/>
            <w:tcBorders/>
            <w:shd w:fill="FFFFFF" w:val="clear"/>
            <w:tcMar>
              <w:bottom w:w="0" w:type="dxa"/>
            </w:tcM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300" w:type="dxa"/>
            <w:tcBorders/>
            <w:shd w:fill="CCEEFF" w:val="clear"/>
            <w:tcMar>
              <w:bottom w:w="0" w:type="dxa"/>
            </w:tcMar>
            <w:vAlign w:val="center"/>
          </w:tcPr>
          <w:p>
            <w:pPr>
              <w:pStyle w:val="TableContents"/>
              <w:bidi w:val="0"/>
              <w:spacing w:before="0" w:after="283"/>
              <w:jc w:val="left"/>
              <w:rPr/>
            </w:pPr>
            <w:r>
              <w:rPr/>
              <w:t>Inigo Angel Laurduraj</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208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76"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7" w:type="dxa"/>
            <w:tcBorders/>
            <w:shd w:fill="CCEEFF" w:val="clear"/>
            <w:tcMar>
              <w:bottom w:w="0" w:type="dxa"/>
            </w:tcMar>
            <w:vAlign w:val="center"/>
          </w:tcPr>
          <w:p>
            <w:pPr>
              <w:pStyle w:val="TableContents"/>
              <w:bidi w:val="0"/>
              <w:spacing w:before="0" w:after="283"/>
              <w:jc w:val="left"/>
              <w:rPr/>
            </w:pPr>
            <w:r>
              <w:rPr/>
              <w:t> </w:t>
            </w:r>
          </w:p>
        </w:tc>
        <w:tc>
          <w:tcPr>
            <w:tcW w:w="13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6" w:type="dxa"/>
            <w:tcBorders/>
            <w:shd w:fill="CCEEFF" w:val="clear"/>
            <w:tcMar>
              <w:bottom w:w="0" w:type="dxa"/>
            </w:tcMar>
            <w:vAlign w:val="center"/>
          </w:tcPr>
          <w:p>
            <w:pPr>
              <w:pStyle w:val="TableContents"/>
              <w:bidi w:val="0"/>
              <w:spacing w:before="0" w:after="283"/>
              <w:jc w:val="left"/>
              <w:rPr/>
            </w:pPr>
            <w:r>
              <w:rPr/>
              <w:t> </w:t>
            </w:r>
          </w:p>
        </w:tc>
        <w:tc>
          <w:tcPr>
            <w:tcW w:w="1071"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300" w:type="dxa"/>
            <w:tcBorders/>
            <w:shd w:fill="FFFFFF" w:val="clear"/>
            <w:tcMar>
              <w:bottom w:w="0" w:type="dxa"/>
            </w:tcMar>
            <w:vAlign w:val="center"/>
          </w:tcPr>
          <w:p>
            <w:pPr>
              <w:pStyle w:val="TableContents"/>
              <w:bidi w:val="0"/>
              <w:spacing w:before="0" w:after="283"/>
              <w:jc w:val="left"/>
              <w:rPr/>
            </w:pPr>
            <w:r>
              <w:rPr/>
              <w:t>All current directors and executive officers as a group (5 people)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2081" w:type="dxa"/>
            <w:tcBorders/>
            <w:shd w:fill="FFFFFF" w:val="clear"/>
            <w:tcMar>
              <w:bottom w:w="0" w:type="dxa"/>
            </w:tcMar>
            <w:vAlign w:val="center"/>
          </w:tcPr>
          <w:p>
            <w:pPr>
              <w:pStyle w:val="TableContents"/>
              <w:bidi w:val="0"/>
              <w:spacing w:before="0" w:after="283"/>
              <w:jc w:val="right"/>
              <w:rPr/>
            </w:pPr>
            <w:r>
              <w:rPr/>
              <w:t>1,311,131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76" w:type="dxa"/>
            <w:tcBorders/>
            <w:shd w:fill="FFFFFF" w:val="clear"/>
            <w:tcMar>
              <w:bottom w:w="0" w:type="dxa"/>
            </w:tcMar>
            <w:vAlign w:val="center"/>
          </w:tcPr>
          <w:p>
            <w:pPr>
              <w:pStyle w:val="TableContents"/>
              <w:bidi w:val="0"/>
              <w:spacing w:before="0" w:after="283"/>
              <w:jc w:val="right"/>
              <w:rPr/>
            </w:pPr>
            <w:r>
              <w:rPr/>
              <w:t>19.80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7" w:type="dxa"/>
            <w:tcBorders/>
            <w:shd w:fill="FFFFFF" w:val="clear"/>
            <w:tcMar>
              <w:bottom w:w="0" w:type="dxa"/>
            </w:tcMar>
            <w:vAlign w:val="center"/>
          </w:tcPr>
          <w:p>
            <w:pPr>
              <w:pStyle w:val="TableContents"/>
              <w:bidi w:val="0"/>
              <w:spacing w:before="0" w:after="283"/>
              <w:jc w:val="left"/>
              <w:rPr/>
            </w:pPr>
            <w:r>
              <w:rPr/>
              <w:t> </w:t>
            </w:r>
          </w:p>
        </w:tc>
        <w:tc>
          <w:tcPr>
            <w:tcW w:w="13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6" w:type="dxa"/>
            <w:tcBorders/>
            <w:shd w:fill="FFFFFF" w:val="clear"/>
            <w:tcMar>
              <w:bottom w:w="0" w:type="dxa"/>
            </w:tcMar>
            <w:vAlign w:val="center"/>
          </w:tcPr>
          <w:p>
            <w:pPr>
              <w:pStyle w:val="TableContents"/>
              <w:bidi w:val="0"/>
              <w:spacing w:before="0" w:after="283"/>
              <w:jc w:val="left"/>
              <w:rPr/>
            </w:pPr>
            <w:r>
              <w:rPr/>
              <w:t> </w:t>
            </w:r>
          </w:p>
        </w:tc>
        <w:tc>
          <w:tcPr>
            <w:tcW w:w="1071" w:type="dxa"/>
            <w:tcBorders/>
            <w:shd w:fill="FFFFFF" w:val="clear"/>
            <w:tcMar>
              <w:bottom w:w="0" w:type="dxa"/>
            </w:tcM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300" w:type="dxa"/>
            <w:tcBorders/>
            <w:shd w:fill="CCEEFF" w:val="clear"/>
            <w:tcMar>
              <w:bottom w:w="0" w:type="dxa"/>
            </w:tcMar>
            <w:vAlign w:val="center"/>
          </w:tcPr>
          <w:p>
            <w:pPr>
              <w:pStyle w:val="TableContents"/>
              <w:bidi w:val="0"/>
              <w:spacing w:before="0" w:after="283"/>
              <w:jc w:val="left"/>
              <w:rPr>
                <w:i/>
              </w:rPr>
            </w:pPr>
            <w:r>
              <w:rPr>
                <w:i/>
              </w:rPr>
              <w:t xml:space="preserve">5% or more stockholders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208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76"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7" w:type="dxa"/>
            <w:tcBorders/>
            <w:shd w:fill="CCEEFF" w:val="clear"/>
            <w:tcMar>
              <w:bottom w:w="0" w:type="dxa"/>
            </w:tcMar>
            <w:vAlign w:val="center"/>
          </w:tcPr>
          <w:p>
            <w:pPr>
              <w:pStyle w:val="TableContents"/>
              <w:bidi w:val="0"/>
              <w:spacing w:before="0" w:after="283"/>
              <w:jc w:val="left"/>
              <w:rPr/>
            </w:pPr>
            <w:r>
              <w:rPr/>
              <w:t> </w:t>
            </w:r>
          </w:p>
        </w:tc>
        <w:tc>
          <w:tcPr>
            <w:tcW w:w="13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6" w:type="dxa"/>
            <w:tcBorders/>
            <w:shd w:fill="CCEEFF" w:val="clear"/>
            <w:tcMar>
              <w:bottom w:w="0" w:type="dxa"/>
            </w:tcMar>
            <w:vAlign w:val="center"/>
          </w:tcPr>
          <w:p>
            <w:pPr>
              <w:pStyle w:val="TableContents"/>
              <w:bidi w:val="0"/>
              <w:spacing w:before="0" w:after="283"/>
              <w:jc w:val="left"/>
              <w:rPr/>
            </w:pPr>
            <w:r>
              <w:rPr/>
              <w:t> </w:t>
            </w:r>
          </w:p>
        </w:tc>
        <w:tc>
          <w:tcPr>
            <w:tcW w:w="1071" w:type="dxa"/>
            <w:tcBorders/>
            <w:shd w:fill="CCEEFF" w:val="clear"/>
            <w:tcMar>
              <w:bottom w:w="0" w:type="dxa"/>
            </w:tcMar>
            <w:vAlign w:val="center"/>
          </w:tcPr>
          <w:p>
            <w:pPr>
              <w:pStyle w:val="TableContents"/>
              <w:bidi w:val="0"/>
              <w:spacing w:before="0" w:after="283"/>
              <w:jc w:val="righ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140"/>
        <w:gridCol w:w="825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beneficial ownership of less than one percent of our outstanding shares of Common Stock.</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address of each beneficial owner is c/o Bio Green Med Solution, Inc., Bio Green Med Solution, Inc., Level 10, Tower 11, Avenue 5, No. 8 Jalan Kerinchi, 59200 Kuala Lumpur, Malaysia.</w:t>
            </w:r>
          </w:p>
        </w:tc>
      </w:tr>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Executive Officer, Datuk Dr. Doris Wong Sing Ee is the Majority Consenting Stockholder referred to herein who controls the management and affairs of the Company, and currently can control matters requiring the approval by the Company’s stockholders, including the election of directors, any merger, consolidation or sale of all or substantially all of its assets, and any other significant corporate transaction.</w:t>
            </w:r>
          </w:p>
        </w:tc>
      </w:tr>
    </w:tbl>
    <w:p>
      <w:pPr>
        <w:pStyle w:val="TextBody"/>
        <w:bidi w:val="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182</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97" w:name="vb_013"/>
      <w:bookmarkEnd w:id="97"/>
      <w:r>
        <w:rPr>
          <w:rFonts w:ascii="Times New Roman;Times;Serif" w:hAnsi="Times New Roman;Times;Serif"/>
          <w:b/>
          <w:i w:val="false"/>
          <w:caps w:val="false"/>
          <w:smallCaps w:val="false"/>
          <w:sz w:val="20"/>
        </w:rPr>
        <w:t>PRINCIPAL SHAREHOLDERS OF FUTURE NRG SDN. BHD.</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beneficial ownership of the ordinary shares of Future NRG Sdn. Bhd. as of September 1, 2026 by:</w:t>
      </w:r>
    </w:p>
    <w:p>
      <w:pPr>
        <w:pStyle w:val="TextBody"/>
        <w:bidi w:val="0"/>
        <w:jc w:val="both"/>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75"/>
        <w:gridCol w:w="170"/>
        <w:gridCol w:w="92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or group of affiliated persons, who we know to beneficially own more than 5% of our common stock;</w:t>
            </w:r>
          </w:p>
        </w:tc>
      </w:tr>
    </w:tbl>
    <w:p>
      <w:pPr>
        <w:pStyle w:val="TextBody"/>
        <w:bidi w:val="0"/>
        <w:jc w:val="both"/>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75"/>
        <w:gridCol w:w="170"/>
        <w:gridCol w:w="306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w:t>
            </w:r>
          </w:p>
        </w:tc>
      </w:tr>
    </w:tbl>
    <w:p>
      <w:pPr>
        <w:pStyle w:val="TextBody"/>
        <w:bidi w:val="0"/>
        <w:jc w:val="both"/>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75"/>
        <w:gridCol w:w="170"/>
        <w:gridCol w:w="2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current directors; and</w:t>
            </w:r>
          </w:p>
        </w:tc>
      </w:tr>
    </w:tbl>
    <w:p>
      <w:pPr>
        <w:pStyle w:val="TextBody"/>
        <w:bidi w:val="0"/>
        <w:jc w:val="both"/>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75"/>
        <w:gridCol w:w="170"/>
        <w:gridCol w:w="488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current executive officers and directors as a group.</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ownership information shown in the table is based on an aggregate of 28,000,000 ordinary shares. Beneficial ownership is determined in accordance with the rules of the SEC and includes voting or investment power with respect to the securities. We deem shares of Common Stock that may be acquired by an individual or group within 60 days of September 1, 2026 pursuant to the exercise of options or warrants to be outstanding for the purpose of computing the percentage ownership of an individual or group but do not deem them to be outstanding for the purpose of computing the percentage ownership of any other person shown in the table. We believe that the shareholder named in this table has sole voting and investment power with respect to all ordinary shares shown to be beneficially owned by it.</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67"/>
        <w:gridCol w:w="60"/>
        <w:gridCol w:w="163"/>
        <w:gridCol w:w="3026"/>
        <w:gridCol w:w="60"/>
        <w:gridCol w:w="60"/>
        <w:gridCol w:w="587"/>
        <w:gridCol w:w="2549"/>
        <w:gridCol w:w="233"/>
      </w:tblGrid>
      <w:tr>
        <w:trPr/>
        <w:tc>
          <w:tcPr>
            <w:tcW w:w="346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Ordinary Shares of  Beneficially 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 of Ordinary Shares Beneficially Owned</w:t>
            </w:r>
          </w:p>
        </w:tc>
        <w:tc>
          <w:tcPr>
            <w:tcW w:w="233" w:type="dxa"/>
            <w:tcBorders/>
            <w:vAlign w:val="center"/>
          </w:tcPr>
          <w:p>
            <w:pPr>
              <w:pStyle w:val="TableContents"/>
              <w:bidi w:val="0"/>
              <w:spacing w:before="0" w:after="283"/>
              <w:jc w:val="left"/>
              <w:rPr/>
            </w:pPr>
            <w:r>
              <w:rPr/>
              <w:t> </w:t>
            </w:r>
          </w:p>
        </w:tc>
      </w:tr>
      <w:tr>
        <w:trPr/>
        <w:tc>
          <w:tcPr>
            <w:tcW w:w="3467" w:type="dxa"/>
            <w:tcBorders/>
            <w:shd w:fill="CCEE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5% Stockholders:</w:t>
            </w:r>
            <w:r>
              <w:rPr>
                <w:rFonts w:ascii="Times New Roman;Times;Serif" w:hAnsi="Times New Roman;Times;Serif"/>
                <w:i/>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30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left"/>
              <w:rPr/>
            </w:pPr>
            <w:r>
              <w:rPr/>
              <w:t> </w:t>
            </w:r>
          </w:p>
        </w:tc>
        <w:tc>
          <w:tcPr>
            <w:tcW w:w="2549"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3467" w:type="dxa"/>
            <w:tcBorders/>
            <w:shd w:fill="FFFFFF" w:val="clear"/>
            <w:vAlign w:val="center"/>
          </w:tcPr>
          <w:p>
            <w:pPr>
              <w:pStyle w:val="TableContents"/>
              <w:bidi w:val="0"/>
              <w:spacing w:before="0" w:after="283"/>
              <w:jc w:val="left"/>
              <w:rPr/>
            </w:pPr>
            <w:r>
              <w:rPr/>
              <w:t xml:space="preserve">Perfect Energy Sdn. Bhd </w:t>
            </w:r>
            <w:r>
              <w:rPr>
                <w:position w:val="8"/>
                <w:sz w:val="19"/>
              </w:rPr>
              <w:t>(1)(2)</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3026" w:type="dxa"/>
            <w:tcBorders/>
            <w:shd w:fill="FFFFFF" w:val="clear"/>
            <w:vAlign w:val="center"/>
          </w:tcPr>
          <w:p>
            <w:pPr>
              <w:pStyle w:val="TableContents"/>
              <w:bidi w:val="0"/>
              <w:spacing w:before="0" w:after="283"/>
              <w:jc w:val="right"/>
              <w:rPr/>
            </w:pPr>
            <w:r>
              <w:rPr/>
              <w:t>15,400,000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left"/>
              <w:rPr/>
            </w:pPr>
            <w:r>
              <w:rPr/>
              <w:t> </w:t>
            </w:r>
          </w:p>
        </w:tc>
        <w:tc>
          <w:tcPr>
            <w:tcW w:w="2549" w:type="dxa"/>
            <w:tcBorders/>
            <w:shd w:fill="FFFFFF" w:val="clear"/>
            <w:vAlign w:val="center"/>
          </w:tcPr>
          <w:p>
            <w:pPr>
              <w:pStyle w:val="TableContents"/>
              <w:bidi w:val="0"/>
              <w:spacing w:before="0" w:after="283"/>
              <w:jc w:val="right"/>
              <w:rPr/>
            </w:pPr>
            <w:r>
              <w:rPr/>
              <w:t>55</w:t>
            </w:r>
          </w:p>
        </w:tc>
        <w:tc>
          <w:tcPr>
            <w:tcW w:w="233" w:type="dxa"/>
            <w:tcBorders/>
            <w:shd w:fill="FFFFFF" w:val="clear"/>
            <w:vAlign w:val="center"/>
          </w:tcPr>
          <w:p>
            <w:pPr>
              <w:pStyle w:val="TableContents"/>
              <w:bidi w:val="0"/>
              <w:spacing w:before="0" w:after="283"/>
              <w:jc w:val="left"/>
              <w:rPr/>
            </w:pPr>
            <w:r>
              <w:rPr/>
              <w:t>%</w:t>
            </w:r>
          </w:p>
        </w:tc>
      </w:tr>
      <w:tr>
        <w:trPr/>
        <w:tc>
          <w:tcPr>
            <w:tcW w:w="3467" w:type="dxa"/>
            <w:tcBorders/>
            <w:shd w:fill="CCEEFF" w:val="clear"/>
            <w:vAlign w:val="center"/>
          </w:tcPr>
          <w:p>
            <w:pPr>
              <w:pStyle w:val="TableContents"/>
              <w:bidi w:val="0"/>
              <w:spacing w:before="0" w:after="283"/>
              <w:jc w:val="left"/>
              <w:rPr/>
            </w:pPr>
            <w:r>
              <w:rPr/>
              <w:t>Antbiz Sdn. Bhd</w:t>
            </w:r>
            <w:r>
              <w:rPr>
                <w:position w:val="8"/>
                <w:sz w:val="19"/>
              </w:rPr>
              <w:t>(3)</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3026" w:type="dxa"/>
            <w:tcBorders/>
            <w:shd w:fill="CCEEFF" w:val="clear"/>
            <w:vAlign w:val="center"/>
          </w:tcPr>
          <w:p>
            <w:pPr>
              <w:pStyle w:val="TableContents"/>
              <w:bidi w:val="0"/>
              <w:spacing w:before="0" w:after="283"/>
              <w:jc w:val="right"/>
              <w:rPr/>
            </w:pPr>
            <w:r>
              <w:rPr/>
              <w:t>2,520,000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left"/>
              <w:rPr/>
            </w:pPr>
            <w:r>
              <w:rPr/>
              <w:t> </w:t>
            </w:r>
          </w:p>
        </w:tc>
        <w:tc>
          <w:tcPr>
            <w:tcW w:w="2549" w:type="dxa"/>
            <w:tcBorders/>
            <w:shd w:fill="CCEEFF" w:val="clear"/>
            <w:vAlign w:val="center"/>
          </w:tcPr>
          <w:p>
            <w:pPr>
              <w:pStyle w:val="TableContents"/>
              <w:bidi w:val="0"/>
              <w:spacing w:before="0" w:after="283"/>
              <w:jc w:val="right"/>
              <w:rPr/>
            </w:pPr>
            <w:r>
              <w:rPr/>
              <w:t>9</w:t>
            </w:r>
          </w:p>
        </w:tc>
        <w:tc>
          <w:tcPr>
            <w:tcW w:w="233" w:type="dxa"/>
            <w:tcBorders/>
            <w:shd w:fill="CCEEFF" w:val="clear"/>
            <w:vAlign w:val="center"/>
          </w:tcPr>
          <w:p>
            <w:pPr>
              <w:pStyle w:val="TableContents"/>
              <w:bidi w:val="0"/>
              <w:spacing w:before="0" w:after="283"/>
              <w:jc w:val="left"/>
              <w:rPr/>
            </w:pPr>
            <w:r>
              <w:rPr/>
              <w:t>%</w:t>
            </w:r>
          </w:p>
        </w:tc>
      </w:tr>
      <w:tr>
        <w:trPr/>
        <w:tc>
          <w:tcPr>
            <w:tcW w:w="3467" w:type="dxa"/>
            <w:tcBorders/>
            <w:shd w:fill="FFFFFF" w:val="clear"/>
            <w:vAlign w:val="center"/>
          </w:tcPr>
          <w:p>
            <w:pPr>
              <w:pStyle w:val="TableContents"/>
              <w:bidi w:val="0"/>
              <w:spacing w:before="0" w:after="283"/>
              <w:jc w:val="left"/>
              <w:rPr/>
            </w:pPr>
            <w:r>
              <w:rPr/>
              <w:t>Yap Mun Kie</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3026" w:type="dxa"/>
            <w:tcBorders/>
            <w:shd w:fill="FFFFFF" w:val="clear"/>
            <w:vAlign w:val="center"/>
          </w:tcPr>
          <w:p>
            <w:pPr>
              <w:pStyle w:val="TableContents"/>
              <w:bidi w:val="0"/>
              <w:spacing w:before="0" w:after="283"/>
              <w:jc w:val="right"/>
              <w:rPr/>
            </w:pPr>
            <w:r>
              <w:rPr/>
              <w:t>2,520,000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left"/>
              <w:rPr/>
            </w:pPr>
            <w:r>
              <w:rPr/>
              <w:t> </w:t>
            </w:r>
          </w:p>
        </w:tc>
        <w:tc>
          <w:tcPr>
            <w:tcW w:w="2549" w:type="dxa"/>
            <w:tcBorders/>
            <w:shd w:fill="FFFFFF" w:val="clear"/>
            <w:vAlign w:val="center"/>
          </w:tcPr>
          <w:p>
            <w:pPr>
              <w:pStyle w:val="TableContents"/>
              <w:bidi w:val="0"/>
              <w:spacing w:before="0" w:after="283"/>
              <w:jc w:val="right"/>
              <w:rPr/>
            </w:pPr>
            <w:r>
              <w:rPr/>
              <w:t>9</w:t>
            </w:r>
          </w:p>
        </w:tc>
        <w:tc>
          <w:tcPr>
            <w:tcW w:w="233" w:type="dxa"/>
            <w:tcBorders/>
            <w:shd w:fill="FFFFFF" w:val="clear"/>
            <w:vAlign w:val="center"/>
          </w:tcPr>
          <w:p>
            <w:pPr>
              <w:pStyle w:val="TableContents"/>
              <w:bidi w:val="0"/>
              <w:spacing w:before="0" w:after="283"/>
              <w:jc w:val="left"/>
              <w:rPr/>
            </w:pPr>
            <w:r>
              <w:rPr/>
              <w:t>%</w:t>
            </w:r>
          </w:p>
        </w:tc>
      </w:tr>
      <w:tr>
        <w:trPr/>
        <w:tc>
          <w:tcPr>
            <w:tcW w:w="3467" w:type="dxa"/>
            <w:tcBorders/>
            <w:shd w:fill="CCEEFF" w:val="clear"/>
            <w:vAlign w:val="center"/>
          </w:tcPr>
          <w:p>
            <w:pPr>
              <w:pStyle w:val="TableContents"/>
              <w:bidi w:val="0"/>
              <w:spacing w:before="0" w:after="283"/>
              <w:jc w:val="left"/>
              <w:rPr/>
            </w:pPr>
            <w:r>
              <w:rPr/>
              <w:t>Kua Lik Jang</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3026" w:type="dxa"/>
            <w:tcBorders/>
            <w:shd w:fill="CCEEFF" w:val="clear"/>
            <w:vAlign w:val="center"/>
          </w:tcPr>
          <w:p>
            <w:pPr>
              <w:pStyle w:val="TableContents"/>
              <w:bidi w:val="0"/>
              <w:spacing w:before="0" w:after="283"/>
              <w:jc w:val="right"/>
              <w:rPr/>
            </w:pPr>
            <w:r>
              <w:rPr/>
              <w:t>1,960,000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left"/>
              <w:rPr/>
            </w:pPr>
            <w:r>
              <w:rPr/>
              <w:t> </w:t>
            </w:r>
          </w:p>
        </w:tc>
        <w:tc>
          <w:tcPr>
            <w:tcW w:w="2549" w:type="dxa"/>
            <w:tcBorders/>
            <w:shd w:fill="CCEEFF" w:val="clear"/>
            <w:vAlign w:val="center"/>
          </w:tcPr>
          <w:p>
            <w:pPr>
              <w:pStyle w:val="TableContents"/>
              <w:bidi w:val="0"/>
              <w:spacing w:before="0" w:after="283"/>
              <w:jc w:val="right"/>
              <w:rPr/>
            </w:pPr>
            <w:r>
              <w:rPr/>
              <w:t>7</w:t>
            </w:r>
          </w:p>
        </w:tc>
        <w:tc>
          <w:tcPr>
            <w:tcW w:w="233" w:type="dxa"/>
            <w:tcBorders/>
            <w:shd w:fill="CCEEFF" w:val="clear"/>
            <w:vAlign w:val="center"/>
          </w:tcPr>
          <w:p>
            <w:pPr>
              <w:pStyle w:val="TableContents"/>
              <w:bidi w:val="0"/>
              <w:spacing w:before="0" w:after="283"/>
              <w:jc w:val="left"/>
              <w:rPr/>
            </w:pPr>
            <w:r>
              <w:rPr/>
              <w:t>%</w:t>
            </w:r>
          </w:p>
        </w:tc>
      </w:tr>
      <w:tr>
        <w:trPr/>
        <w:tc>
          <w:tcPr>
            <w:tcW w:w="3467"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Named Executive Officers and Directors:</w:t>
            </w:r>
            <w:r>
              <w:rPr>
                <w:rFonts w:ascii="Times New Roman;Times;Serif" w:hAnsi="Times New Roman;Times;Serif"/>
                <w:i/>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302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left"/>
              <w:rPr/>
            </w:pPr>
            <w:r>
              <w:rPr/>
              <w:t> </w:t>
            </w:r>
          </w:p>
        </w:tc>
        <w:tc>
          <w:tcPr>
            <w:tcW w:w="2549"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r>
      <w:tr>
        <w:trPr/>
        <w:tc>
          <w:tcPr>
            <w:tcW w:w="3467" w:type="dxa"/>
            <w:tcBorders/>
            <w:shd w:fill="CCEEFF" w:val="clear"/>
            <w:vAlign w:val="center"/>
          </w:tcPr>
          <w:p>
            <w:pPr>
              <w:pStyle w:val="TableContents"/>
              <w:bidi w:val="0"/>
              <w:spacing w:before="0" w:after="283"/>
              <w:jc w:val="left"/>
              <w:rPr/>
            </w:pPr>
            <w:r>
              <w:rPr/>
              <w:t>Pun Kah Weng (Director)</w:t>
            </w: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302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left"/>
              <w:rPr/>
            </w:pPr>
            <w:r>
              <w:rPr/>
              <w:t> </w:t>
            </w:r>
          </w:p>
        </w:tc>
        <w:tc>
          <w:tcPr>
            <w:tcW w:w="2549" w:type="dxa"/>
            <w:tcBorders/>
            <w:shd w:fill="CCEEFF" w:val="clear"/>
            <w:vAlign w:val="center"/>
          </w:tcPr>
          <w:p>
            <w:pPr>
              <w:pStyle w:val="TableContents"/>
              <w:bidi w:val="0"/>
              <w:spacing w:before="0" w:after="283"/>
              <w:jc w:val="right"/>
              <w:rPr/>
            </w:pPr>
            <w:r>
              <w:rPr/>
              <w:t>—</w:t>
            </w:r>
          </w:p>
        </w:tc>
        <w:tc>
          <w:tcPr>
            <w:tcW w:w="233" w:type="dxa"/>
            <w:tcBorders/>
            <w:shd w:fill="CCEEFF" w:val="clear"/>
            <w:vAlign w:val="center"/>
          </w:tcPr>
          <w:p>
            <w:pPr>
              <w:pStyle w:val="TableContents"/>
              <w:bidi w:val="0"/>
              <w:spacing w:before="0" w:after="283"/>
              <w:jc w:val="left"/>
              <w:rPr/>
            </w:pPr>
            <w:r>
              <w:rPr/>
              <w:t> </w:t>
            </w:r>
          </w:p>
        </w:tc>
      </w:tr>
      <w:tr>
        <w:trPr/>
        <w:tc>
          <w:tcPr>
            <w:tcW w:w="34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302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left"/>
              <w:rPr/>
            </w:pPr>
            <w:r>
              <w:rPr/>
              <w:t> </w:t>
            </w:r>
          </w:p>
        </w:tc>
        <w:tc>
          <w:tcPr>
            <w:tcW w:w="2549"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r>
      <w:tr>
        <w:trPr/>
        <w:tc>
          <w:tcPr>
            <w:tcW w:w="3467" w:type="dxa"/>
            <w:tcBorders/>
            <w:shd w:fill="CCEEFF" w:val="clear"/>
            <w:vAlign w:val="center"/>
          </w:tcPr>
          <w:p>
            <w:pPr>
              <w:pStyle w:val="TableContents"/>
              <w:bidi w:val="0"/>
              <w:spacing w:before="0" w:after="283"/>
              <w:jc w:val="left"/>
              <w:rPr/>
            </w:pPr>
            <w:r>
              <w:rPr/>
              <w:t>All current directors and executive officers as a group (1 person)</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3026" w:type="dxa"/>
            <w:tcBorders/>
            <w:shd w:fill="CCEEFF" w:val="clear"/>
            <w:vAlign w:val="center"/>
          </w:tcPr>
          <w:p>
            <w:pPr>
              <w:pStyle w:val="TableContents"/>
              <w:bidi w:val="0"/>
              <w:spacing w:before="0" w:after="283"/>
              <w:jc w:val="right"/>
              <w:rPr/>
            </w:pPr>
            <w:r>
              <w:rPr/>
              <w:t>15,400,000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left"/>
              <w:rPr/>
            </w:pPr>
            <w:r>
              <w:rPr/>
              <w:t> </w:t>
            </w:r>
          </w:p>
        </w:tc>
        <w:tc>
          <w:tcPr>
            <w:tcW w:w="2549" w:type="dxa"/>
            <w:tcBorders/>
            <w:shd w:fill="CCEEFF" w:val="clear"/>
            <w:vAlign w:val="center"/>
          </w:tcPr>
          <w:p>
            <w:pPr>
              <w:pStyle w:val="TableContents"/>
              <w:bidi w:val="0"/>
              <w:spacing w:before="0" w:after="283"/>
              <w:jc w:val="right"/>
              <w:rPr/>
            </w:pPr>
            <w:r>
              <w:rPr/>
              <w:t>55</w:t>
            </w:r>
          </w:p>
        </w:tc>
        <w:tc>
          <w:tcPr>
            <w:tcW w:w="233" w:type="dxa"/>
            <w:tcBorders/>
            <w:shd w:fill="CCEEFF" w:val="clear"/>
            <w:vAlign w:val="center"/>
          </w:tcPr>
          <w:p>
            <w:pPr>
              <w:pStyle w:val="TableContents"/>
              <w:bidi w:val="0"/>
              <w:spacing w:before="0" w:after="283"/>
              <w:jc w:val="left"/>
              <w:rPr/>
            </w:pPr>
            <w:r>
              <w:rPr/>
              <w:t>%</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are directly held by Perfect Energy Sdn. Bhd., which is located at NO45G 47G, 49G, Jln Aman Tiara 2, Bandar Tropicana Aman, 42500 Telok Panglima Garang, Selangor, Malaysia.</w:t>
            </w:r>
          </w:p>
        </w:tc>
      </w:tr>
      <w:tr>
        <w:trPr/>
        <w:tc>
          <w:tcPr>
            <w:tcW w:w="23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Pun Kah Weng, a Malaysian, is the sole shareholder of Perfect Energy Sdn Bhd and has the power to vote or direct the vote and power to dispose or to direct the disposition of all securities owned directly by Perfect Energy Sdn Bhd.</w:t>
            </w:r>
          </w:p>
        </w:tc>
      </w:tr>
      <w:tr>
        <w:trPr/>
        <w:tc>
          <w:tcPr>
            <w:tcW w:w="23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Lee Yong Tian, a Malaysian, is the sole shareholder of Antbiz Sdn. Bhd. and has the power to vote or direct the vote and power to dispose or to direct the disposition of all securities owned directly by Antbiz Sdn. Bhd.</w:t>
            </w:r>
          </w:p>
        </w:tc>
      </w:tr>
      <w:tr>
        <w:trPr/>
        <w:tc>
          <w:tcPr>
            <w:tcW w:w="23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address of all shareholders, and officers and directors is c/o Future NRG Sdn. Bhd. located at Lot PT 6127, 3A/1, Jalan Tech Valley, Bandar Sri, Sendayan, Seremban, Negeri Sembilan, Malaysia.</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98" w:name="vb_014"/>
      <w:bookmarkEnd w:id="98"/>
      <w:r>
        <w:rPr>
          <w:rFonts w:ascii="Times New Roman;Times;Serif" w:hAnsi="Times New Roman;Times;Serif"/>
          <w:b/>
          <w:i w:val="false"/>
          <w:caps w:val="false"/>
          <w:smallCaps w:val="false"/>
          <w:sz w:val="20"/>
        </w:rPr>
        <w:t>LEGAL MATTERS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Rimon, P.C., Washington, D.C., will pass upon the validity of the Bio Green Med Solution, Inc. common stock offered by this proxy statement/prospectus. The material U.S. federal income tax consequences of the Transaction will be passed upon by Rimon, P.C. Rohamat &amp; Ling is serving as legal counsel to Selling Shareholders and Future NRG Sdn. Bhd.</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99" w:name="vb_015"/>
      <w:bookmarkEnd w:id="99"/>
      <w:r>
        <w:rPr>
          <w:rFonts w:ascii="Times New Roman;Times;Serif" w:hAnsi="Times New Roman;Times;Serif"/>
          <w:b/>
          <w:i w:val="false"/>
          <w:caps w:val="false"/>
          <w:smallCaps w:val="false"/>
          <w:sz w:val="20"/>
        </w:rPr>
        <w:t>EXPERTS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Bio Green Med Solution, Inc. for the years ended December 31, 2025 and December 31, 2024 included in this Prospectus have been audited by SFAI Malaysia PLT, an independent registered public accounting firm, as stated in their report thereon (which report expresses an unqualified opinion and includes an explanatory paragraph relating to substantial doubt about the Company’s ability to continue as a going concern) and included in this Prospectus and Registration Statement in reliance upon such report and upon the authority of such firm as experts in accounting and auditing.</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Future NRG Sdn. Bhd. as of December 31, 2025 and December 31, 2024, and for the years then ended, included in this proxy statement/prospectus, have been audited by Morison LC, an independent accounting firm, as set forth in their report appearing elsewhere herein. The inclusion of their report is made in reliance upon their authority as experts in accounting and auditing, and Morison LC has consented to such inclusion.</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183</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00" w:name="vb_016"/>
      <w:bookmarkEnd w:id="100"/>
      <w:r>
        <w:rPr>
          <w:rFonts w:ascii="Times New Roman;Times;Serif" w:hAnsi="Times New Roman;Times;Serif"/>
          <w:b/>
          <w:i w:val="false"/>
          <w:caps w:val="false"/>
          <w:smallCaps w:val="false"/>
          <w:sz w:val="20"/>
        </w:rPr>
        <w:t>WHERE YOU CAN FIND MORE INFORMATION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files annual, quarterly and special reports, proxy statements and other information with the SEC. Bio Green Med Solution, Inc.’s SEC filings are also available to the public from commercial document retrieval services and on the website maintained by the SEC at http://www.sec.gov.</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proxy statement/prospectus, Bio Green Med Solution, Inc. has filed a registration statement on Form S-4 to register with the SEC the common stock that Bio Green Med Solution, Inc. will issue to Future NRG Sdn. Bhd. in the Transaction. This proxy statement/prospectus is a part of that registration statement and constitutes a prospectus of Bio Green Med Solution, Inc., as well as a proxy statement of Bio Green Med Solution, Inc. for the special meeting.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has supplied all information contained in this proxy statement/prospectus relating to Bio Green Med Solution, Inc., and Future NRG Sdn. Bhd. has supplied all information contained in this proxy statement/prospectus relating to Future NRG Sdn. Bhd.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would like to request documents from Bio Green Med Solution, Inc. or Future NRG Sdn. Bhd., please send a request in writing or by telephone to either Bio Green Med Solution, Inc. or Future NRG Sdn. Bhd. at the following addresses:</w:t>
      </w:r>
    </w:p>
    <w:p>
      <w:pPr>
        <w:pStyle w:val="TextBody"/>
        <w:bidi w:val="0"/>
        <w:jc w:val="both"/>
        <w:rPr>
          <w:caps w:val="false"/>
          <w:smallCaps w:val="false"/>
        </w:rPr>
      </w:pPr>
      <w:r>
        <w:rPr>
          <w:caps w:val="false"/>
          <w:smallCaps w:val="false"/>
        </w:rPr>
        <w:t> </w:t>
      </w:r>
    </w:p>
    <w:tbl>
      <w:tblPr>
        <w:tblW w:w="7105" w:type="dxa"/>
        <w:jc w:val="left"/>
        <w:tblInd w:w="0" w:type="dxa"/>
        <w:shd w:fill="FFFFFF" w:val="clear"/>
        <w:tblLayout w:type="fixed"/>
        <w:tblCellMar>
          <w:top w:w="0" w:type="dxa"/>
          <w:left w:w="0" w:type="dxa"/>
          <w:bottom w:w="0" w:type="dxa"/>
          <w:right w:w="0" w:type="dxa"/>
        </w:tblCellMar>
      </w:tblPr>
      <w:tblGrid>
        <w:gridCol w:w="3005"/>
        <w:gridCol w:w="60"/>
        <w:gridCol w:w="4040"/>
      </w:tblGrid>
      <w:tr>
        <w:trPr/>
        <w:tc>
          <w:tcPr>
            <w:tcW w:w="3005" w:type="dxa"/>
            <w:tcBorders/>
            <w:shd w:fill="FFFFFF" w:val="cle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10, Tower 11, Avenue 5, No. 8</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Jalan Kerinchi</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59200 Kuala Lumpur, Malaysia</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Corporate Secretary</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(908) 955 0526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40" w:type="dxa"/>
            <w:tcBorders/>
            <w:shd w:fill="FFFFFF" w:val="cle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Lot PT 6127, 3A/1, Jalan Tech Valley, Bandar Sri</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Sendayan, Seremban</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Negeri Sembilan, Malaysia</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Pun Kah Weng, Director</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+(603) 6276 7155</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Bio Green Med Solution, Inc. and would like additional copies, without charge, of this proxy statement/prospectus or if you have questions about the Transaction, including the procedures for voting your shares, you should contact our proxy solicitor:</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Laurel Hill Advisory Group, LLC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1-888-742-1305 (toll free); 1-516-933-3100 (collect)</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BGMS@laurelhill.com</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01" w:name="vb_017"/>
      <w:bookmarkEnd w:id="101"/>
      <w:r>
        <w:rPr>
          <w:rFonts w:ascii="Times New Roman;Times;Serif" w:hAnsi="Times New Roman;Times;Serif"/>
          <w:b/>
          <w:i w:val="false"/>
          <w:caps w:val="false"/>
          <w:smallCaps w:val="false"/>
          <w:sz w:val="20"/>
        </w:rPr>
        <w:t>TRADEMARK NOTICE</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third-party logos and product/trade names are registered trademarks or trade names of their respective companies. “Bio Green Med Solution, Inc.” and “BGMS” are tradenames of Bio Green Med Solution, Inc. BGMS does not own patents or have pending applications, relying on certifications and supplier agreements for competitive positioning. Except as set forth above and solely for convenience, the trademarks and tradenames in this proxy statement/prospectus are referred to without the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symbols, but such references should not be construed as any indicator that their respective owners will not assert, to the fullest extent under applicable law, their rights thereto.</w:t>
      </w:r>
    </w:p>
    <w:p>
      <w:pPr>
        <w:pStyle w:val="TextBody"/>
        <w:bidi w:val="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184</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02" w:name="vb_018"/>
      <w:bookmarkEnd w:id="102"/>
      <w:r>
        <w:rPr>
          <w:rFonts w:ascii="Times New Roman;Times;Serif" w:hAnsi="Times New Roman;Times;Serif"/>
          <w:b/>
          <w:i w:val="false"/>
          <w:caps w:val="false"/>
          <w:smallCaps w:val="false"/>
          <w:sz w:val="20"/>
        </w:rPr>
        <w:t>OTHER MATTERS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16(a) Beneficial Ownership Reporting Compliance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BGMS’ executive officers and directors, and persons who own more than 10% of a registered class of our equity securities, to file reports of ownership and changes of ownership on Forms 3, 4 and 5 with the SEC. Such directors, executive officers and 10% stockholders are required by SEC regulations to furnish BGMS with copies of all Section 16(a) forms they file.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Kua Khai Loon had one late Form 4 filing in 2025, Mr. David Lazar had one late Form 4 filing in 2025, Mr. Ho Jien Shiung had one late Form 3 filing in 2025, Mr. Ho Kee Wee had one late Form 3 filing in 2025, Mr. Tan Kok Hui had one late Form 3 filing in 2025, Ms. Inigo Angel Laurduraj had one late Form 3 filing in 2025, Dr. Satis Waran Nair Krishnan had one late Form 3 filing in 2025 and David Natan had one late Form 4 filing in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above, based solely on our review of the copies of such forms BGMS has received, we believe that all of our officers, directors and greater than 10% stockholders complied with all Section 16(a) filing requirements applicable to them with respect to transactions during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Proposals for Inclusion in Proxy Statement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present proper proposals for inclusion in our proxy statement by submitting their proposals in writing to our corporate secretary in a timely manner. For a stockholder proposal to be considered for inclusion in our proxy statement for our special meeting, our corporate secretary must have received the written proposal at our principal executive offices not later than the close of business (5:30 p.m. Pacific Time) on November 19, 2026. In addition, stockholder proposals must comply with the requirements of Rule 14a-8 under the Exchange Act regarding the inclusion of stockholder proposals in company-sponsored proxy materials. Proposals should be addressed to:</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10, Tower 11, Avenue 5, No. 8</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Jalan Kerinchi, 59200 Kuala Lumpur, Malaysia</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Corporate Secretary</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(908) 955 0526</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Proposals and Director Nominations Not for Inclusion in Proxy Statement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also establish an advance notice procedure for stockholders who wish to present a proposal before an annual meeting of stockholders, but do not intend for the proposal to be included in our proxy statement and for stockholders to nominate directors for election at an annual meeting of stockholders. In order to be properly brought before our 2027 annual meeting of stockholders, if such meeting is held, the stockholder must have given timely notice of such proposal or nomination, in proper written form. To be timely for our 2027 annual meeting of stockholders, if such meeting is held, a stockholder’s notice of a matter that the stockholder wishes to present, or the person or persons the stockholder wishes to nominate as a director, must be delivered to the corporate secretary of BGMS at its principal executive offices not less than 90 days and not more than 120 days prior to the first anniversary of the date of the preceding year’s annual meeting of stockholders. As a result, any written notice given by a stockholder pursuant to these provisions of our bylaws must be received by our corporate secretary at our principal executive offices:</w:t>
      </w:r>
    </w:p>
    <w:p>
      <w:pPr>
        <w:pStyle w:val="TextBody"/>
        <w:bidi w:val="0"/>
        <w:jc w:val="both"/>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75"/>
        <w:gridCol w:w="170"/>
        <w:gridCol w:w="28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earlier than March 2, 2027,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2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later than April 1, 2027.</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we hold our 2027 annual meeting of stockholders more than 30 days before or more than 30 days after the one-year anniversary date of the 2026 annual meeting, then such written notice must be received no later than the close of business on the later of the following two dates:</w:t>
      </w:r>
    </w:p>
    <w:p>
      <w:pPr>
        <w:pStyle w:val="TextBody"/>
        <w:bidi w:val="0"/>
        <w:jc w:val="both"/>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75"/>
        <w:gridCol w:w="170"/>
        <w:gridCol w:w="84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90th day prior to such annual meeting,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10th day following the day on which public announcement of the date of such meeting is first made.</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in proper written form, a stockholder’s notice must include the specified information concerning the proposal or nominee as described in our bylaws. Notices should be addressed to:</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10, Tower 11, Avenue 5, No. 8</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Jalan Kerinchi</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59200 Kuala Lumpur, Malaysia</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Corporate Secretary</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(908) 955 0526</w:t>
      </w:r>
    </w:p>
    <w:p>
      <w:pPr>
        <w:pStyle w:val="TextBody"/>
        <w:bidi w:val="0"/>
        <w:ind w:left="144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185</w:t>
            </w:r>
          </w:p>
        </w:tc>
      </w:tr>
    </w:tbl>
    <w:p>
      <w:pPr>
        <w:pStyle w:val="TextBody"/>
        <w:bidi w:val="0"/>
        <w:spacing w:before="0" w:after="0"/>
        <w:ind w:left="0" w:right="0" w:hanging="0"/>
        <w:jc w:val="left"/>
        <w:rPr/>
      </w:pPr>
      <w:r>
        <w:rPr/>
        <w:t> </w:t>
      </w:r>
    </w:p>
    <w:p>
      <w:pPr>
        <w:pStyle w:val="TextBody"/>
        <w:bidi w:val="0"/>
        <w:ind w:left="144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Communications with the Board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cases where stockholders or other interested parties wish to communicate directly with BGMS’s non-management directors, messages can be sent to BGMS, Inc., Attention: Secretary, Level 10, Tower 11, Avenue 5, No. 8, Jalan Kerinchi, 59200 Kuala Lumpur, Malaysia.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BGMS’s secretary monitors these communications and will provide a summary of all received messages to the BGMS board of directors at each regularly scheduled meeting of the board. BGMS’s board of directors generally meets on a quarterly basis. Where the nature of a communication warrants it, BGMS’s secretary may determine, in his or her judgment, to obtain the more immediate attention of the appropriate committee of the board of directors or non-management director, of independent advisors or of our management, as BGMS’s secretary considers appropriate.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BGMS’s secretary may decide in the exercise of his or her judgment whether a response to any stockholder or interested party communication is necessary.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procedure for stockholder and other interested party communications with the non-management directors is administered by our nominating and governance committee. This procedure does not apply to (a) communications to non-management directors from our officers or directors who are stockholders or (b) stockholder proposals submitted pursuant to Rule 14a-8 under the Exchange Act.</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186</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03" w:name="vb_019"/>
      <w:bookmarkEnd w:id="103"/>
      <w:r>
        <w:rPr>
          <w:rFonts w:ascii="Times New Roman;Times;Serif" w:hAnsi="Times New Roman;Times;Serif"/>
          <w:b/>
          <w:i w:val="false"/>
          <w:caps w:val="false"/>
          <w:smallCaps w:val="false"/>
          <w:sz w:val="20"/>
        </w:rPr>
        <w:t>INDEX TO CONSOLIDATED FINANCIAL STATEMENTS OF BGMS</w:t>
      </w:r>
    </w:p>
    <w:p>
      <w:pPr>
        <w:pStyle w:val="TextBody"/>
        <w:bidi w:val="0"/>
        <w:jc w:val="left"/>
        <w:rPr>
          <w:caps w:val="false"/>
          <w:smallCaps w:val="false"/>
        </w:rPr>
      </w:pPr>
      <w:r>
        <w:rPr>
          <w:caps w:val="false"/>
          <w:smallCaps w:val="false"/>
        </w:rPr>
        <w:t> </w:t>
      </w:r>
    </w:p>
    <w:tbl>
      <w:tblPr>
        <w:tblW w:w="8380" w:type="dxa"/>
        <w:jc w:val="left"/>
        <w:tblInd w:w="0" w:type="dxa"/>
        <w:tblLayout w:type="fixed"/>
        <w:tblCellMar>
          <w:top w:w="0" w:type="dxa"/>
          <w:left w:w="0" w:type="dxa"/>
          <w:bottom w:w="0" w:type="dxa"/>
          <w:right w:w="0" w:type="dxa"/>
        </w:tblCellMar>
      </w:tblPr>
      <w:tblGrid>
        <w:gridCol w:w="8015"/>
        <w:gridCol w:w="60"/>
        <w:gridCol w:w="305"/>
      </w:tblGrid>
      <w:tr>
        <w:trPr/>
        <w:tc>
          <w:tcPr>
            <w:tcW w:w="80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Financial Statements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8015" w:type="dxa"/>
            <w:tcBorders/>
            <w:shd w:fill="FFFFFF" w:val="clear"/>
            <w:vAlign w:val="center"/>
          </w:tcPr>
          <w:p>
            <w:pPr>
              <w:pStyle w:val="TableContents"/>
              <w:bidi w:val="0"/>
              <w:spacing w:before="0" w:after="283"/>
              <w:jc w:val="left"/>
              <w:rPr/>
            </w:pPr>
            <w:hyperlink w:anchor="sp_001">
              <w:r>
                <w:rPr>
                  <w:rStyle w:val="InternetLink"/>
                  <w:rFonts w:ascii="Times New Roman;Times;Serif" w:hAnsi="Times New Roman;Times;Serif"/>
                  <w:b w:val="false"/>
                  <w:i w:val="false"/>
                  <w:caps w:val="false"/>
                  <w:smallCaps w:val="false"/>
                  <w:sz w:val="20"/>
                </w:rPr>
                <w:t>Report of Independent Registered Public Accounting Firm (PCAOB ID: 7167)</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8015" w:type="dxa"/>
            <w:tcBorders/>
            <w:shd w:fill="CCEEFF" w:val="clear"/>
            <w:vAlign w:val="center"/>
          </w:tcPr>
          <w:p>
            <w:pPr>
              <w:pStyle w:val="TableContents"/>
              <w:bidi w:val="0"/>
              <w:spacing w:before="0" w:after="283"/>
              <w:jc w:val="left"/>
              <w:rPr/>
            </w:pPr>
            <w:hyperlink w:anchor="sp_002">
              <w:r>
                <w:rPr>
                  <w:rStyle w:val="InternetLink"/>
                  <w:rFonts w:ascii="Times New Roman;Times;Serif" w:hAnsi="Times New Roman;Times;Serif"/>
                  <w:b w:val="false"/>
                  <w:i w:val="false"/>
                  <w:caps w:val="false"/>
                  <w:smallCaps w:val="false"/>
                  <w:sz w:val="20"/>
                </w:rPr>
                <w:t>Consolidated Balance Sheets as of December 31, 2025 and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8015" w:type="dxa"/>
            <w:tcBorders/>
            <w:shd w:fill="FFFFFF" w:val="clear"/>
            <w:vAlign w:val="center"/>
          </w:tcPr>
          <w:p>
            <w:pPr>
              <w:pStyle w:val="TableContents"/>
              <w:bidi w:val="0"/>
              <w:spacing w:before="0" w:after="283"/>
              <w:jc w:val="left"/>
              <w:rPr/>
            </w:pPr>
            <w:hyperlink w:anchor="sp_003">
              <w:r>
                <w:rPr>
                  <w:rStyle w:val="InternetLink"/>
                  <w:rFonts w:ascii="Times New Roman;Times;Serif" w:hAnsi="Times New Roman;Times;Serif"/>
                  <w:b w:val="false"/>
                  <w:i w:val="false"/>
                  <w:caps w:val="false"/>
                  <w:smallCaps w:val="false"/>
                  <w:sz w:val="20"/>
                </w:rPr>
                <w:t>Consolidated Statements of Operations (Loss) for the years ended December 31, 2025 and 2024</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8015" w:type="dxa"/>
            <w:tcBorders/>
            <w:shd w:fill="CCEEFF" w:val="clear"/>
            <w:vAlign w:val="center"/>
          </w:tcPr>
          <w:p>
            <w:pPr>
              <w:pStyle w:val="TableContents"/>
              <w:bidi w:val="0"/>
              <w:spacing w:before="0" w:after="283"/>
              <w:jc w:val="left"/>
              <w:rPr/>
            </w:pPr>
            <w:hyperlink w:anchor="sp_004">
              <w:r>
                <w:rPr>
                  <w:rStyle w:val="InternetLink"/>
                  <w:rFonts w:ascii="Times New Roman;Times;Serif" w:hAnsi="Times New Roman;Times;Serif"/>
                  <w:b w:val="false"/>
                  <w:i w:val="false"/>
                  <w:caps w:val="false"/>
                  <w:smallCaps w:val="false"/>
                  <w:sz w:val="20"/>
                </w:rPr>
                <w:t>Consolidated Statements of Comprehensive Loss for the years ended December 31, 2025 and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8015" w:type="dxa"/>
            <w:tcBorders/>
            <w:shd w:fill="FFFFFF" w:val="clear"/>
            <w:vAlign w:val="center"/>
          </w:tcPr>
          <w:p>
            <w:pPr>
              <w:pStyle w:val="TableContents"/>
              <w:bidi w:val="0"/>
              <w:spacing w:before="0" w:after="283"/>
              <w:jc w:val="left"/>
              <w:rPr/>
            </w:pPr>
            <w:hyperlink w:anchor="sp_005">
              <w:r>
                <w:rPr>
                  <w:rStyle w:val="InternetLink"/>
                  <w:rFonts w:ascii="Times New Roman;Times;Serif" w:hAnsi="Times New Roman;Times;Serif"/>
                  <w:b w:val="false"/>
                  <w:i w:val="false"/>
                  <w:caps w:val="false"/>
                  <w:smallCaps w:val="false"/>
                  <w:sz w:val="20"/>
                </w:rPr>
                <w:t>Consolidated Statements of Stockholders’ Equity</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8015" w:type="dxa"/>
            <w:tcBorders/>
            <w:shd w:fill="CCEEFF" w:val="clear"/>
            <w:vAlign w:val="center"/>
          </w:tcPr>
          <w:p>
            <w:pPr>
              <w:pStyle w:val="TableContents"/>
              <w:bidi w:val="0"/>
              <w:spacing w:before="0" w:after="283"/>
              <w:jc w:val="left"/>
              <w:rPr/>
            </w:pPr>
            <w:hyperlink w:anchor="sp_006">
              <w:r>
                <w:rPr>
                  <w:rStyle w:val="InternetLink"/>
                  <w:rFonts w:ascii="Times New Roman;Times;Serif" w:hAnsi="Times New Roman;Times;Serif"/>
                  <w:b w:val="false"/>
                  <w:i w:val="false"/>
                  <w:caps w:val="false"/>
                  <w:smallCaps w:val="false"/>
                  <w:sz w:val="20"/>
                </w:rPr>
                <w:t>Consolidated Statements of Cash Flows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r>
        <w:trPr/>
        <w:tc>
          <w:tcPr>
            <w:tcW w:w="8015" w:type="dxa"/>
            <w:tcBorders/>
            <w:shd w:fill="FFFFFF" w:val="clear"/>
            <w:vAlign w:val="center"/>
          </w:tcPr>
          <w:p>
            <w:pPr>
              <w:pStyle w:val="TableContents"/>
              <w:bidi w:val="0"/>
              <w:spacing w:before="0" w:after="283"/>
              <w:jc w:val="left"/>
              <w:rPr/>
            </w:pPr>
            <w:hyperlink w:anchor="sp_007">
              <w:r>
                <w:rPr>
                  <w:rStyle w:val="InternetLink"/>
                  <w:rFonts w:ascii="Times New Roman;Times;Serif" w:hAnsi="Times New Roman;Times;Serif"/>
                  <w:b w:val="false"/>
                  <w:i w:val="false"/>
                  <w:caps w:val="false"/>
                  <w:smallCaps w:val="false"/>
                  <w:sz w:val="20"/>
                </w:rPr>
                <w:t>Notes to Consolidated Financial Statements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F-8</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9770"/>
        <w:gridCol w:w="60"/>
        <w:gridCol w:w="375"/>
      </w:tblGrid>
      <w:tr>
        <w:trPr/>
        <w:tc>
          <w:tcPr>
            <w:tcW w:w="97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Interim Condensed Consolidated Financial Statements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70" w:type="dxa"/>
            <w:tcBorders/>
            <w:shd w:fill="CCEEFF" w:val="clear"/>
            <w:vAlign w:val="center"/>
          </w:tcPr>
          <w:p>
            <w:pPr>
              <w:pStyle w:val="TableContents"/>
              <w:bidi w:val="0"/>
              <w:spacing w:before="0" w:after="283"/>
              <w:jc w:val="left"/>
              <w:rPr/>
            </w:pPr>
            <w:hyperlink w:anchor="ns_003">
              <w:r>
                <w:rPr>
                  <w:rStyle w:val="InternetLink"/>
                  <w:rFonts w:ascii="Times New Roman;Times;Serif" w:hAnsi="Times New Roman;Times;Serif"/>
                  <w:b w:val="false"/>
                  <w:i w:val="false"/>
                  <w:caps w:val="false"/>
                  <w:smallCaps w:val="false"/>
                  <w:sz w:val="20"/>
                </w:rPr>
                <w:t>Balance Sheets as of June 30, 2026 and December 31, 2025</w:t>
              </w:r>
            </w:hyperlink>
          </w:p>
        </w:tc>
        <w:tc>
          <w:tcPr>
            <w:tcW w:w="6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F-33</w:t>
            </w:r>
          </w:p>
        </w:tc>
      </w:tr>
      <w:tr>
        <w:trPr/>
        <w:tc>
          <w:tcPr>
            <w:tcW w:w="9770" w:type="dxa"/>
            <w:tcBorders/>
            <w:shd w:fill="FFFFFF" w:val="clear"/>
            <w:vAlign w:val="center"/>
          </w:tcPr>
          <w:p>
            <w:pPr>
              <w:pStyle w:val="TableContents"/>
              <w:bidi w:val="0"/>
              <w:spacing w:before="0" w:after="283"/>
              <w:jc w:val="left"/>
              <w:rPr/>
            </w:pPr>
            <w:hyperlink w:anchor="ns_004">
              <w:r>
                <w:rPr>
                  <w:rStyle w:val="InternetLink"/>
                  <w:rFonts w:ascii="Times New Roman;Times;Serif" w:hAnsi="Times New Roman;Times;Serif"/>
                  <w:b w:val="false"/>
                  <w:i w:val="false"/>
                  <w:caps w:val="false"/>
                  <w:smallCaps w:val="false"/>
                  <w:sz w:val="20"/>
                </w:rPr>
                <w:t>Statements of Operations for the six months ended June 30, 2026 and the six months ended June 30, 2025 (unaudited)</w:t>
              </w:r>
            </w:hyperlink>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F-34</w:t>
            </w:r>
          </w:p>
        </w:tc>
      </w:tr>
      <w:tr>
        <w:trPr/>
        <w:tc>
          <w:tcPr>
            <w:tcW w:w="9770" w:type="dxa"/>
            <w:tcBorders/>
            <w:shd w:fill="CCEEFF" w:val="clear"/>
            <w:vAlign w:val="center"/>
          </w:tcPr>
          <w:p>
            <w:pPr>
              <w:pStyle w:val="TableContents"/>
              <w:bidi w:val="0"/>
              <w:spacing w:before="0" w:after="283"/>
              <w:jc w:val="left"/>
              <w:rPr/>
            </w:pPr>
            <w:hyperlink w:anchor="ns_005">
              <w:r>
                <w:rPr>
                  <w:rStyle w:val="InternetLink"/>
                  <w:rFonts w:ascii="Times New Roman;Times;Serif" w:hAnsi="Times New Roman;Times;Serif"/>
                  <w:b w:val="false"/>
                  <w:i w:val="false"/>
                  <w:caps w:val="false"/>
                  <w:smallCaps w:val="false"/>
                  <w:sz w:val="20"/>
                </w:rPr>
                <w:t>Consolidated Statements of Comprehensive Loss</w:t>
              </w:r>
            </w:hyperlink>
          </w:p>
        </w:tc>
        <w:tc>
          <w:tcPr>
            <w:tcW w:w="6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F-35</w:t>
            </w:r>
          </w:p>
        </w:tc>
      </w:tr>
      <w:tr>
        <w:trPr/>
        <w:tc>
          <w:tcPr>
            <w:tcW w:w="9770" w:type="dxa"/>
            <w:tcBorders/>
            <w:shd w:fill="FFFFFF" w:val="clear"/>
            <w:vAlign w:val="center"/>
          </w:tcPr>
          <w:p>
            <w:pPr>
              <w:pStyle w:val="TableContents"/>
              <w:bidi w:val="0"/>
              <w:spacing w:before="0" w:after="283"/>
              <w:jc w:val="left"/>
              <w:rPr/>
            </w:pPr>
            <w:hyperlink w:anchor="ns_006">
              <w:r>
                <w:rPr>
                  <w:rStyle w:val="InternetLink"/>
                  <w:rFonts w:ascii="Times New Roman;Times;Serif" w:hAnsi="Times New Roman;Times;Serif"/>
                  <w:b w:val="false"/>
                  <w:i w:val="false"/>
                  <w:caps w:val="false"/>
                  <w:smallCaps w:val="false"/>
                  <w:sz w:val="20"/>
                </w:rPr>
                <w:t>Statements of Changes in Stockholders’ Equity (Deficit) for the six months ended June 30, 2026 and the six months ended June 30, 2025 (unaudited)</w:t>
              </w:r>
            </w:hyperlink>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F-36</w:t>
            </w:r>
          </w:p>
        </w:tc>
      </w:tr>
      <w:tr>
        <w:trPr/>
        <w:tc>
          <w:tcPr>
            <w:tcW w:w="9770" w:type="dxa"/>
            <w:tcBorders/>
            <w:shd w:fill="CCEEFF" w:val="clear"/>
            <w:vAlign w:val="center"/>
          </w:tcPr>
          <w:p>
            <w:pPr>
              <w:pStyle w:val="TableContents"/>
              <w:bidi w:val="0"/>
              <w:spacing w:before="0" w:after="283"/>
              <w:jc w:val="left"/>
              <w:rPr/>
            </w:pPr>
            <w:hyperlink w:anchor="ns_007">
              <w:r>
                <w:rPr>
                  <w:rStyle w:val="InternetLink"/>
                  <w:rFonts w:ascii="Times New Roman;Times;Serif" w:hAnsi="Times New Roman;Times;Serif"/>
                  <w:b w:val="false"/>
                  <w:i w:val="false"/>
                  <w:caps w:val="false"/>
                  <w:smallCaps w:val="false"/>
                  <w:sz w:val="20"/>
                </w:rPr>
                <w:t>Statements of Cash Flows for the six months ended June 30, 2026 and the six months ended June 30, 2025 (unaudited)</w:t>
              </w:r>
            </w:hyperlink>
          </w:p>
        </w:tc>
        <w:tc>
          <w:tcPr>
            <w:tcW w:w="6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F-37</w:t>
            </w:r>
          </w:p>
        </w:tc>
      </w:tr>
      <w:tr>
        <w:trPr/>
        <w:tc>
          <w:tcPr>
            <w:tcW w:w="9770" w:type="dxa"/>
            <w:tcBorders/>
            <w:shd w:fill="FFFFFF" w:val="clear"/>
            <w:vAlign w:val="center"/>
          </w:tcPr>
          <w:p>
            <w:pPr>
              <w:pStyle w:val="TableContents"/>
              <w:bidi w:val="0"/>
              <w:spacing w:before="0" w:after="283"/>
              <w:jc w:val="left"/>
              <w:rPr/>
            </w:pPr>
            <w:hyperlink w:anchor="ns_008">
              <w:r>
                <w:rPr>
                  <w:rStyle w:val="InternetLink"/>
                  <w:rFonts w:ascii="Times New Roman;Times;Serif" w:hAnsi="Times New Roman;Times;Serif"/>
                  <w:b w:val="false"/>
                  <w:i w:val="false"/>
                  <w:caps w:val="false"/>
                  <w:smallCaps w:val="false"/>
                  <w:sz w:val="20"/>
                </w:rPr>
                <w:t>Notes to Financial Statements (Unaudited)</w:t>
              </w:r>
            </w:hyperlink>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F-38</w:t>
            </w:r>
          </w:p>
        </w:tc>
      </w:tr>
    </w:tbl>
    <w:p>
      <w:pPr>
        <w:pStyle w:val="TextBody"/>
        <w:bidi w:val="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4" w:name="sp_001"/>
      <w:bookmarkEnd w:id="104"/>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the Stockholders of Bio Green Med Solution, Inc. (Formerly known as Cyclacel Pharmaceuticals,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Opinion on the Consolidated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Bio Green Med Solution, Inc. (Formerly known as Cyclacel Pharmaceuticals, Inc.) and its subsidiary (collectively, the “Company”) as of December 31, 2025 and 2024, and the related consolidated statements of operations (loss) and other comprehensive loss, stockholders’ equity and cash flows for each of the years ended December 31, 2025 and 2024,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years ended December 31, 2025 and 2024,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1 to the financial statements, the Company does not currently have sufficient funds to extend operations and has a limited cash balance as of December 31, 2025 and 2024. This raises substantial doubt about the Company’s ability to continue as a going concern. Management’s plans in regard to these matters are also described in Note 1. The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Basis for Opinion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United States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tbl>
      <w:tblPr>
        <w:tblW w:w="1940" w:type="dxa"/>
        <w:jc w:val="left"/>
        <w:tblInd w:w="0" w:type="dxa"/>
        <w:tblLayout w:type="fixed"/>
        <w:tblCellMar>
          <w:top w:w="0" w:type="dxa"/>
          <w:left w:w="0" w:type="dxa"/>
          <w:bottom w:w="0" w:type="dxa"/>
          <w:right w:w="0" w:type="dxa"/>
        </w:tblCellMar>
      </w:tblPr>
      <w:tblGrid>
        <w:gridCol w:w="1865"/>
        <w:gridCol w:w="75"/>
      </w:tblGrid>
      <w:tr>
        <w:trPr/>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SFAI Malaysia PLT</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Number 7167</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0" w:after="0"/>
        <w:ind w:left="0" w:right="0" w:hanging="0"/>
        <w:jc w:val="left"/>
        <w:rPr/>
      </w:pPr>
      <w:r>
        <w:rPr/>
        <w:t> </w:t>
      </w:r>
    </w:p>
    <w:p>
      <w:pPr>
        <w:pStyle w:val="TextBody"/>
        <w:bidi w:val="0"/>
        <w:spacing w:before="0" w:after="0"/>
        <w:ind w:left="3600" w:right="0" w:hanging="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5" w:name="sp_002"/>
      <w:bookmarkEnd w:id="105"/>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47"/>
        <w:gridCol w:w="60"/>
        <w:gridCol w:w="153"/>
        <w:gridCol w:w="962"/>
        <w:gridCol w:w="95"/>
        <w:gridCol w:w="60"/>
        <w:gridCol w:w="153"/>
        <w:gridCol w:w="962"/>
        <w:gridCol w:w="113"/>
      </w:tblGrid>
      <w:tr>
        <w:trPr/>
        <w:tc>
          <w:tcPr>
            <w:tcW w:w="76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December 31,</w:t>
            </w:r>
          </w:p>
        </w:tc>
        <w:tc>
          <w:tcPr>
            <w:tcW w:w="113" w:type="dxa"/>
            <w:tcBorders/>
            <w:vAlign w:val="center"/>
          </w:tcPr>
          <w:p>
            <w:pPr>
              <w:pStyle w:val="TableContents"/>
              <w:bidi w:val="0"/>
              <w:spacing w:before="0" w:after="283"/>
              <w:jc w:val="left"/>
              <w:rPr/>
            </w:pPr>
            <w:r>
              <w:rPr/>
              <w:t> </w:t>
            </w:r>
          </w:p>
        </w:tc>
      </w:tr>
      <w:tr>
        <w:trPr/>
        <w:tc>
          <w:tcPr>
            <w:tcW w:w="764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3" w:type="dxa"/>
            <w:tcBorders/>
            <w:vAlign w:val="center"/>
          </w:tcPr>
          <w:p>
            <w:pPr>
              <w:pStyle w:val="TableContents"/>
              <w:bidi w:val="0"/>
              <w:spacing w:before="0" w:after="283"/>
              <w:jc w:val="left"/>
              <w:rPr/>
            </w:pPr>
            <w:r>
              <w:rPr/>
              <w:t> </w:t>
            </w:r>
          </w:p>
        </w:tc>
      </w:tr>
      <w:tr>
        <w:trPr/>
        <w:tc>
          <w:tcPr>
            <w:tcW w:w="7647"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647"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647"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3,505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3,137</w:t>
            </w:r>
          </w:p>
        </w:tc>
        <w:tc>
          <w:tcPr>
            <w:tcW w:w="113" w:type="dxa"/>
            <w:tcBorders/>
            <w:shd w:fill="CCEEFF" w:val="clear"/>
            <w:vAlign w:val="center"/>
          </w:tcPr>
          <w:p>
            <w:pPr>
              <w:pStyle w:val="TableContents"/>
              <w:bidi w:val="0"/>
              <w:spacing w:before="0" w:after="283"/>
              <w:jc w:val="left"/>
              <w:rPr/>
            </w:pPr>
            <w:r>
              <w:rPr/>
              <w:t> </w:t>
            </w:r>
          </w:p>
        </w:tc>
      </w:tr>
      <w:tr>
        <w:trPr/>
        <w:tc>
          <w:tcPr>
            <w:tcW w:w="7647"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1,257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647"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1,384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647"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110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537</w:t>
            </w:r>
          </w:p>
        </w:tc>
        <w:tc>
          <w:tcPr>
            <w:tcW w:w="113" w:type="dxa"/>
            <w:tcBorders/>
            <w:shd w:fill="FFFFFF" w:val="clear"/>
            <w:vAlign w:val="center"/>
          </w:tcPr>
          <w:p>
            <w:pPr>
              <w:pStyle w:val="TableContents"/>
              <w:bidi w:val="0"/>
              <w:spacing w:before="0" w:after="283"/>
              <w:jc w:val="left"/>
              <w:rPr/>
            </w:pPr>
            <w:r>
              <w:rPr/>
              <w:t> </w:t>
            </w:r>
          </w:p>
        </w:tc>
      </w:tr>
      <w:tr>
        <w:trPr/>
        <w:tc>
          <w:tcPr>
            <w:tcW w:w="7647" w:type="dxa"/>
            <w:tcBorders/>
            <w:shd w:fill="FFFFFF" w:val="clear"/>
            <w:vAlign w:val="center"/>
          </w:tcPr>
          <w:p>
            <w:pPr>
              <w:pStyle w:val="TableContents"/>
              <w:bidi w:val="0"/>
              <w:spacing w:before="0" w:after="283"/>
              <w:jc w:val="left"/>
              <w:rPr/>
            </w:pPr>
            <w:r>
              <w:rPr/>
              <w:t>Income taxes receivable</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3" w:type="dxa"/>
            <w:tcBorders/>
            <w:shd w:fill="FFFFFF" w:val="clear"/>
            <w:vAlign w:val="center"/>
          </w:tcPr>
          <w:p>
            <w:pPr>
              <w:pStyle w:val="TableContents"/>
              <w:bidi w:val="0"/>
              <w:spacing w:before="0" w:after="283"/>
              <w:jc w:val="left"/>
              <w:rPr/>
            </w:pPr>
            <w:r>
              <w:rPr/>
              <w:t> </w:t>
            </w:r>
          </w:p>
        </w:tc>
      </w:tr>
      <w:tr>
        <w:trPr/>
        <w:tc>
          <w:tcPr>
            <w:tcW w:w="7647"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647"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6,256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3,674</w:t>
            </w:r>
          </w:p>
        </w:tc>
        <w:tc>
          <w:tcPr>
            <w:tcW w:w="113" w:type="dxa"/>
            <w:tcBorders/>
            <w:shd w:fill="CCEEFF" w:val="clear"/>
            <w:vAlign w:val="center"/>
          </w:tcPr>
          <w:p>
            <w:pPr>
              <w:pStyle w:val="TableContents"/>
              <w:bidi w:val="0"/>
              <w:spacing w:before="0" w:after="283"/>
              <w:jc w:val="left"/>
              <w:rPr/>
            </w:pPr>
            <w:r>
              <w:rPr/>
              <w:t> </w:t>
            </w:r>
          </w:p>
        </w:tc>
      </w:tr>
      <w:tr>
        <w:trPr/>
        <w:tc>
          <w:tcPr>
            <w:tcW w:w="7647" w:type="dxa"/>
            <w:tcBorders/>
            <w:shd w:fill="FFFFFF" w:val="clear"/>
            <w:vAlign w:val="center"/>
          </w:tcPr>
          <w:p>
            <w:pPr>
              <w:pStyle w:val="TableContents"/>
              <w:bidi w:val="0"/>
              <w:spacing w:before="0" w:after="283"/>
              <w:jc w:val="left"/>
              <w:rPr/>
            </w:pPr>
            <w:r>
              <w:rPr/>
              <w:t>Non-current assets: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647"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3</w:t>
            </w:r>
          </w:p>
        </w:tc>
        <w:tc>
          <w:tcPr>
            <w:tcW w:w="113" w:type="dxa"/>
            <w:tcBorders/>
            <w:shd w:fill="FFFFFF" w:val="clear"/>
            <w:vAlign w:val="center"/>
          </w:tcPr>
          <w:p>
            <w:pPr>
              <w:pStyle w:val="TableContents"/>
              <w:bidi w:val="0"/>
              <w:spacing w:before="0" w:after="283"/>
              <w:jc w:val="left"/>
              <w:rPr/>
            </w:pPr>
            <w:r>
              <w:rPr/>
              <w:t> </w:t>
            </w:r>
          </w:p>
        </w:tc>
      </w:tr>
      <w:tr>
        <w:trPr/>
        <w:tc>
          <w:tcPr>
            <w:tcW w:w="7647" w:type="dxa"/>
            <w:tcBorders/>
            <w:shd w:fill="CCEEFF" w:val="clear"/>
            <w:vAlign w:val="center"/>
          </w:tcPr>
          <w:p>
            <w:pPr>
              <w:pStyle w:val="TableContents"/>
              <w:bidi w:val="0"/>
              <w:spacing w:before="0" w:after="283"/>
              <w:jc w:val="left"/>
              <w:rPr/>
            </w:pPr>
            <w:r>
              <w:rPr/>
              <w:t>Right-of-use lease asset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5</w:t>
            </w:r>
          </w:p>
        </w:tc>
        <w:tc>
          <w:tcPr>
            <w:tcW w:w="113" w:type="dxa"/>
            <w:tcBorders/>
            <w:shd w:fill="CCEEFF" w:val="clear"/>
            <w:vAlign w:val="center"/>
          </w:tcPr>
          <w:p>
            <w:pPr>
              <w:pStyle w:val="TableContents"/>
              <w:bidi w:val="0"/>
              <w:spacing w:before="0" w:after="283"/>
              <w:jc w:val="left"/>
              <w:rPr/>
            </w:pPr>
            <w:r>
              <w:rPr/>
              <w:t> </w:t>
            </w:r>
          </w:p>
        </w:tc>
      </w:tr>
      <w:tr>
        <w:trPr/>
        <w:tc>
          <w:tcPr>
            <w:tcW w:w="7647"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1,570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647" w:type="dxa"/>
            <w:tcBorders/>
            <w:shd w:fill="CCEEFF" w:val="clear"/>
            <w:vAlign w:val="center"/>
          </w:tcPr>
          <w:p>
            <w:pPr>
              <w:pStyle w:val="TableContents"/>
              <w:bidi w:val="0"/>
              <w:spacing w:before="0" w:after="283"/>
              <w:jc w:val="left"/>
              <w:rPr/>
            </w:pPr>
            <w:r>
              <w:rPr/>
              <w:t>Non-current assets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right"/>
              <w:rPr/>
            </w:pPr>
            <w:r>
              <w:rPr/>
              <w:t>210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right"/>
              <w:rPr/>
            </w:pPr>
            <w:r>
              <w:rPr/>
              <w:t>412</w:t>
            </w:r>
          </w:p>
        </w:tc>
        <w:tc>
          <w:tcPr>
            <w:tcW w:w="113" w:type="dxa"/>
            <w:tcBorders/>
            <w:shd w:fill="CCEEFF" w:val="clear"/>
            <w:vAlign w:val="center"/>
          </w:tcPr>
          <w:p>
            <w:pPr>
              <w:pStyle w:val="TableContents"/>
              <w:bidi w:val="0"/>
              <w:spacing w:before="0" w:after="283"/>
              <w:jc w:val="left"/>
              <w:rPr/>
            </w:pPr>
            <w:r>
              <w:rPr/>
              <w:t> </w:t>
            </w:r>
          </w:p>
        </w:tc>
      </w:tr>
      <w:tr>
        <w:trPr/>
        <w:tc>
          <w:tcPr>
            <w:tcW w:w="7647" w:type="dxa"/>
            <w:tcBorders/>
            <w:shd w:fill="CCEEFF" w:val="clear"/>
            <w:vAlign w:val="center"/>
          </w:tcPr>
          <w:p>
            <w:pPr>
              <w:pStyle w:val="TableContents"/>
              <w:bidi w:val="0"/>
              <w:spacing w:before="0" w:after="283"/>
              <w:jc w:val="left"/>
              <w:rPr/>
            </w:pPr>
            <w:r>
              <w:rPr/>
              <w:t>Investment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pPr>
            <w:r>
              <w:rPr/>
              <w:t> </w:t>
            </w:r>
          </w:p>
        </w:tc>
      </w:tr>
      <w:tr>
        <w:trPr/>
        <w:tc>
          <w:tcPr>
            <w:tcW w:w="7647" w:type="dxa"/>
            <w:tcBorders/>
            <w:shd w:fill="CCEEFF" w:val="clear"/>
            <w:vAlign w:val="center"/>
          </w:tcPr>
          <w:p>
            <w:pPr>
              <w:pStyle w:val="TableContents"/>
              <w:bidi w:val="0"/>
              <w:spacing w:before="0" w:after="283"/>
              <w:jc w:val="left"/>
              <w:rPr/>
            </w:pPr>
            <w:r>
              <w:rPr/>
              <w:t>Total non-current assets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pPr>
            <w:r>
              <w:rPr/>
              <w:t> </w:t>
            </w:r>
          </w:p>
        </w:tc>
      </w:tr>
      <w:tr>
        <w:trPr/>
        <w:tc>
          <w:tcPr>
            <w:tcW w:w="7647" w:type="dxa"/>
            <w:tcBorders/>
            <w:shd w:fill="CCEEFF" w:val="clear"/>
            <w:vAlign w:val="center"/>
          </w:tcPr>
          <w:p>
            <w:pPr>
              <w:pStyle w:val="TableContents"/>
              <w:bidi w:val="0"/>
              <w:spacing w:before="0" w:after="283"/>
              <w:jc w:val="left"/>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647" w:type="dxa"/>
            <w:tcBorders/>
            <w:shd w:fill="CCEEFF" w:val="clear"/>
            <w:vAlign w:val="center"/>
          </w:tcPr>
          <w:p>
            <w:pPr>
              <w:pStyle w:val="TableContents"/>
              <w:bidi w:val="0"/>
              <w:spacing w:before="0" w:after="283"/>
              <w:jc w:val="left"/>
              <w:rPr/>
            </w:pPr>
            <w:r>
              <w:rPr/>
              <w:t>Assets of discontinued operations held for sale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647"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62" w:type="dxa"/>
            <w:tcBorders>
              <w:bottom w:val="double" w:sz="6" w:space="0" w:color="000000"/>
            </w:tcBorders>
            <w:shd w:fill="FFFFFF" w:val="clear"/>
            <w:tcMar>
              <w:bottom w:w="28" w:type="dxa"/>
            </w:tcMar>
            <w:vAlign w:val="center"/>
          </w:tcPr>
          <w:p>
            <w:pPr>
              <w:pStyle w:val="TableContents"/>
              <w:bidi w:val="0"/>
              <w:spacing w:before="0" w:after="283"/>
              <w:jc w:val="right"/>
              <w:rPr/>
            </w:pPr>
            <w:r>
              <w:rPr/>
              <w:t>8,185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62" w:type="dxa"/>
            <w:tcBorders>
              <w:bottom w:val="double" w:sz="6" w:space="0" w:color="000000"/>
            </w:tcBorders>
            <w:shd w:fill="FFFFFF" w:val="clear"/>
            <w:tcMar>
              <w:bottom w:w="28" w:type="dxa"/>
            </w:tcMar>
            <w:vAlign w:val="center"/>
          </w:tcPr>
          <w:p>
            <w:pPr>
              <w:pStyle w:val="TableContents"/>
              <w:bidi w:val="0"/>
              <w:spacing w:before="0" w:after="283"/>
              <w:jc w:val="right"/>
              <w:rPr/>
            </w:pPr>
            <w:r>
              <w:rPr/>
              <w:t>4,094</w:t>
            </w:r>
          </w:p>
        </w:tc>
        <w:tc>
          <w:tcPr>
            <w:tcW w:w="113" w:type="dxa"/>
            <w:tcBorders/>
            <w:shd w:fill="FFFFFF" w:val="clear"/>
            <w:vAlign w:val="center"/>
          </w:tcPr>
          <w:p>
            <w:pPr>
              <w:pStyle w:val="TableContents"/>
              <w:bidi w:val="0"/>
              <w:spacing w:before="0" w:after="283"/>
              <w:jc w:val="left"/>
              <w:rPr/>
            </w:pPr>
            <w:r>
              <w:rPr/>
              <w:t> </w:t>
            </w:r>
          </w:p>
        </w:tc>
      </w:tr>
      <w:tr>
        <w:trPr/>
        <w:tc>
          <w:tcPr>
            <w:tcW w:w="7647" w:type="dxa"/>
            <w:tcBorders/>
            <w:shd w:fill="CCEEFF" w:val="clear"/>
            <w:vAlign w:val="center"/>
          </w:tcPr>
          <w:p>
            <w:pPr>
              <w:pStyle w:val="TableContents"/>
              <w:bidi w:val="0"/>
              <w:spacing w:before="0" w:after="283"/>
              <w:jc w:val="left"/>
              <w:rPr>
                <w:b/>
              </w:rPr>
            </w:pPr>
            <w:r>
              <w:rPr>
                <w:b/>
              </w:rPr>
              <w:t>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647"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647"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617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4,599</w:t>
            </w:r>
          </w:p>
        </w:tc>
        <w:tc>
          <w:tcPr>
            <w:tcW w:w="113" w:type="dxa"/>
            <w:tcBorders/>
            <w:shd w:fill="CCEEFF" w:val="clear"/>
            <w:vAlign w:val="center"/>
          </w:tcPr>
          <w:p>
            <w:pPr>
              <w:pStyle w:val="TableContents"/>
              <w:bidi w:val="0"/>
              <w:spacing w:before="0" w:after="283"/>
              <w:jc w:val="left"/>
              <w:rPr/>
            </w:pPr>
            <w:r>
              <w:rPr/>
              <w:t> </w:t>
            </w:r>
          </w:p>
        </w:tc>
      </w:tr>
      <w:tr>
        <w:trPr/>
        <w:tc>
          <w:tcPr>
            <w:tcW w:w="7647" w:type="dxa"/>
            <w:tcBorders/>
            <w:shd w:fill="FFFFFF" w:val="clear"/>
            <w:vAlign w:val="center"/>
          </w:tcPr>
          <w:p>
            <w:pPr>
              <w:pStyle w:val="TableContents"/>
              <w:bidi w:val="0"/>
              <w:spacing w:before="0" w:after="283"/>
              <w:jc w:val="left"/>
              <w:rPr/>
            </w:pPr>
            <w:r>
              <w:rPr/>
              <w:t>Accrued and other current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715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1,669</w:t>
            </w:r>
          </w:p>
        </w:tc>
        <w:tc>
          <w:tcPr>
            <w:tcW w:w="113" w:type="dxa"/>
            <w:tcBorders/>
            <w:shd w:fill="FFFFFF" w:val="clear"/>
            <w:vAlign w:val="center"/>
          </w:tcPr>
          <w:p>
            <w:pPr>
              <w:pStyle w:val="TableContents"/>
              <w:bidi w:val="0"/>
              <w:spacing w:before="0" w:after="283"/>
              <w:jc w:val="left"/>
              <w:rPr/>
            </w:pPr>
            <w:r>
              <w:rPr/>
              <w:t> </w:t>
            </w:r>
          </w:p>
        </w:tc>
      </w:tr>
      <w:tr>
        <w:trPr/>
        <w:tc>
          <w:tcPr>
            <w:tcW w:w="7647" w:type="dxa"/>
            <w:tcBorders/>
            <w:shd w:fill="FFFFFF" w:val="clear"/>
            <w:vAlign w:val="center"/>
          </w:tcPr>
          <w:p>
            <w:pPr>
              <w:pStyle w:val="TableContents"/>
              <w:bidi w:val="0"/>
              <w:spacing w:before="0" w:after="283"/>
              <w:jc w:val="left"/>
              <w:rPr/>
            </w:pPr>
            <w:r>
              <w:rPr/>
              <w:t>Accounts payable and accrued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3" w:type="dxa"/>
            <w:tcBorders/>
            <w:shd w:fill="FFFFFF" w:val="clear"/>
            <w:vAlign w:val="center"/>
          </w:tcPr>
          <w:p>
            <w:pPr>
              <w:pStyle w:val="TableContents"/>
              <w:bidi w:val="0"/>
              <w:spacing w:before="0" w:after="283"/>
              <w:jc w:val="left"/>
              <w:rPr/>
            </w:pPr>
            <w:r>
              <w:rPr/>
              <w:t> </w:t>
            </w:r>
          </w:p>
        </w:tc>
      </w:tr>
      <w:tr>
        <w:trPr/>
        <w:tc>
          <w:tcPr>
            <w:tcW w:w="7647" w:type="dxa"/>
            <w:tcBorders/>
            <w:shd w:fill="FFFFFF" w:val="clear"/>
            <w:vAlign w:val="center"/>
          </w:tcPr>
          <w:p>
            <w:pPr>
              <w:pStyle w:val="TableContents"/>
              <w:bidi w:val="0"/>
              <w:spacing w:before="0" w:after="283"/>
              <w:jc w:val="left"/>
              <w:rPr/>
            </w:pPr>
            <w:r>
              <w:rPr/>
              <w:t>Total current liabilities — continuing operations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647"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1,332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6,268</w:t>
            </w:r>
          </w:p>
        </w:tc>
        <w:tc>
          <w:tcPr>
            <w:tcW w:w="113" w:type="dxa"/>
            <w:tcBorders/>
            <w:shd w:fill="CCEEFF" w:val="clear"/>
            <w:vAlign w:val="center"/>
          </w:tcPr>
          <w:p>
            <w:pPr>
              <w:pStyle w:val="TableContents"/>
              <w:bidi w:val="0"/>
              <w:spacing w:before="0" w:after="283"/>
              <w:jc w:val="left"/>
              <w:rPr/>
            </w:pPr>
            <w:r>
              <w:rPr/>
              <w:t> </w:t>
            </w:r>
          </w:p>
        </w:tc>
      </w:tr>
      <w:tr>
        <w:trPr/>
        <w:tc>
          <w:tcPr>
            <w:tcW w:w="7647" w:type="dxa"/>
            <w:tcBorders/>
            <w:shd w:fill="FFFFFF" w:val="clear"/>
            <w:vAlign w:val="center"/>
          </w:tcPr>
          <w:p>
            <w:pPr>
              <w:pStyle w:val="TableContents"/>
              <w:bidi w:val="0"/>
              <w:spacing w:before="0" w:after="283"/>
              <w:jc w:val="left"/>
              <w:rPr/>
            </w:pPr>
            <w:r>
              <w:rPr/>
              <w:t>Discontinued operations: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647" w:type="dxa"/>
            <w:tcBorders/>
            <w:shd w:fill="FFFFFF" w:val="clear"/>
            <w:vAlign w:val="center"/>
          </w:tcPr>
          <w:p>
            <w:pPr>
              <w:pStyle w:val="TableContents"/>
              <w:bidi w:val="0"/>
              <w:spacing w:before="0" w:after="283"/>
              <w:jc w:val="left"/>
              <w:rPr/>
            </w:pPr>
            <w:r>
              <w:rPr/>
              <w:t>Liabilities of discontinued operations held for sale</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647" w:type="dxa"/>
            <w:tcBorders/>
            <w:shd w:fill="FFFFFF" w:val="clear"/>
            <w:vAlign w:val="center"/>
          </w:tcPr>
          <w:p>
            <w:pPr>
              <w:pStyle w:val="TableContents"/>
              <w:bidi w:val="0"/>
              <w:spacing w:before="0" w:after="283"/>
              <w:jc w:val="left"/>
              <w:rPr/>
            </w:pPr>
            <w:r>
              <w:rPr/>
              <w:t>Lease liability</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647" w:type="dxa"/>
            <w:tcBorders/>
            <w:shd w:fill="CCEEFF" w:val="clear"/>
            <w:vAlign w:val="center"/>
          </w:tcPr>
          <w:p>
            <w:pPr>
              <w:pStyle w:val="TableContents"/>
              <w:bidi w:val="0"/>
              <w:spacing w:before="0" w:after="283"/>
              <w:jc w:val="left"/>
              <w:rPr/>
            </w:pPr>
            <w:r>
              <w:rPr/>
              <w:t>Other liabilities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647"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1,343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6,268</w:t>
            </w:r>
          </w:p>
        </w:tc>
        <w:tc>
          <w:tcPr>
            <w:tcW w:w="113" w:type="dxa"/>
            <w:tcBorders/>
            <w:shd w:fill="FFFFFF" w:val="clear"/>
            <w:vAlign w:val="center"/>
          </w:tcPr>
          <w:p>
            <w:pPr>
              <w:pStyle w:val="TableContents"/>
              <w:bidi w:val="0"/>
              <w:spacing w:before="0" w:after="283"/>
              <w:jc w:val="left"/>
              <w:rPr/>
            </w:pPr>
            <w:r>
              <w:rPr/>
              <w:t> </w:t>
            </w:r>
          </w:p>
        </w:tc>
      </w:tr>
      <w:tr>
        <w:trPr/>
        <w:tc>
          <w:tcPr>
            <w:tcW w:w="76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647" w:type="dxa"/>
            <w:tcBorders/>
            <w:shd w:fill="FFFFFF" w:val="clear"/>
            <w:vAlign w:val="center"/>
          </w:tcPr>
          <w:p>
            <w:pPr>
              <w:pStyle w:val="TableContents"/>
              <w:bidi w:val="0"/>
              <w:spacing w:before="0" w:after="283"/>
              <w:jc w:val="left"/>
              <w:rPr/>
            </w:pPr>
            <w:r>
              <w:rPr/>
              <w:t>Stockholders’ equity (deficit):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647" w:type="dxa"/>
            <w:tcBorders/>
            <w:shd w:fill="CCEEFF" w:val="clear"/>
            <w:vAlign w:val="center"/>
          </w:tcPr>
          <w:p>
            <w:pPr>
              <w:pStyle w:val="TableContents"/>
              <w:bidi w:val="0"/>
              <w:spacing w:before="0" w:after="283"/>
              <w:jc w:val="left"/>
              <w:rPr/>
            </w:pPr>
            <w:r>
              <w:rPr/>
              <w:t>Preferred stock, $0.001 par value; 5,000,000 shares authorized at December 31, 2025 and December 31, 2024; 6% Convertible Exchangeable preferred stock; 135,273 shares issued and outstanding at December 31, 2025 and December 31, 2024. Aggregate preference in liquidation of  $1,717,967 as of December 31, 2025 and $4,006,512 as of December 31, 2024</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647" w:type="dxa"/>
            <w:tcBorders/>
            <w:shd w:fill="FFFFFF" w:val="clear"/>
            <w:vAlign w:val="center"/>
          </w:tcPr>
          <w:p>
            <w:pPr>
              <w:pStyle w:val="TableContents"/>
              <w:bidi w:val="0"/>
              <w:spacing w:before="0" w:after="283"/>
              <w:jc w:val="left"/>
              <w:rPr/>
            </w:pPr>
            <w:r>
              <w:rPr/>
              <w:t>Series A convertible preferred stock, $0.001 par value; 264 shares issued and outstanding at December 31, 2025 and December 31, 2024</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647" w:type="dxa"/>
            <w:tcBorders/>
            <w:shd w:fill="CCEEFF" w:val="clear"/>
            <w:vAlign w:val="center"/>
          </w:tcPr>
          <w:p>
            <w:pPr>
              <w:pStyle w:val="TableContents"/>
              <w:bidi w:val="0"/>
              <w:spacing w:before="0" w:after="283"/>
              <w:jc w:val="left"/>
              <w:rPr/>
            </w:pPr>
            <w:r>
              <w:rPr/>
              <w:t>Series B convertible preferred stock, $0.001 par value; 0 shares issued and outstanding at December 31, 2025 and 119,000 shares issued and outstanding at December 31, 2024</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647" w:type="dxa"/>
            <w:tcBorders/>
            <w:shd w:fill="CCEEFF" w:val="clear"/>
            <w:vAlign w:val="center"/>
          </w:tcPr>
          <w:p>
            <w:pPr>
              <w:pStyle w:val="TableContents"/>
              <w:bidi w:val="0"/>
              <w:spacing w:before="0" w:after="283"/>
              <w:jc w:val="left"/>
              <w:rPr/>
            </w:pPr>
            <w:r>
              <w:rPr/>
              <w:t>Preferred stock, value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647" w:type="dxa"/>
            <w:tcBorders/>
            <w:shd w:fill="FFFFFF" w:val="clear"/>
            <w:vAlign w:val="center"/>
          </w:tcPr>
          <w:p>
            <w:pPr>
              <w:pStyle w:val="TableContents"/>
              <w:bidi w:val="0"/>
              <w:spacing w:before="0" w:after="283"/>
              <w:jc w:val="left"/>
              <w:rPr/>
            </w:pPr>
            <w:r>
              <w:rPr/>
              <w:t>Common stock, $0.001 par value; 600,000,000 shares authorized at December 31, 2025 and 100,000,000 shares authorized at December 31, 2024; 5,400,320 shares issued and outstanding at December 31, 2025 and 36,913 shares issued and outstanding at December 31, 2024</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647"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461,287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438,211</w:t>
            </w:r>
          </w:p>
        </w:tc>
        <w:tc>
          <w:tcPr>
            <w:tcW w:w="113" w:type="dxa"/>
            <w:tcBorders/>
            <w:shd w:fill="CCEEFF" w:val="clear"/>
            <w:vAlign w:val="center"/>
          </w:tcPr>
          <w:p>
            <w:pPr>
              <w:pStyle w:val="TableContents"/>
              <w:bidi w:val="0"/>
              <w:spacing w:before="0" w:after="283"/>
              <w:jc w:val="left"/>
              <w:rPr/>
            </w:pPr>
            <w:r>
              <w:rPr/>
              <w:t> </w:t>
            </w:r>
          </w:p>
        </w:tc>
      </w:tr>
      <w:tr>
        <w:trPr/>
        <w:tc>
          <w:tcPr>
            <w:tcW w:w="7647" w:type="dxa"/>
            <w:tcBorders/>
            <w:shd w:fill="FFFFFF" w:val="clear"/>
            <w:vAlign w:val="center"/>
          </w:tcPr>
          <w:p>
            <w:pPr>
              <w:pStyle w:val="TableContents"/>
              <w:bidi w:val="0"/>
              <w:spacing w:before="0" w:after="283"/>
              <w:jc w:val="left"/>
              <w:rPr/>
            </w:pPr>
            <w:r>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(891</w:t>
            </w:r>
          </w:p>
        </w:tc>
        <w:tc>
          <w:tcPr>
            <w:tcW w:w="113" w:type="dxa"/>
            <w:tcBorders/>
            <w:shd w:fill="FFFFFF" w:val="clear"/>
            <w:vAlign w:val="center"/>
          </w:tcPr>
          <w:p>
            <w:pPr>
              <w:pStyle w:val="TableContents"/>
              <w:bidi w:val="0"/>
              <w:spacing w:before="0" w:after="283"/>
              <w:jc w:val="left"/>
              <w:rPr/>
            </w:pPr>
            <w:r>
              <w:rPr/>
              <w:t>)</w:t>
            </w:r>
          </w:p>
        </w:tc>
      </w:tr>
      <w:tr>
        <w:trPr/>
        <w:tc>
          <w:tcPr>
            <w:tcW w:w="7647"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right"/>
              <w:rPr/>
            </w:pPr>
            <w:r>
              <w:rPr/>
              <w:t>(454,411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right"/>
              <w:rPr/>
            </w:pPr>
            <w:r>
              <w:rPr/>
              <w:t>(439,494</w:t>
            </w:r>
          </w:p>
        </w:tc>
        <w:tc>
          <w:tcPr>
            <w:tcW w:w="113" w:type="dxa"/>
            <w:tcBorders/>
            <w:shd w:fill="CCEEFF" w:val="clear"/>
            <w:vAlign w:val="center"/>
          </w:tcPr>
          <w:p>
            <w:pPr>
              <w:pStyle w:val="TableContents"/>
              <w:bidi w:val="0"/>
              <w:spacing w:before="0" w:after="283"/>
              <w:jc w:val="left"/>
              <w:rPr/>
            </w:pPr>
            <w:r>
              <w:rPr/>
              <w:t>)</w:t>
            </w:r>
          </w:p>
        </w:tc>
      </w:tr>
      <w:tr>
        <w:trPr/>
        <w:tc>
          <w:tcPr>
            <w:tcW w:w="7647" w:type="dxa"/>
            <w:tcBorders/>
            <w:shd w:fill="FFFFFF" w:val="clear"/>
            <w:vAlign w:val="center"/>
          </w:tcPr>
          <w:p>
            <w:pPr>
              <w:pStyle w:val="TableContents"/>
              <w:bidi w:val="0"/>
              <w:spacing w:before="0" w:after="283"/>
              <w:jc w:val="left"/>
              <w:rPr/>
            </w:pPr>
            <w:r>
              <w:rPr/>
              <w:t>Total stockholders’ equity (deficit)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6,842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(2,174</w:t>
            </w:r>
          </w:p>
        </w:tc>
        <w:tc>
          <w:tcPr>
            <w:tcW w:w="113" w:type="dxa"/>
            <w:tcBorders/>
            <w:shd w:fill="FFFFFF" w:val="clear"/>
            <w:vAlign w:val="center"/>
          </w:tcPr>
          <w:p>
            <w:pPr>
              <w:pStyle w:val="TableContents"/>
              <w:bidi w:val="0"/>
              <w:spacing w:before="0" w:after="283"/>
              <w:jc w:val="left"/>
              <w:rPr/>
            </w:pPr>
            <w:r>
              <w:rPr/>
              <w:t>)</w:t>
            </w:r>
          </w:p>
        </w:tc>
      </w:tr>
      <w:tr>
        <w:trPr/>
        <w:tc>
          <w:tcPr>
            <w:tcW w:w="7647" w:type="dxa"/>
            <w:tcBorders/>
            <w:shd w:fill="CCEEFF" w:val="clear"/>
            <w:vAlign w:val="center"/>
          </w:tcPr>
          <w:p>
            <w:pPr>
              <w:pStyle w:val="TableContents"/>
              <w:bidi w:val="0"/>
              <w:spacing w:before="0" w:after="283"/>
              <w:jc w:val="left"/>
              <w:rPr/>
            </w:pPr>
            <w:r>
              <w:rPr/>
              <w:t>Total 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62" w:type="dxa"/>
            <w:tcBorders>
              <w:bottom w:val="double" w:sz="6" w:space="0" w:color="000000"/>
            </w:tcBorders>
            <w:shd w:fill="CCEEFF" w:val="clear"/>
            <w:tcMar>
              <w:bottom w:w="28" w:type="dxa"/>
            </w:tcMar>
            <w:vAlign w:val="center"/>
          </w:tcPr>
          <w:p>
            <w:pPr>
              <w:pStyle w:val="TableContents"/>
              <w:bidi w:val="0"/>
              <w:spacing w:before="0" w:after="283"/>
              <w:jc w:val="right"/>
              <w:rPr/>
            </w:pPr>
            <w:r>
              <w:rPr/>
              <w:t>8,185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62" w:type="dxa"/>
            <w:tcBorders>
              <w:bottom w:val="double" w:sz="6" w:space="0" w:color="000000"/>
            </w:tcBorders>
            <w:shd w:fill="CCEEFF" w:val="clear"/>
            <w:tcMar>
              <w:bottom w:w="28" w:type="dxa"/>
            </w:tcMar>
            <w:vAlign w:val="center"/>
          </w:tcPr>
          <w:p>
            <w:pPr>
              <w:pStyle w:val="TableContents"/>
              <w:bidi w:val="0"/>
              <w:spacing w:before="0" w:after="283"/>
              <w:jc w:val="right"/>
              <w:rPr/>
            </w:pPr>
            <w:r>
              <w:rPr/>
              <w:t>4,094</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6" w:name="sp_003"/>
      <w:bookmarkEnd w:id="106"/>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tbl>
      <w:tblPr>
        <w:tblW w:w="8165" w:type="dxa"/>
        <w:jc w:val="left"/>
        <w:tblInd w:w="0" w:type="dxa"/>
        <w:tblLayout w:type="fixed"/>
        <w:tblCellMar>
          <w:top w:w="0" w:type="dxa"/>
          <w:left w:w="0" w:type="dxa"/>
          <w:bottom w:w="0" w:type="dxa"/>
          <w:right w:w="0" w:type="dxa"/>
        </w:tblCellMar>
      </w:tblPr>
      <w:tblGrid>
        <w:gridCol w:w="5825"/>
        <w:gridCol w:w="60"/>
        <w:gridCol w:w="140"/>
        <w:gridCol w:w="980"/>
        <w:gridCol w:w="95"/>
        <w:gridCol w:w="60"/>
        <w:gridCol w:w="140"/>
        <w:gridCol w:w="755"/>
        <w:gridCol w:w="110"/>
      </w:tblGrid>
      <w:tr>
        <w:trPr/>
        <w:tc>
          <w:tcPr>
            <w:tcW w:w="5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70" w:type="dxa"/>
            <w:gridSpan w:val="6"/>
            <w:tcBorders/>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pPr>
            <w:r>
              <w:rPr/>
              <w:t>Product Revenue – Fire Safety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747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Clinical trial supply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43</w:t>
            </w:r>
          </w:p>
        </w:tc>
        <w:tc>
          <w:tcPr>
            <w:tcW w:w="11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b/>
              </w:rPr>
            </w:pPr>
            <w:r>
              <w:rPr>
                <w:b/>
              </w:rPr>
              <w:t>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43</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b/>
              </w:rPr>
            </w:pPr>
            <w:r>
              <w:rPr>
                <w:b/>
              </w:rPr>
              <w:t>Cost of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b/>
              </w:rPr>
            </w:pPr>
            <w:r>
              <w:rPr>
                <w:b/>
              </w:rPr>
              <w:t>Total 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80"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55"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b/>
              </w:rPr>
            </w:pPr>
            <w:r>
              <w:rPr>
                <w:b/>
              </w:rPr>
              <w:t>Revenues less 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80"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55"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Cost of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6,655</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7,717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5,392</w:t>
            </w:r>
          </w:p>
        </w:tc>
        <w:tc>
          <w:tcPr>
            <w:tcW w:w="110" w:type="dxa"/>
            <w:tcBorders/>
            <w:shd w:fill="CCEE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Selling and distribution costs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Loss on disposal of equity interest in subsidiary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Compensation and benefits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Professional fees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Impairment on financial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9,174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12,047</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(8,427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(12,004</w:t>
            </w:r>
          </w:p>
        </w:tc>
        <w:tc>
          <w:tcPr>
            <w:tcW w:w="110" w:type="dxa"/>
            <w:tcBorders/>
            <w:shd w:fill="CCEEFF" w:val="clear"/>
            <w:vAlign w:val="center"/>
          </w:tcPr>
          <w:p>
            <w:pPr>
              <w:pStyle w:val="TableContents"/>
              <w:bidi w:val="0"/>
              <w:spacing w:before="0" w:after="283"/>
              <w:jc w:val="left"/>
              <w:rPr/>
            </w:pPr>
            <w:r>
              <w:rPr/>
              <w:t>)</w:t>
            </w:r>
          </w:p>
        </w:tc>
      </w:tr>
      <w:tr>
        <w:trPr/>
        <w:tc>
          <w:tcPr>
            <w:tcW w:w="5825"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Foreign exchange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(54</w:t>
            </w:r>
          </w:p>
        </w:tc>
        <w:tc>
          <w:tcPr>
            <w:tcW w:w="110" w:type="dxa"/>
            <w:tcBorders/>
            <w:shd w:fill="CCEEFF" w:val="clear"/>
            <w:vAlign w:val="center"/>
          </w:tcPr>
          <w:p>
            <w:pPr>
              <w:pStyle w:val="TableContents"/>
              <w:bidi w:val="0"/>
              <w:spacing w:before="0" w:after="283"/>
              <w:jc w:val="left"/>
              <w:rPr/>
            </w:pPr>
            <w:r>
              <w:rPr/>
              <w:t>)</w:t>
            </w:r>
          </w:p>
        </w:tc>
      </w:tr>
      <w:tr>
        <w:trPr/>
        <w:tc>
          <w:tcPr>
            <w:tcW w:w="582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Gain on deconsolidation of former subsidiary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4,947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52</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Total 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5,436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10</w:t>
            </w:r>
          </w:p>
        </w:tc>
        <w:tc>
          <w:tcPr>
            <w:tcW w:w="11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b/>
              </w:rPr>
            </w:pPr>
            <w:r>
              <w:rPr>
                <w:b/>
              </w:rPr>
              <w:t>Loss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(11,994</w:t>
            </w:r>
          </w:p>
        </w:tc>
        <w:tc>
          <w:tcPr>
            <w:tcW w:w="110" w:type="dxa"/>
            <w:tcBorders/>
            <w:shd w:fill="FFFFFF" w:val="clear"/>
            <w:vAlign w:val="center"/>
          </w:tcPr>
          <w:p>
            <w:pPr>
              <w:pStyle w:val="TableContents"/>
              <w:bidi w:val="0"/>
              <w:spacing w:before="0" w:after="283"/>
              <w:jc w:val="left"/>
              <w:rPr/>
            </w:pPr>
            <w:r>
              <w:rPr/>
              <w:t>)</w:t>
            </w:r>
          </w:p>
        </w:tc>
      </w:tr>
      <w:tr>
        <w:trPr/>
        <w:tc>
          <w:tcPr>
            <w:tcW w:w="5825" w:type="dxa"/>
            <w:tcBorders/>
            <w:shd w:fill="CCEEFF" w:val="clear"/>
            <w:vAlign w:val="center"/>
          </w:tcPr>
          <w:p>
            <w:pPr>
              <w:pStyle w:val="TableContents"/>
              <w:bidi w:val="0"/>
              <w:spacing w:before="0" w:after="283"/>
              <w:jc w:val="left"/>
              <w:rPr/>
            </w:pPr>
            <w:r>
              <w:rPr/>
              <w:t>Income tax benefit / (provision)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782</w:t>
            </w:r>
          </w:p>
        </w:tc>
        <w:tc>
          <w:tcPr>
            <w:tcW w:w="110" w:type="dxa"/>
            <w:tcBorders/>
            <w:shd w:fill="CCEE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Operating losses from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Gain on deconsolidation of subsidiary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Net income from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(11,212</w:t>
            </w:r>
          </w:p>
        </w:tc>
        <w:tc>
          <w:tcPr>
            <w:tcW w:w="110" w:type="dxa"/>
            <w:tcBorders/>
            <w:shd w:fill="FFFFFF" w:val="clear"/>
            <w:vAlign w:val="center"/>
          </w:tcPr>
          <w:p>
            <w:pPr>
              <w:pStyle w:val="TableContents"/>
              <w:bidi w:val="0"/>
              <w:spacing w:before="0" w:after="283"/>
              <w:jc w:val="left"/>
              <w:rPr/>
            </w:pPr>
            <w:r>
              <w:rPr/>
              <w:t>)</w:t>
            </w:r>
          </w:p>
        </w:tc>
      </w:tr>
      <w:tr>
        <w:trPr/>
        <w:tc>
          <w:tcPr>
            <w:tcW w:w="5825" w:type="dxa"/>
            <w:tcBorders/>
            <w:shd w:fill="FFFFFF" w:val="clear"/>
            <w:vAlign w:val="center"/>
          </w:tcPr>
          <w:p>
            <w:pPr>
              <w:pStyle w:val="TableContents"/>
              <w:bidi w:val="0"/>
              <w:spacing w:before="0" w:after="283"/>
              <w:jc w:val="left"/>
              <w:rPr>
                <w:b/>
              </w:rPr>
            </w:pPr>
            <w:r>
              <w:rPr>
                <w:b/>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pPr>
            <w:r>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b/>
              </w:rPr>
            </w:pPr>
            <w:r>
              <w:rPr>
                <w:b/>
              </w:rPr>
              <w:t>Total comprehensive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Dividend on convertible exchangeable preferred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pPr>
            <w:r>
              <w:rPr/>
              <w:t>Deemed dividend on warrant exchange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(11,033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b/>
              </w:rPr>
            </w:pPr>
            <w:r>
              <w:rPr>
                <w:b/>
              </w:rPr>
              <w:t>Net loss applicable to common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(14,092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(11,212</w:t>
            </w:r>
          </w:p>
        </w:tc>
        <w:tc>
          <w:tcPr>
            <w:tcW w:w="110" w:type="dxa"/>
            <w:tcBorders/>
            <w:shd w:fill="CCEEFF" w:val="clear"/>
            <w:vAlign w:val="center"/>
          </w:tcPr>
          <w:p>
            <w:pPr>
              <w:pStyle w:val="TableContents"/>
              <w:bidi w:val="0"/>
              <w:spacing w:before="0" w:after="283"/>
              <w:jc w:val="left"/>
              <w:rPr/>
            </w:pPr>
            <w:r>
              <w:rPr/>
              <w:t>)</w:t>
            </w:r>
          </w:p>
        </w:tc>
      </w:tr>
      <w:tr>
        <w:trPr/>
        <w:tc>
          <w:tcPr>
            <w:tcW w:w="5825" w:type="dxa"/>
            <w:tcBorders/>
            <w:shd w:fill="FFFFFF" w:val="clear"/>
            <w:vAlign w:val="center"/>
          </w:tcPr>
          <w:p>
            <w:pPr>
              <w:pStyle w:val="TableContents"/>
              <w:bidi w:val="0"/>
              <w:spacing w:before="0" w:after="283"/>
              <w:jc w:val="left"/>
              <w:rPr>
                <w:b/>
              </w:rPr>
            </w:pPr>
            <w:r>
              <w:rPr>
                <w:b/>
              </w:rPr>
              <w:t>Basic and diluted earnings per common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Net loss per share – basic and diluted (common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(502.46</w:t>
            </w:r>
          </w:p>
        </w:tc>
        <w:tc>
          <w:tcPr>
            <w:tcW w:w="110" w:type="dxa"/>
            <w:tcBorders/>
            <w:shd w:fill="CCEEFF" w:val="clear"/>
            <w:vAlign w:val="center"/>
          </w:tcPr>
          <w:p>
            <w:pPr>
              <w:pStyle w:val="TableContents"/>
              <w:bidi w:val="0"/>
              <w:spacing w:before="0" w:after="283"/>
              <w:jc w:val="left"/>
              <w:rPr/>
            </w:pPr>
            <w:r>
              <w:rPr/>
              <w:t>)</w:t>
            </w:r>
          </w:p>
        </w:tc>
      </w:tr>
      <w:tr>
        <w:trPr/>
        <w:tc>
          <w:tcPr>
            <w:tcW w:w="5825" w:type="dxa"/>
            <w:tcBorders/>
            <w:shd w:fill="FFFFFF" w:val="clear"/>
            <w:vAlign w:val="center"/>
          </w:tcPr>
          <w:p>
            <w:pPr>
              <w:pStyle w:val="TableContents"/>
              <w:bidi w:val="0"/>
              <w:spacing w:before="0" w:after="283"/>
              <w:jc w:val="left"/>
              <w:rPr/>
            </w:pPr>
            <w:r>
              <w:rPr/>
              <w:t>Continuing operations Basic (USD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pPr>
            <w:r>
              <w:rPr/>
              <w:t>Continuing operations Diluted (USD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pPr>
            <w:r>
              <w:rPr/>
              <w:t>Discontinued operations Basic (USD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pPr>
            <w:r>
              <w:rPr/>
              <w:t>Discontinued operations Diluted (USD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2,185,075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22,314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7" w:name="sp_004"/>
      <w:bookmarkEnd w:id="107"/>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7385" w:type="dxa"/>
        <w:jc w:val="left"/>
        <w:tblInd w:w="0" w:type="dxa"/>
        <w:tblLayout w:type="fixed"/>
        <w:tblCellMar>
          <w:top w:w="0" w:type="dxa"/>
          <w:left w:w="0" w:type="dxa"/>
          <w:bottom w:w="0" w:type="dxa"/>
          <w:right w:w="0" w:type="dxa"/>
        </w:tblCellMar>
      </w:tblPr>
      <w:tblGrid>
        <w:gridCol w:w="5390"/>
        <w:gridCol w:w="60"/>
        <w:gridCol w:w="140"/>
        <w:gridCol w:w="635"/>
        <w:gridCol w:w="95"/>
        <w:gridCol w:w="60"/>
        <w:gridCol w:w="140"/>
        <w:gridCol w:w="755"/>
        <w:gridCol w:w="110"/>
      </w:tblGrid>
      <w:tr>
        <w:trPr/>
        <w:tc>
          <w:tcPr>
            <w:tcW w:w="5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25" w:type="dxa"/>
            <w:gridSpan w:val="6"/>
            <w:tcBorders/>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(2,998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(11,212</w:t>
            </w:r>
          </w:p>
        </w:tc>
        <w:tc>
          <w:tcPr>
            <w:tcW w:w="110" w:type="dxa"/>
            <w:tcBorders/>
            <w:shd w:fill="CCEEFF" w:val="clear"/>
            <w:vAlign w:val="center"/>
          </w:tcPr>
          <w:p>
            <w:pPr>
              <w:pStyle w:val="TableContents"/>
              <w:bidi w:val="0"/>
              <w:spacing w:before="0" w:after="283"/>
              <w:jc w:val="left"/>
              <w:rPr/>
            </w:pPr>
            <w:r>
              <w:rPr/>
              <w:t>)</w:t>
            </w:r>
          </w:p>
        </w:tc>
      </w:tr>
      <w:tr>
        <w:trPr/>
        <w:tc>
          <w:tcPr>
            <w:tcW w:w="5390" w:type="dxa"/>
            <w:tcBorders/>
            <w:shd w:fill="FFFFFF" w:val="clear"/>
            <w:vAlign w:val="center"/>
          </w:tcPr>
          <w:p>
            <w:pPr>
              <w:pStyle w:val="TableContents"/>
              <w:bidi w:val="0"/>
              <w:spacing w:before="0" w:after="283"/>
              <w:jc w:val="left"/>
              <w:rPr/>
            </w:pPr>
            <w:r>
              <w:rPr/>
              <w:t>Translation adjustment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2,346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2,916</w:t>
            </w:r>
          </w:p>
        </w:tc>
        <w:tc>
          <w:tcPr>
            <w:tcW w:w="110" w:type="dxa"/>
            <w:tcBorders/>
            <w:shd w:fill="FFFFFF" w:val="clear"/>
            <w:vAlign w:val="center"/>
          </w:tcPr>
          <w:p>
            <w:pPr>
              <w:pStyle w:val="TableContents"/>
              <w:bidi w:val="0"/>
              <w:spacing w:before="0" w:after="283"/>
              <w:jc w:val="left"/>
              <w:rPr/>
            </w:pPr>
            <w:r>
              <w:rPr/>
              <w:t> </w:t>
            </w:r>
          </w:p>
        </w:tc>
      </w:tr>
      <w:tr>
        <w:trPr/>
        <w:tc>
          <w:tcPr>
            <w:tcW w:w="5390" w:type="dxa"/>
            <w:tcBorders/>
            <w:shd w:fill="FFFFFF" w:val="clear"/>
            <w:vAlign w:val="center"/>
          </w:tcPr>
          <w:p>
            <w:pPr>
              <w:pStyle w:val="TableContents"/>
              <w:bidi w:val="0"/>
              <w:spacing w:before="0" w:after="283"/>
              <w:jc w:val="left"/>
              <w:rPr/>
            </w:pPr>
            <w:r>
              <w:rPr/>
              <w:t>Translation adjustment on deconsolidation of subsidiary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pPr>
            <w:r>
              <w:rPr/>
              <w:t>Unrealized foreign exchange loss on intercompany loans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(2,380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(2,899</w:t>
            </w:r>
          </w:p>
        </w:tc>
        <w:tc>
          <w:tcPr>
            <w:tcW w:w="110" w:type="dxa"/>
            <w:tcBorders/>
            <w:shd w:fill="CCEEFF" w:val="clear"/>
            <w:vAlign w:val="center"/>
          </w:tcPr>
          <w:p>
            <w:pPr>
              <w:pStyle w:val="TableContents"/>
              <w:bidi w:val="0"/>
              <w:spacing w:before="0" w:after="283"/>
              <w:jc w:val="left"/>
              <w:rPr/>
            </w:pPr>
            <w:r>
              <w:rPr/>
              <w:t>)</w:t>
            </w:r>
          </w:p>
        </w:tc>
      </w:tr>
      <w:tr>
        <w:trPr/>
        <w:tc>
          <w:tcPr>
            <w:tcW w:w="5390" w:type="dxa"/>
            <w:tcBorders/>
            <w:shd w:fill="FFFFFF" w:val="clear"/>
            <w:vAlign w:val="center"/>
          </w:tcPr>
          <w:p>
            <w:pPr>
              <w:pStyle w:val="TableContents"/>
              <w:bidi w:val="0"/>
              <w:spacing w:before="0" w:after="283"/>
              <w:jc w:val="left"/>
              <w:rPr>
                <w:b/>
              </w:rPr>
            </w:pPr>
            <w:r>
              <w:rPr>
                <w:b/>
              </w:rPr>
              <w:t>Comprehensive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(3,032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(11,195</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8" w:name="sp_005"/>
      <w:bookmarkEnd w:id="108"/>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STOCKHOLDERS’ EQUITY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amounts)</w:t>
      </w:r>
    </w:p>
    <w:p>
      <w:pPr>
        <w:pStyle w:val="TextBody"/>
        <w:bidi w:val="0"/>
        <w:spacing w:before="0" w:after="0"/>
        <w:ind w:left="0" w:right="0" w:hanging="0"/>
        <w:jc w:val="left"/>
        <w:rPr>
          <w:caps w:val="false"/>
          <w:smallCaps w:val="false"/>
        </w:rPr>
      </w:pPr>
      <w:r>
        <w:rPr>
          <w:caps w:val="false"/>
          <w:smallCaps w:val="false"/>
        </w:rPr>
        <w:t> </w:t>
      </w:r>
    </w:p>
    <w:tbl>
      <w:tblPr>
        <w:tblW w:w="12000" w:type="dxa"/>
        <w:jc w:val="left"/>
        <w:tblInd w:w="0" w:type="dxa"/>
        <w:tblLayout w:type="fixed"/>
        <w:tblCellMar>
          <w:top w:w="0" w:type="dxa"/>
          <w:left w:w="0" w:type="dxa"/>
          <w:bottom w:w="0" w:type="dxa"/>
          <w:right w:w="0" w:type="dxa"/>
        </w:tblCellMar>
      </w:tblPr>
      <w:tblGrid>
        <w:gridCol w:w="1520"/>
        <w:gridCol w:w="60"/>
        <w:gridCol w:w="60"/>
        <w:gridCol w:w="1055"/>
        <w:gridCol w:w="95"/>
        <w:gridCol w:w="60"/>
        <w:gridCol w:w="301"/>
        <w:gridCol w:w="559"/>
        <w:gridCol w:w="95"/>
        <w:gridCol w:w="60"/>
        <w:gridCol w:w="60"/>
        <w:gridCol w:w="980"/>
        <w:gridCol w:w="60"/>
        <w:gridCol w:w="60"/>
        <w:gridCol w:w="301"/>
        <w:gridCol w:w="559"/>
        <w:gridCol w:w="60"/>
        <w:gridCol w:w="60"/>
        <w:gridCol w:w="163"/>
        <w:gridCol w:w="937"/>
        <w:gridCol w:w="95"/>
        <w:gridCol w:w="60"/>
        <w:gridCol w:w="290"/>
        <w:gridCol w:w="1320"/>
        <w:gridCol w:w="95"/>
        <w:gridCol w:w="60"/>
        <w:gridCol w:w="188"/>
        <w:gridCol w:w="1182"/>
        <w:gridCol w:w="95"/>
        <w:gridCol w:w="60"/>
        <w:gridCol w:w="199"/>
        <w:gridCol w:w="1141"/>
        <w:gridCol w:w="110"/>
      </w:tblGrid>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Other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Stockholders’</w:t>
            </w:r>
          </w:p>
        </w:tc>
        <w:tc>
          <w:tcPr>
            <w:tcW w:w="11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b/>
              </w:rPr>
            </w:pPr>
            <w:r>
              <w:rPr>
                <w:b/>
              </w:rPr>
              <w:t>Balances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454,537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4,412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429,797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b/>
              </w:rPr>
            </w:pPr>
            <w:r>
              <w:rPr>
                <w:b/>
              </w:rPr>
              <w:t>$</w:t>
            </w:r>
          </w:p>
        </w:tc>
        <w:tc>
          <w:tcPr>
            <w:tcW w:w="1320" w:type="dxa"/>
            <w:tcBorders/>
            <w:shd w:fill="CCEEFF" w:val="clear"/>
            <w:vAlign w:val="center"/>
          </w:tcPr>
          <w:p>
            <w:pPr>
              <w:pStyle w:val="TableContents"/>
              <w:bidi w:val="0"/>
              <w:spacing w:before="0" w:after="283"/>
              <w:jc w:val="right"/>
              <w:rPr>
                <w:b/>
              </w:rPr>
            </w:pPr>
            <w:r>
              <w:rPr>
                <w:b/>
              </w:rPr>
              <w:t>(908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(428,282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b/>
              </w:rPr>
            </w:pPr>
            <w:r>
              <w:rPr>
                <w:b/>
              </w:rPr>
              <w:t>$</w:t>
            </w:r>
          </w:p>
        </w:tc>
        <w:tc>
          <w:tcPr>
            <w:tcW w:w="1141" w:type="dxa"/>
            <w:tcBorders/>
            <w:shd w:fill="CCEEFF" w:val="clear"/>
            <w:vAlign w:val="center"/>
          </w:tcPr>
          <w:p>
            <w:pPr>
              <w:pStyle w:val="TableContents"/>
              <w:bidi w:val="0"/>
              <w:spacing w:before="0" w:after="283"/>
              <w:jc w:val="right"/>
              <w:rPr/>
            </w:pPr>
            <w:r>
              <w:rPr/>
              <w:t>       </w:t>
            </w:r>
            <w:r>
              <w:rPr>
                <w:b/>
              </w:rPr>
              <w:t>607</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pPr>
            <w:r>
              <w:rPr/>
              <w:t>Issue of common stock, preferred stock and associated warrants on underwritten offering, net of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6,209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6,209</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Conversion of series B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(119,000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pPr>
            <w:r>
              <w:rPr/>
              <w:t>Conversion of series 6% Convertible Exchangeable Preferred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Warrant Exercises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29,391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1,613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1,613</w:t>
            </w:r>
          </w:p>
        </w:tc>
        <w:tc>
          <w:tcPr>
            <w:tcW w:w="110"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592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592</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pPr>
            <w:r>
              <w:rPr/>
              <w:t>Stock-based compensation,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Unrealized foreign exchange on intercompany 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(2,899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(2,899</w:t>
            </w:r>
          </w:p>
        </w:tc>
        <w:tc>
          <w:tcPr>
            <w:tcW w:w="110" w:type="dxa"/>
            <w:tcBorders/>
            <w:shd w:fill="FFFFFF" w:val="clear"/>
            <w:vAlign w:val="center"/>
          </w:tcPr>
          <w:p>
            <w:pPr>
              <w:pStyle w:val="TableContents"/>
              <w:bidi w:val="0"/>
              <w:spacing w:before="0" w:after="283"/>
              <w:jc w:val="left"/>
              <w:rPr/>
            </w:pPr>
            <w:r>
              <w:rPr/>
              <w:t>)</w:t>
            </w:r>
          </w:p>
        </w:tc>
      </w:tr>
      <w:tr>
        <w:trPr/>
        <w:tc>
          <w:tcPr>
            <w:tcW w:w="1520" w:type="dxa"/>
            <w:tcBorders/>
            <w:shd w:fill="CCEEFF" w:val="clear"/>
            <w:vAlign w:val="center"/>
          </w:tcPr>
          <w:p>
            <w:pPr>
              <w:pStyle w:val="TableContents"/>
              <w:bidi w:val="0"/>
              <w:spacing w:before="0" w:after="283"/>
              <w:jc w:val="left"/>
              <w:rPr/>
            </w:pPr>
            <w:r>
              <w:rPr/>
              <w:t>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2,916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2,916</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(11,212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FFFFFF" w:val="clear"/>
            <w:tcMar>
              <w:bottom w:w="28" w:type="dxa"/>
            </w:tcMar>
            <w:vAlign w:val="center"/>
          </w:tcPr>
          <w:p>
            <w:pPr>
              <w:pStyle w:val="TableContents"/>
              <w:bidi w:val="0"/>
              <w:spacing w:before="0" w:after="283"/>
              <w:jc w:val="right"/>
              <w:rPr/>
            </w:pPr>
            <w:r>
              <w:rPr/>
              <w:t>(11,212</w:t>
            </w:r>
          </w:p>
        </w:tc>
        <w:tc>
          <w:tcPr>
            <w:tcW w:w="110" w:type="dxa"/>
            <w:tcBorders/>
            <w:shd w:fill="FFFFFF" w:val="clear"/>
            <w:vAlign w:val="center"/>
          </w:tcPr>
          <w:p>
            <w:pPr>
              <w:pStyle w:val="TableContents"/>
              <w:bidi w:val="0"/>
              <w:spacing w:before="0" w:after="283"/>
              <w:jc w:val="left"/>
              <w:rPr/>
            </w:pPr>
            <w:r>
              <w:rPr/>
              <w:t>)</w:t>
            </w:r>
          </w:p>
        </w:tc>
      </w:tr>
      <w:tr>
        <w:trPr/>
        <w:tc>
          <w:tcPr>
            <w:tcW w:w="1520" w:type="dxa"/>
            <w:tcBorders/>
            <w:shd w:fill="CCEEFF" w:val="clear"/>
            <w:vAlign w:val="center"/>
          </w:tcPr>
          <w:p>
            <w:pPr>
              <w:pStyle w:val="TableContents"/>
              <w:bidi w:val="0"/>
              <w:spacing w:before="0" w:after="283"/>
              <w:jc w:val="left"/>
              <w:rPr>
                <w:b/>
              </w:rPr>
            </w:pPr>
            <w:r>
              <w:rPr>
                <w:b/>
              </w:rPr>
              <w:t>Balances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135,537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36,913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438,211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b/>
              </w:rPr>
            </w:pPr>
            <w:r>
              <w:rPr>
                <w:b/>
              </w:rPr>
              <w:t>$</w:t>
            </w:r>
          </w:p>
        </w:tc>
        <w:tc>
          <w:tcPr>
            <w:tcW w:w="1320" w:type="dxa"/>
            <w:tcBorders/>
            <w:shd w:fill="CCEEFF" w:val="clear"/>
            <w:vAlign w:val="center"/>
          </w:tcPr>
          <w:p>
            <w:pPr>
              <w:pStyle w:val="TableContents"/>
              <w:bidi w:val="0"/>
              <w:spacing w:before="0" w:after="283"/>
              <w:jc w:val="right"/>
              <w:rPr>
                <w:b/>
              </w:rPr>
            </w:pPr>
            <w:r>
              <w:rPr>
                <w:b/>
              </w:rPr>
              <w:t>(891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(439,494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b/>
              </w:rPr>
            </w:pPr>
            <w:r>
              <w:rPr>
                <w:b/>
              </w:rPr>
              <w:t>$</w:t>
            </w:r>
          </w:p>
        </w:tc>
        <w:tc>
          <w:tcPr>
            <w:tcW w:w="1141" w:type="dxa"/>
            <w:tcBorders/>
            <w:shd w:fill="CCEEFF" w:val="clear"/>
            <w:vAlign w:val="center"/>
          </w:tcPr>
          <w:p>
            <w:pPr>
              <w:pStyle w:val="TableContents"/>
              <w:bidi w:val="0"/>
              <w:spacing w:before="0" w:after="283"/>
              <w:jc w:val="right"/>
              <w:rPr>
                <w:b/>
              </w:rPr>
            </w:pPr>
            <w:r>
              <w:rPr>
                <w:b/>
              </w:rPr>
              <w:t>(2,174</w:t>
            </w:r>
          </w:p>
        </w:tc>
        <w:tc>
          <w:tcPr>
            <w:tcW w:w="110" w:type="dxa"/>
            <w:tcBorders/>
            <w:shd w:fill="CCEEFF" w:val="clear"/>
            <w:vAlign w:val="center"/>
          </w:tcPr>
          <w:p>
            <w:pPr>
              <w:pStyle w:val="TableContents"/>
              <w:bidi w:val="0"/>
              <w:spacing w:before="0" w:after="283"/>
              <w:jc w:val="left"/>
              <w:rPr>
                <w:b/>
              </w:rPr>
            </w:pPr>
            <w:r>
              <w:rPr>
                <w:b/>
              </w:rPr>
              <w:t>)</w:t>
            </w:r>
          </w:p>
        </w:tc>
      </w:tr>
      <w:tr>
        <w:trPr/>
        <w:tc>
          <w:tcPr>
            <w:tcW w:w="1520"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135,537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36,913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438,211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b/>
              </w:rPr>
            </w:pPr>
            <w:r>
              <w:rPr>
                <w:b/>
              </w:rPr>
              <w:t>$</w:t>
            </w:r>
          </w:p>
        </w:tc>
        <w:tc>
          <w:tcPr>
            <w:tcW w:w="1320" w:type="dxa"/>
            <w:tcBorders/>
            <w:shd w:fill="CCEEFF" w:val="clear"/>
            <w:vAlign w:val="center"/>
          </w:tcPr>
          <w:p>
            <w:pPr>
              <w:pStyle w:val="TableContents"/>
              <w:bidi w:val="0"/>
              <w:spacing w:before="0" w:after="283"/>
              <w:jc w:val="right"/>
              <w:rPr>
                <w:b/>
              </w:rPr>
            </w:pPr>
            <w:r>
              <w:rPr>
                <w:b/>
              </w:rPr>
              <w:t>(891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(439,494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b/>
              </w:rPr>
            </w:pPr>
            <w:r>
              <w:rPr>
                <w:b/>
              </w:rPr>
              <w:t>$</w:t>
            </w:r>
          </w:p>
        </w:tc>
        <w:tc>
          <w:tcPr>
            <w:tcW w:w="1141" w:type="dxa"/>
            <w:tcBorders/>
            <w:shd w:fill="CCEEFF" w:val="clear"/>
            <w:vAlign w:val="center"/>
          </w:tcPr>
          <w:p>
            <w:pPr>
              <w:pStyle w:val="TableContents"/>
              <w:bidi w:val="0"/>
              <w:spacing w:before="0" w:after="283"/>
              <w:jc w:val="right"/>
              <w:rPr>
                <w:b/>
              </w:rPr>
            </w:pPr>
            <w:r>
              <w:rPr>
                <w:b/>
              </w:rPr>
              <w:t>(2,174</w:t>
            </w:r>
          </w:p>
        </w:tc>
        <w:tc>
          <w:tcPr>
            <w:tcW w:w="110" w:type="dxa"/>
            <w:tcBorders/>
            <w:shd w:fill="CCEEFF" w:val="clear"/>
            <w:vAlign w:val="center"/>
          </w:tcPr>
          <w:p>
            <w:pPr>
              <w:pStyle w:val="TableContents"/>
              <w:bidi w:val="0"/>
              <w:spacing w:before="0" w:after="283"/>
              <w:jc w:val="left"/>
              <w:rPr>
                <w:b/>
              </w:rPr>
            </w:pPr>
            <w:r>
              <w:rPr>
                <w:b/>
              </w:rPr>
              <w:t>)</w:t>
            </w:r>
          </w:p>
        </w:tc>
      </w:tr>
      <w:tr>
        <w:trPr/>
        <w:tc>
          <w:tcPr>
            <w:tcW w:w="1520" w:type="dxa"/>
            <w:tcBorders/>
            <w:shd w:fill="FFFFFF" w:val="clear"/>
            <w:vAlign w:val="center"/>
          </w:tcPr>
          <w:p>
            <w:pPr>
              <w:pStyle w:val="TableContents"/>
              <w:bidi w:val="0"/>
              <w:spacing w:before="0" w:after="283"/>
              <w:jc w:val="left"/>
              <w:rPr/>
            </w:pPr>
            <w:r>
              <w:rPr/>
              <w:t>Expenses related to Securities Purchase Agreement In Private Placement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(344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(344</w:t>
            </w:r>
          </w:p>
        </w:tc>
        <w:tc>
          <w:tcPr>
            <w:tcW w:w="110" w:type="dxa"/>
            <w:tcBorders/>
            <w:shd w:fill="FFFFFF" w:val="clear"/>
            <w:vAlign w:val="center"/>
          </w:tcPr>
          <w:p>
            <w:pPr>
              <w:pStyle w:val="TableContents"/>
              <w:bidi w:val="0"/>
              <w:spacing w:before="0" w:after="283"/>
              <w:jc w:val="left"/>
              <w:rPr/>
            </w:pPr>
            <w:r>
              <w:rPr/>
              <w:t>)</w:t>
            </w:r>
          </w:p>
        </w:tc>
      </w:tr>
      <w:tr>
        <w:trPr/>
        <w:tc>
          <w:tcPr>
            <w:tcW w:w="1520" w:type="dxa"/>
            <w:tcBorders/>
            <w:shd w:fill="CCEEFF" w:val="clear"/>
            <w:vAlign w:val="center"/>
          </w:tcPr>
          <w:p>
            <w:pPr>
              <w:pStyle w:val="TableContents"/>
              <w:bidi w:val="0"/>
              <w:spacing w:before="0" w:after="283"/>
              <w:jc w:val="left"/>
              <w:rPr/>
            </w:pPr>
            <w:r>
              <w:rPr/>
              <w:t>Issue of common stock on Securities Purchase Agreement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(125</w:t>
            </w:r>
          </w:p>
        </w:tc>
        <w:tc>
          <w:tcPr>
            <w:tcW w:w="110" w:type="dxa"/>
            <w:tcBorders/>
            <w:shd w:fill="CCEEFF" w:val="clear"/>
            <w:vAlign w:val="center"/>
          </w:tcPr>
          <w:p>
            <w:pPr>
              <w:pStyle w:val="TableContents"/>
              <w:bidi w:val="0"/>
              <w:spacing w:before="0" w:after="283"/>
              <w:jc w:val="left"/>
              <w:rPr/>
            </w:pPr>
            <w:r>
              <w:rPr/>
              <w:t>)</w:t>
            </w:r>
          </w:p>
        </w:tc>
      </w:tr>
      <w:tr>
        <w:trPr/>
        <w:tc>
          <w:tcPr>
            <w:tcW w:w="1520" w:type="dxa"/>
            <w:tcBorders/>
            <w:shd w:fill="FFFFFF" w:val="clear"/>
            <w:vAlign w:val="center"/>
          </w:tcPr>
          <w:p>
            <w:pPr>
              <w:pStyle w:val="TableContents"/>
              <w:bidi w:val="0"/>
              <w:spacing w:before="0" w:after="283"/>
              <w:jc w:val="left"/>
              <w:rPr/>
            </w:pPr>
            <w:r>
              <w:rPr/>
              <w:t>Issue of common stock on share exchange agreement to purchase Fitters Sdn. Bhd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699,158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4,449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4,450</w:t>
            </w:r>
          </w:p>
        </w:tc>
        <w:tc>
          <w:tcPr>
            <w:tcW w:w="110"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Exercise of Pre-Funded &amp; Common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113,479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0</w:t>
            </w:r>
          </w:p>
        </w:tc>
        <w:tc>
          <w:tcPr>
            <w:tcW w:w="110"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pPr>
            <w:r>
              <w:rPr/>
              <w:t>Payment made under the Warrant Exchange Amendment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(1,100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(1,100</w:t>
            </w:r>
          </w:p>
        </w:tc>
        <w:tc>
          <w:tcPr>
            <w:tcW w:w="110" w:type="dxa"/>
            <w:tcBorders/>
            <w:shd w:fill="CCEEFF" w:val="clear"/>
            <w:vAlign w:val="center"/>
          </w:tcPr>
          <w:p>
            <w:pPr>
              <w:pStyle w:val="TableContents"/>
              <w:bidi w:val="0"/>
              <w:spacing w:before="0" w:after="283"/>
              <w:jc w:val="left"/>
              <w:rPr/>
            </w:pPr>
            <w:r>
              <w:rPr/>
              <w:t>)</w:t>
            </w:r>
          </w:p>
        </w:tc>
      </w:tr>
      <w:tr>
        <w:trPr/>
        <w:tc>
          <w:tcPr>
            <w:tcW w:w="1520" w:type="dxa"/>
            <w:tcBorders/>
            <w:shd w:fill="FFFFFF" w:val="clear"/>
            <w:vAlign w:val="center"/>
          </w:tcPr>
          <w:p>
            <w:pPr>
              <w:pStyle w:val="TableContents"/>
              <w:bidi w:val="0"/>
              <w:spacing w:before="0" w:after="283"/>
              <w:jc w:val="left"/>
              <w:rPr/>
            </w:pPr>
            <w:r>
              <w:rPr/>
              <w:t>Issue of common stock on Warrant Exchange Agreements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1,962,000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11,033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(11,033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2</w:t>
            </w:r>
          </w:p>
        </w:tc>
        <w:tc>
          <w:tcPr>
            <w:tcW w:w="110"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500,178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2,334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2,334</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Preferred stock dividends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(61</w:t>
            </w:r>
          </w:p>
        </w:tc>
        <w:tc>
          <w:tcPr>
            <w:tcW w:w="110" w:type="dxa"/>
            <w:tcBorders/>
            <w:shd w:fill="FFFFFF" w:val="clear"/>
            <w:vAlign w:val="center"/>
          </w:tcPr>
          <w:p>
            <w:pPr>
              <w:pStyle w:val="TableContents"/>
              <w:bidi w:val="0"/>
              <w:spacing w:before="0" w:after="283"/>
              <w:jc w:val="left"/>
              <w:rPr/>
            </w:pPr>
            <w:r>
              <w:rPr/>
              <w:t>)</w:t>
            </w:r>
          </w:p>
        </w:tc>
      </w:tr>
      <w:tr>
        <w:trPr/>
        <w:tc>
          <w:tcPr>
            <w:tcW w:w="1520" w:type="dxa"/>
            <w:tcBorders/>
            <w:shd w:fill="CCEEFF" w:val="clear"/>
            <w:vAlign w:val="center"/>
          </w:tcPr>
          <w:p>
            <w:pPr>
              <w:pStyle w:val="TableContents"/>
              <w:bidi w:val="0"/>
              <w:spacing w:before="0" w:after="283"/>
              <w:jc w:val="left"/>
              <w:rPr/>
            </w:pPr>
            <w:r>
              <w:rPr/>
              <w:t>Issue of Series C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999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Series C Preferred stock conversions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11,042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pPr>
            <w:r>
              <w:rPr/>
              <w:t>Issue of Series D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1,892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1,894</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Series D Preferred stock conversions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(2,100,000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962,500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w:t>
            </w:r>
          </w:p>
        </w:tc>
      </w:tr>
      <w:tr>
        <w:trPr/>
        <w:tc>
          <w:tcPr>
            <w:tcW w:w="1520" w:type="dxa"/>
            <w:tcBorders/>
            <w:shd w:fill="CCEEFF" w:val="clear"/>
            <w:vAlign w:val="center"/>
          </w:tcPr>
          <w:p>
            <w:pPr>
              <w:pStyle w:val="TableContents"/>
              <w:bidi w:val="0"/>
              <w:spacing w:before="0" w:after="283"/>
              <w:jc w:val="left"/>
              <w:rPr/>
            </w:pPr>
            <w:r>
              <w:rPr/>
              <w:t>Issue of Series E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999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Series E Preferred stock conversions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458,333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w:t>
            </w:r>
          </w:p>
        </w:tc>
      </w:tr>
      <w:tr>
        <w:trPr/>
        <w:tc>
          <w:tcPr>
            <w:tcW w:w="1520" w:type="dxa"/>
            <w:tcBorders/>
            <w:shd w:fill="CCEEFF" w:val="clear"/>
            <w:vAlign w:val="center"/>
          </w:tcPr>
          <w:p>
            <w:pPr>
              <w:pStyle w:val="TableContents"/>
              <w:bidi w:val="0"/>
              <w:spacing w:before="0" w:after="283"/>
              <w:jc w:val="left"/>
              <w:rPr/>
            </w:pPr>
            <w:r>
              <w:rPr/>
              <w:t>Issue of Series F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2,997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3,000</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Series F Preferred stock conversions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(3,000,000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654,000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w:t>
            </w:r>
          </w:p>
        </w:tc>
      </w:tr>
      <w:tr>
        <w:trPr/>
        <w:tc>
          <w:tcPr>
            <w:tcW w:w="1520" w:type="dxa"/>
            <w:tcBorders/>
            <w:shd w:fill="CCEEFF" w:val="clear"/>
            <w:vAlign w:val="center"/>
          </w:tcPr>
          <w:p>
            <w:pPr>
              <w:pStyle w:val="TableContents"/>
              <w:bidi w:val="0"/>
              <w:spacing w:before="0" w:after="283"/>
              <w:jc w:val="left"/>
              <w:rPr/>
            </w:pPr>
            <w:r>
              <w:rPr/>
              <w:t>Cancellation of fraction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Unrealized foreign exchange on intercompany 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(2,380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(2,380</w:t>
            </w:r>
          </w:p>
        </w:tc>
        <w:tc>
          <w:tcPr>
            <w:tcW w:w="110" w:type="dxa"/>
            <w:tcBorders/>
            <w:shd w:fill="FFFFFF" w:val="clear"/>
            <w:vAlign w:val="center"/>
          </w:tcPr>
          <w:p>
            <w:pPr>
              <w:pStyle w:val="TableContents"/>
              <w:bidi w:val="0"/>
              <w:spacing w:before="0" w:after="283"/>
              <w:jc w:val="left"/>
              <w:rPr/>
            </w:pPr>
            <w:r>
              <w:rPr/>
              <w:t>)</w:t>
            </w:r>
          </w:p>
        </w:tc>
      </w:tr>
      <w:tr>
        <w:trPr/>
        <w:tc>
          <w:tcPr>
            <w:tcW w:w="1520" w:type="dxa"/>
            <w:tcBorders/>
            <w:shd w:fill="CCEEFF" w:val="clear"/>
            <w:vAlign w:val="center"/>
          </w:tcPr>
          <w:p>
            <w:pPr>
              <w:pStyle w:val="TableContents"/>
              <w:bidi w:val="0"/>
              <w:spacing w:before="0" w:after="283"/>
              <w:jc w:val="left"/>
              <w:rPr/>
            </w:pPr>
            <w:r>
              <w:rPr/>
              <w:t>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2,346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2,346</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Reclassification of accumulated translation adjustments upon deconsolidation of subsidiary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886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(886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pPr>
            <w:r>
              <w:rPr/>
              <w:t>Loss for the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(2,998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CCEEFF" w:val="clear"/>
            <w:tcMar>
              <w:bottom w:w="28" w:type="dxa"/>
            </w:tcMar>
            <w:vAlign w:val="center"/>
          </w:tcPr>
          <w:p>
            <w:pPr>
              <w:pStyle w:val="TableContents"/>
              <w:bidi w:val="0"/>
              <w:spacing w:before="0" w:after="283"/>
              <w:jc w:val="right"/>
              <w:rPr/>
            </w:pPr>
            <w:r>
              <w:rPr/>
              <w:t>(2,998</w:t>
            </w:r>
          </w:p>
        </w:tc>
        <w:tc>
          <w:tcPr>
            <w:tcW w:w="110" w:type="dxa"/>
            <w:tcBorders/>
            <w:shd w:fill="CCEEFF" w:val="clear"/>
            <w:vAlign w:val="center"/>
          </w:tcPr>
          <w:p>
            <w:pPr>
              <w:pStyle w:val="TableContents"/>
              <w:bidi w:val="0"/>
              <w:spacing w:before="0" w:after="283"/>
              <w:jc w:val="left"/>
              <w:rPr/>
            </w:pPr>
            <w:r>
              <w:rPr/>
              <w:t>)</w:t>
            </w:r>
          </w:p>
        </w:tc>
      </w:tr>
      <w:tr>
        <w:trPr/>
        <w:tc>
          <w:tcPr>
            <w:tcW w:w="1520" w:type="dxa"/>
            <w:tcBorders/>
            <w:shd w:fill="FFFFFF" w:val="clear"/>
            <w:vAlign w:val="center"/>
          </w:tcPr>
          <w:p>
            <w:pPr>
              <w:pStyle w:val="TableContents"/>
              <w:bidi w:val="0"/>
              <w:spacing w:before="0" w:after="283"/>
              <w:jc w:val="left"/>
              <w:rPr>
                <w:b/>
              </w:rPr>
            </w:pPr>
            <w:r>
              <w:rPr>
                <w:b/>
              </w:rPr>
              <w:t>Balances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135,537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5,400,320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461,287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3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(454,411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4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6,842</w:t>
            </w:r>
          </w:p>
        </w:tc>
        <w:tc>
          <w:tcPr>
            <w:tcW w:w="110"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135,537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5,400,320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461,287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(454,411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4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6,842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9" w:name="sp_006"/>
      <w:bookmarkEnd w:id="109"/>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90"/>
        <w:gridCol w:w="60"/>
        <w:gridCol w:w="140"/>
        <w:gridCol w:w="755"/>
        <w:gridCol w:w="95"/>
        <w:gridCol w:w="60"/>
        <w:gridCol w:w="140"/>
        <w:gridCol w:w="755"/>
        <w:gridCol w:w="110"/>
      </w:tblGrid>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b/>
              </w:rPr>
            </w:pPr>
            <w:r>
              <w:rPr>
                <w:b/>
              </w:rPr>
              <w:t>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Net loss from continuing operation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Net income from discontinued operation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(2,998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(11,212</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Gain on deconsolidation of subsidiary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4,947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592</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Changes in 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(37</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Depreciation and amortization — continuing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Depreciation and amortization — discontinued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Impairment on financial assets — continuing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Allowance for expected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Bad debts written off — continuing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Loss on disposal of equity interest in subsidiary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Waiver of debts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Interest expense on hire purchase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4,472</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Accounts payable, accrued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(10,506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(1,811</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Trade accounts receivable — continuing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Inventories — continuing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Accounts payable and accrued liabilities — continuing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Income taxes (paid) / refunded — continuing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Net changes in working capital —discontinued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(4,770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(7,990</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b/>
              </w:rPr>
            </w:pPr>
            <w:r>
              <w:rPr>
                <w:b/>
              </w:rPr>
              <w:t>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Purchase of property, plant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Acquisition of property and equipment — discontinued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b/>
              </w:rPr>
            </w:pPr>
            <w:r>
              <w:rPr>
                <w:b/>
              </w:rPr>
              <w:t>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Proceeds, net of issuance costs, from issuing common stock and pre-funded warrants,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6,425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6,209</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Costs from issuing common stock and pre-funded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Payment made under the Warrant Exchange Amendment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Proceeds from the exercise of stock options and warrants, net of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1,613</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Payment of preferred stock dividend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Repayment of banker’s acceptance — discontinued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Repayment of hire purchase obligations — discontinued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Payment of preferred stock dividend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Net cash provided by in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5,264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7,822</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(73</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(241</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Cash and cash equivalents, 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3,378</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Cash and cash equivalents,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3,505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3,137</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Cash — beginning of period / year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Cash — end of period /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b/>
              </w:rPr>
            </w:pPr>
            <w:r>
              <w:rPr>
                <w:b/>
              </w:rPr>
              <w:t>Supplemental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Non cash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Issuance of shares in acquisition of Fitters Sdn. Bhd.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4,450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Warrant Exchange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11,033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Cash received during the period for: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96</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Research &amp; development tax credits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3,715</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Cash paid during the period for: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0" w:name="sp_007"/>
      <w:bookmarkEnd w:id="110"/>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Organization of the Company and Basis of Presentation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Company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(“BGMS” or “the Company”) is engaged primarily in the fire safety and protection industry through its wholly owned subsidiary Fitters Sdn. Bhd. (“FITTERS”), a Malaysia-based group specializing in fire protection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December 31, 2025, the Company has funded all of its operations and capital expenditures with proceeds from the issuance of public equity securities, private placements of securities, government grants, research and development tax credits, interest on investments, royalty income, product revenue and licensing revenue. The Company has incurred recurring losses since its inception, including net losses of $3.0 million and $11.2 million for the years ended December 31, 2025 and 2024 respectively. As of December 31, 2025, the Company had an accumulated deficit of $454.4 million. The Company expects to continue to generate operating losses for the near term as it builds and expands its portfolio of businesses and improves operating margins at FITTERS.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risks and uncertainties common to small market capitalization companies. If the Company is unable to obtain the necessary financing to build and expand its asset portfolio, there will be a material adverse impact on the Company’s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Accounting Standard Codification (ASC) 205-40, </w:t>
      </w:r>
      <w:r>
        <w:rPr>
          <w:rFonts w:ascii="Times New Roman;Times;Serif" w:hAnsi="Times New Roman;Times;Serif"/>
          <w:b w:val="false"/>
          <w:i/>
          <w:caps w:val="false"/>
          <w:smallCaps w:val="false"/>
          <w:sz w:val="20"/>
        </w:rPr>
        <w:t>Presentation of Financial Statements-Going Concern</w:t>
      </w:r>
      <w:r>
        <w:rPr>
          <w:rFonts w:ascii="Times New Roman;Times;Serif" w:hAnsi="Times New Roman;Times;Serif"/>
          <w:b w:val="false"/>
          <w:i w:val="false"/>
          <w:caps w:val="false"/>
          <w:smallCaps w:val="false"/>
          <w:sz w:val="20"/>
        </w:rPr>
        <w:t>, management is required at each reporting period to evaluate whether there are conditions or events, considered in the aggregate, that raise substantial doubt about an entity’s ability to continue as a going concern within one year after the date that the financial statements are issued. 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effects of its plans sufficiently alleviate the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for one year after the date that these financial statements are issued. In performing its analysis, management excluded certain elements of its operating plan that cannot be considered probable. Under ASC 205-40, the future receipts of potential funding from future equity or debt issuances or by entering into partnership agreements cannot be considered probable at this time because these plans are not entirely within the Company’s control nor have they been approved by the Board of Directors as of the date of these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Company’s current operating plan, it is anticipated that cash and cash equivalents of $3.5 million as of December 31, 2025 will allow it to meet liquidity requirements into the third quarter of 2026. The Company continues to work to raise additional capital however as of the date of these financial statements there is no guarantee that the Company will be able to raise additional funds to extend operations beyond the third quarter of 2026. The Company’s history of losses, negative cash flows from operations, liquid resources currently on hand, and dependence on the ability to obtain additional financing to fund its operations, about which there can be no certainty, have resulted in the assessment that there is substantial doubt about the Company’s ability to continue as a going concern for a period of at least twelve months from the issuance date of these financial statements. While the Company has plans in place to mitigate this risk, which primarily consist of raising additional capital through a combination of public or private equity or debt financings or by entering into partnership agreements, there is no guarantee that it will be successful in these mitigation efforts. The accompanying consolidated financial statements have been prepared on a going concern basis, which contemplates realization of assets and the satisfaction of liabilities in the normal course of business.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accordance with accounting principles generally accepted in the United States of America, or GAAP and include the financial statements of Bio Green Med Solution, Inc. and all of the Company’s wholly owned subsidiaries. All intercompany accounts and transactions have been eliminated.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2025, the Company effected a one-for-sixteen reverse stock split of its common stock and subsequently on July 7, 2025, effected a further one-for-fifteen reverse stock split of its common stock. All share and per share data for all periods presented in the consolidated financial statements have been retrospectively adjusted to give effect to these reverse stock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accordance with GAAP requires management to make estimates and assumptions that affect the reported amounts of assets, liabilities and related disclosures of contingent assets and liabilities at the date of the financial statements and the reported expenses during the reporting period. Critical estimates include inputs used to determine clinical trial accruals and stock-based compensation expense. The Company reviews its estimates on an ongoing basis. The estimates are based on historical experience and on various other assumptions that the Company believes to be reasonable under the circumstances. Actual results may differ from these estimates. The Company believes the judgments and estimates required by the following accounting policies to be significant in the preparation of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and Currency Translation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that are denominated in a foreign currency are remeasured into the functional currency at the current exchange rate on the date of the transaction. Any foreign currency-denominated monetary assets and liabilities are subsequently remeasured at current exchange rates, with gains or losses recognized as foreign exchange (losses) gains in the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and liabilities of the Company’s international subsidiaries are translated from its functional currency into United States dollars at exchange rates prevailing at the balance sheet date. Average rates of exchange during the period are used to translate the statement of operations, while historical rates of exchange are used to translate any equity transactions. Translation adjustments arising on consolidation due to differences between average rates and balance sheet rates, as well as unrealized foreign exchange gains or losses arising from translation of intercompany loans for which settlement is not planned or anticipated in the foreseeable future and that are of a long-term-investment nature, are recorded in other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Company deconsolidated a foreign operation based in the United Kingdom. Upon loss of control of the foreign subsidiary, the accumulated translation adjustments recorded in other comprehensive income within equity were recycled as part of the gain on deconsolidation of former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expose the Company to concentrations of credit risk consist primarily of cash and cash equivalents. The Company considers all highly liquid investments with an original maturity of three months or less at the time of initial purchase to be cash equivalents. The objectives of the Company’s cash management policy are to safeguard and preserve funds, to maintain sufficient liquidity to meet the Company’s cash flow requirements and to attain a market rate of return. The Company deposits its cash in financial institutions that it believes have high credit quality and has not experienced any losses on such accounts and does not believe it is exposed to any significant credit risk on cash and cash equivalents.</w:t>
      </w:r>
    </w:p>
    <w:p>
      <w:pPr>
        <w:pStyle w:val="TextBody"/>
        <w:bidi w:val="0"/>
        <w:spacing w:before="0" w:after="0"/>
        <w:ind w:left="0" w:right="0" w:firstLine="36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cash and cash equivalents balance at December 31, 2025 was $3.5 million and it maintains its cash accounts in several entities both within the United States as well as Malaysia and the United Kingdom. The cash balances for amounts held in the United States are insured by the Federal Deposit Insurance Corporation, or FDIC up to $250,000 per account. The Company has cash balances exceeding the balance insured by the FDIC that totaled approximately $0.1 million at December 31, 2025. The cash balances for amounts held in the United Kingdom are insured by the UK Government Financial Services Compensation Scheme, or FSCS up to £85,000 per account. The Company does not have cash balances exceeding the balance insured by the FSCS at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property and equipment are stated at cost and depreciated on a straight-line basis over the estimated useful lives of the related assets, which are generally 3three to five years. Amortization of leasehold improvements is performed using the straight-line method over the shorter of the remaining lease term or the estimated useful life of the related assets. Upon sale or retirement of assets, the costs and related accumulated depreciation and amortization are removed from the balance sheet and the resulting gain or loss on sale is reflected as a component of operating income or loss. Expenditures for maintenance and repairs are charged to operating expenses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property and equipment for impairment whenever events or changes in business circumstances indicate that the carrying amount of the assets may not be fully recoverable. The Company assesses the recoverability of the potentially affected long-lived assets by determining whether the carrying value of such assets can be recovered through undiscounted future operating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if any, is measured as the amount by which the carrying amount of a long-lived asset or asset group exceeds its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cost of acquired businesses in excess of the fair value of net identifiable assets acquired. Goodwill is not amortized but is tested for impairment on an annual basis on July 1 of each fiscal year, or more frequently if events or changes in circumstances indicate that the carrying amount of a reporting unit exceeds its fair value. The quantitative goodwill impairment test compares the fair value of a reporting unit with its carrying amount. If the fair value of the reporting unit exceeds its carrying amount, goodwill is considered not impaired. If the carrying amount of a reporting unit exceeds its fair value, an impairment loss is recognized in an amount equal to that excess, not to exceed the total amount of goodwill allocated to that reporting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in a single operating segment and has just one reporting unit. The Company did not perform a goodwill impairment test in 2025 as the goodwill recognized in the financial statements resulted from the September 2025 acquisition of FITTERS, and there were no events or changes in circumstances indicating that the carrying amount of the goodwill was not recoverable in the few months post-acquisition.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Assets and liabilities measured at fair value are classified and disclosed in one of the following three levels of the fair value hierarchy, of which the first two are considered observable and the last is considered unobservable: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Quoted prices in active markets for identical assets or liabilities.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that are supported by little or no market activity that are significant to determining the fair value of the assets or liabilities, including pricing models, discounted cash flow methodologies and similar techniques.</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values of cash and cash equivalents, accounts receivables, accounts payable and accrued expenses approximate their fair values due to the short-term nature of these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managed and operated as one business which is currently focused on the sale and distribution of fire safety materials, equipment and fire prevention systems. The entire business is managed by a single management team that reports to the Chief Executive Officer. Similarly, the Company’s legacy operations within the biotechnology industry were also managed entirely by a single management team that reported into the Chief Executive Officer. The Company has not operated separate lines of business with respect to any of its operations and the Company did not prepare discrete financial information with respect to separate products or product candidates separate businesses or by location through December 31, 2025. Accordingly, the Company views its current business as one reportable operating segment with operations in one geographic area, namely Malaysia. In 2024, the Company viewed its legacy business also as one reportable operating segment with operations in the United Kingdom and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Accounting Standards Codification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The Company derives revenue primarily from the sale of various protective and fire safety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Nature of Goods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is generated from the sale of tangible products, including:</w:t>
      </w:r>
    </w:p>
    <w:p>
      <w:pPr>
        <w:pStyle w:val="TextBody"/>
        <w:bidi w:val="0"/>
        <w:spacing w:before="0" w:after="0"/>
        <w:ind w:left="720" w:right="0" w:hanging="36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Fire safety equipment and extinguishers;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Foam system;</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Fire resistant doors; and</w:t>
            </w:r>
          </w:p>
        </w:tc>
      </w:tr>
      <w:tr>
        <w:trPr/>
        <w:tc>
          <w:tcPr>
            <w:tcW w:w="75" w:type="dxa"/>
            <w:tcBorders/>
            <w:vAlign w:val="center"/>
          </w:tcPr>
          <w:p>
            <w:pPr>
              <w:pStyle w:val="TableContents"/>
              <w:bidi w:val="0"/>
              <w:spacing w:before="0" w:after="283"/>
              <w:ind w:left="0" w:right="0" w:hanging="200"/>
              <w:jc w:val="left"/>
              <w:rPr/>
            </w:pPr>
            <w:r>
              <w:rPr/>
              <w:t> </w:t>
            </w:r>
          </w:p>
        </w:tc>
        <w:tc>
          <w:tcPr>
            <w:tcW w:w="170" w:type="dxa"/>
            <w:tcBorders/>
            <w:vAlign w:val="center"/>
          </w:tcPr>
          <w:p>
            <w:pPr>
              <w:pStyle w:val="TableContents"/>
              <w:bidi w:val="0"/>
              <w:spacing w:before="0" w:after="283"/>
              <w:ind w:left="0" w:right="0" w:hanging="200"/>
              <w:jc w:val="both"/>
              <w:rPr/>
            </w:pPr>
            <w:r>
              <w:rPr/>
              <w:t>●</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Personal Protective Equipment (PPE) and Fire Safety Apparel.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products are sold directly to customers (e.g., municipalities, fire contractors, distributors and individuals).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disaggregates revenue by product category, which the Company believes best depicts how the nature, amount, timing, and uncertainty of revenue and cash flows are affected by economic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total revenue by product for the years ended December 31, 2025 and 2024 (in thousands):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Disaggregation of Revenue by Product</w:t>
      </w:r>
    </w:p>
    <w:p>
      <w:pPr>
        <w:pStyle w:val="TextBody"/>
        <w:bidi w:val="0"/>
        <w:spacing w:before="0" w:after="0"/>
        <w:ind w:left="0" w:right="0" w:firstLine="360"/>
        <w:jc w:val="both"/>
        <w:rPr>
          <w:caps w:val="false"/>
          <w:smallCaps w:val="false"/>
        </w:rPr>
      </w:pPr>
      <w:r>
        <w:rPr>
          <w:caps w:val="false"/>
          <w:smallCaps w:val="false"/>
        </w:rPr>
        <w:t> </w:t>
      </w:r>
    </w:p>
    <w:tbl>
      <w:tblPr>
        <w:tblW w:w="6471" w:type="dxa"/>
        <w:jc w:val="left"/>
        <w:tblInd w:w="0" w:type="dxa"/>
        <w:tblLayout w:type="fixed"/>
        <w:tblCellMar>
          <w:top w:w="0" w:type="dxa"/>
          <w:left w:w="0" w:type="dxa"/>
          <w:bottom w:w="0" w:type="dxa"/>
          <w:right w:w="0" w:type="dxa"/>
        </w:tblCellMar>
      </w:tblPr>
      <w:tblGrid>
        <w:gridCol w:w="2480"/>
        <w:gridCol w:w="60"/>
        <w:gridCol w:w="222"/>
        <w:gridCol w:w="1560"/>
        <w:gridCol w:w="106"/>
        <w:gridCol w:w="106"/>
        <w:gridCol w:w="222"/>
        <w:gridCol w:w="1640"/>
        <w:gridCol w:w="75"/>
      </w:tblGrid>
      <w:tr>
        <w:trPr/>
        <w:tc>
          <w:tcPr>
            <w:tcW w:w="2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82" w:type="dxa"/>
            <w:gridSpan w:val="2"/>
            <w:tcBorders/>
            <w:vAlign w:val="center"/>
          </w:tcPr>
          <w:p>
            <w:pPr>
              <w:pStyle w:val="TableContents"/>
              <w:bidi w:val="0"/>
              <w:spacing w:before="0" w:after="283"/>
              <w:jc w:val="center"/>
              <w:rPr>
                <w:b/>
              </w:rPr>
            </w:pPr>
            <w:r>
              <w:rPr>
                <w:b/>
              </w:rPr>
              <w:t>-</w:t>
            </w:r>
          </w:p>
        </w:tc>
        <w:tc>
          <w:tcPr>
            <w:tcW w:w="106" w:type="dxa"/>
            <w:tcBorders/>
            <w:vAlign w:val="center"/>
          </w:tcPr>
          <w:p>
            <w:pPr>
              <w:pStyle w:val="TableContents"/>
              <w:bidi w:val="0"/>
              <w:spacing w:before="0" w:after="283"/>
              <w:jc w:val="center"/>
              <w:rPr/>
            </w:pPr>
            <w:r>
              <w:rPr/>
              <w:t> </w:t>
            </w:r>
          </w:p>
        </w:tc>
        <w:tc>
          <w:tcPr>
            <w:tcW w:w="106" w:type="dxa"/>
            <w:tcBorders/>
            <w:vAlign w:val="center"/>
          </w:tcPr>
          <w:p>
            <w:pPr>
              <w:pStyle w:val="TableContents"/>
              <w:bidi w:val="0"/>
              <w:spacing w:before="0" w:after="283"/>
              <w:jc w:val="center"/>
              <w:rPr/>
            </w:pPr>
            <w:r>
              <w:rPr/>
              <w:t> </w:t>
            </w:r>
          </w:p>
        </w:tc>
        <w:tc>
          <w:tcPr>
            <w:tcW w:w="1862" w:type="dxa"/>
            <w:gridSpan w:val="2"/>
            <w:tcBorders/>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center"/>
              <w:rPr/>
            </w:pPr>
            <w:r>
              <w:rPr/>
              <w:t> </w:t>
            </w:r>
          </w:p>
        </w:tc>
      </w:tr>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385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Product revenue in $000’s for the year ended:</w:t>
            </w:r>
          </w:p>
        </w:tc>
        <w:tc>
          <w:tcPr>
            <w:tcW w:w="75" w:type="dxa"/>
            <w:tcBorders/>
            <w:vAlign w:val="center"/>
          </w:tcPr>
          <w:p>
            <w:pPr>
              <w:pStyle w:val="TableContents"/>
              <w:bidi w:val="0"/>
              <w:spacing w:before="0" w:after="283"/>
              <w:jc w:val="center"/>
              <w:rPr/>
            </w:pPr>
            <w:r>
              <w:rPr/>
              <w:t> </w:t>
            </w:r>
          </w:p>
        </w:tc>
      </w:tr>
      <w:tr>
        <w:trPr/>
        <w:tc>
          <w:tcPr>
            <w:tcW w:w="24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Product</w:t>
            </w:r>
          </w:p>
        </w:tc>
        <w:tc>
          <w:tcPr>
            <w:tcW w:w="60" w:type="dxa"/>
            <w:tcBorders/>
            <w:vAlign w:val="center"/>
          </w:tcPr>
          <w:p>
            <w:pPr>
              <w:pStyle w:val="TableContents"/>
              <w:bidi w:val="0"/>
              <w:spacing w:before="0" w:after="283"/>
              <w:jc w:val="center"/>
              <w:rPr/>
            </w:pPr>
            <w:r>
              <w:rPr/>
              <w:t> </w:t>
            </w:r>
          </w:p>
        </w:tc>
        <w:tc>
          <w:tcPr>
            <w:tcW w:w="178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 2025</w:t>
            </w:r>
          </w:p>
        </w:tc>
        <w:tc>
          <w:tcPr>
            <w:tcW w:w="106" w:type="dxa"/>
            <w:tcBorders/>
            <w:vAlign w:val="center"/>
          </w:tcPr>
          <w:p>
            <w:pPr>
              <w:pStyle w:val="TableContents"/>
              <w:bidi w:val="0"/>
              <w:spacing w:before="0" w:after="283"/>
              <w:jc w:val="center"/>
              <w:rPr/>
            </w:pPr>
            <w:r>
              <w:rPr/>
              <w:t> </w:t>
            </w:r>
          </w:p>
        </w:tc>
        <w:tc>
          <w:tcPr>
            <w:tcW w:w="106" w:type="dxa"/>
            <w:tcBorders/>
            <w:vAlign w:val="center"/>
          </w:tcPr>
          <w:p>
            <w:pPr>
              <w:pStyle w:val="TableContents"/>
              <w:bidi w:val="0"/>
              <w:spacing w:before="0" w:after="283"/>
              <w:jc w:val="center"/>
              <w:rPr/>
            </w:pPr>
            <w:r>
              <w:rPr/>
              <w:t> </w:t>
            </w:r>
          </w:p>
        </w:tc>
        <w:tc>
          <w:tcPr>
            <w:tcW w:w="18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 2024</w:t>
            </w:r>
          </w:p>
        </w:tc>
        <w:tc>
          <w:tcPr>
            <w:tcW w:w="75" w:type="dxa"/>
            <w:tcBorders/>
            <w:vAlign w:val="center"/>
          </w:tcPr>
          <w:p>
            <w:pPr>
              <w:pStyle w:val="TableContents"/>
              <w:bidi w:val="0"/>
              <w:spacing w:before="0" w:after="283"/>
              <w:jc w:val="center"/>
              <w:rPr/>
            </w:pPr>
            <w:r>
              <w:rPr/>
              <w:t> </w:t>
            </w:r>
          </w:p>
        </w:tc>
      </w:tr>
      <w:tr>
        <w:trPr/>
        <w:tc>
          <w:tcPr>
            <w:tcW w:w="2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82" w:type="dxa"/>
            <w:gridSpan w:val="2"/>
            <w:tcBorders/>
            <w:vAlign w:val="center"/>
          </w:tcPr>
          <w:p>
            <w:pPr>
              <w:pStyle w:val="TableContents"/>
              <w:bidi w:val="0"/>
              <w:spacing w:before="0" w:after="283"/>
              <w:jc w:val="center"/>
              <w:rPr/>
            </w:pPr>
            <w:r>
              <w:rPr/>
              <w:t> </w:t>
            </w:r>
          </w:p>
        </w:tc>
        <w:tc>
          <w:tcPr>
            <w:tcW w:w="106" w:type="dxa"/>
            <w:tcBorders/>
            <w:vAlign w:val="center"/>
          </w:tcPr>
          <w:p>
            <w:pPr>
              <w:pStyle w:val="TableContents"/>
              <w:bidi w:val="0"/>
              <w:spacing w:before="0" w:after="283"/>
              <w:jc w:val="center"/>
              <w:rPr/>
            </w:pPr>
            <w:r>
              <w:rPr/>
              <w:t> </w:t>
            </w:r>
          </w:p>
        </w:tc>
        <w:tc>
          <w:tcPr>
            <w:tcW w:w="106" w:type="dxa"/>
            <w:tcBorders/>
            <w:vAlign w:val="center"/>
          </w:tcPr>
          <w:p>
            <w:pPr>
              <w:pStyle w:val="TableContents"/>
              <w:bidi w:val="0"/>
              <w:spacing w:before="0" w:after="283"/>
              <w:jc w:val="center"/>
              <w:rPr/>
            </w:pPr>
            <w:r>
              <w:rPr/>
              <w:t> </w:t>
            </w:r>
          </w:p>
        </w:tc>
        <w:tc>
          <w:tcPr>
            <w:tcW w:w="1862"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Safety apparel</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56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119</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Fire safety equipment</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5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603</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Maintenance &amp; Servicing</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5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Project - supply &amp; installation</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5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sz w:val="20"/>
              </w:rPr>
            </w:pPr>
            <w:r>
              <w:rPr>
                <w:sz w:val="20"/>
              </w:rPr>
              <w:t>Clinical trial supply</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560" w:type="dxa"/>
            <w:tcBorders/>
            <w:shd w:fill="CCEEFF" w:val="clear"/>
            <w:vAlign w:val="center"/>
          </w:tcPr>
          <w:p>
            <w:pPr>
              <w:pStyle w:val="TableContents"/>
              <w:bidi w:val="0"/>
              <w:spacing w:before="0" w:after="283"/>
              <w:jc w:val="right"/>
              <w:rPr>
                <w:sz w:val="20"/>
              </w:rPr>
            </w:pPr>
            <w:r>
              <w:rPr>
                <w:sz w:val="20"/>
              </w:rPr>
              <w:t>-</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sz w:val="20"/>
              </w:rPr>
            </w:pPr>
            <w:r>
              <w:rPr>
                <w:sz w:val="20"/>
              </w:rPr>
              <w:t>43</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Revenue</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56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747</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64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recognized $43,000 of revenue for the year ended December 31, 2024. This revenue relates to recovery of clinical manufacturing costs associated with an investigator sponsored study managed by Cedars-Sinai Medical Center (“CSMC”). There were $0 revenues recognized for the comparative period in 2025. All revenues from this customer were recognized at the point in time that the related clinical supply were transferred to CSMC and CSMC obtains control over the goods. The arrangements with CSMC comprise a single performance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invoiced CSMC following the transfer of the clinical supply and provided CSMC with typical payment terms. The Company collected all amounts due from CSMC. As of December 31, 2025 and December 31, 2024, the Company has not recognized any accounts receivable from CSMC, credit loss allowances, contract assets, contract liabilities, or warranty provisions. There were no remaining performance obligations outstanding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with customers generally include a single performance obligation, which is the promise to transfer the purchased products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satisfies its performance obligations at a point in time when control of the products transfers to the customer. Control typically transfers upon delivery, depending on the contractual delivery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Price and Variable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generally the stated contract price for the products sold. The Company’s contracts may include variable consideration in the form of discounts, price concessions, or other incentives.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consideration is estimated using the method that best predicts the amount of consideration to which the Company expects to be entitled and is included in revenue only to the extent that it is probable that a significant reversal of cumulative revenue recognized will not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represent the Company’s right to consideration in exchange for goods transferred to customers when that right is conditioned on something other than the passage of time. Contract liabilities represent amounts billed or collected from customers in advance of satisfying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and contract liabilities are not material to the business. Accounts receivable as of January 1, 2024 and 2025 was $0. Accounts receivable, before allowance for doubtful debt as of December 31, 2025 was $1,588,000.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Payment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payment terms vary by customer and contract but generally require payment within 30–60 days from the invoice date. The Company does not have significant financing components in its contracts, as the period between the transfer of goods and customer payment is typically less than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assurance-type warranties that its products comply with agreed-upon specifications and are free from defects for a specified period. These warranties do not represent separate performance obligations Such warranty reserves are immaterial.</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Returns and Refunds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allow customers to return products if they are deemed faulty or otherwise not fit for purpose. Expected returns are estimated and recorded as a reduction of revenue, with a corresponding refund liability and right-of-return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returns is of an immaterial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Practical Expedients and Policy Elections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the practical expedient to expense incremental costs of obtaining a contract, such as commissions, when the amortization period would have been one year or 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performance obligations are generally satisfied within one year. As a result, the Company has elected the practical expedient not to disclose the value of remaining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is primarily related to royalty income received under a historical Asset Purchase Agreement for activities which are not part of the Company’s ongoing operations and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lease contracts in accordance with ASC 842. As of December 31, 2025 and 2024, all of the Company’s leases are classified as operating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an asset for the right to use an underlying leased asset for the lease term and records lease liabilities based on the present value of the Company’s obligation to make lease payments under the lease. As the Company’s leases do not indicate an implicit rate, the Company uses a best estimate of its incremental borrowing rate to discount the future lease payments. The Company estimates its incremental borrowing rate based on observable information about risk-free interest rates that are the same tenure as the lease term, adjusted for various factors, including the effects of assumed collateral, the nature of how a loan would be repaid (e.g., amortizing versus bullet), and the Company’s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options included in its lease agreements to extend or terminate the lease. The Company will reflect the effects of exercising those options in the lease term when it is reasonably certain that the Company will exercise that option. In assessing whether it is reasonably certain that the Company will exercise an option, the Company considers factors such as:</w:t>
      </w:r>
    </w:p>
    <w:p>
      <w:pPr>
        <w:pStyle w:val="TextBody"/>
        <w:bidi w:val="0"/>
        <w:spacing w:before="0" w:after="0"/>
        <w:ind w:left="0" w:right="0" w:hanging="0"/>
        <w:jc w:val="both"/>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5"/>
        <w:gridCol w:w="170"/>
        <w:gridCol w:w="76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payments due in any optional period;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Penalties for failure to exercise (or not exercise) the option;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factors, such as the availability of similar assets and current rental rates for such assets;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underlying leased asset and its importance to the Company’s operations;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useful lives of any related leasehold improvements.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expense for the Company’s operating leases is recognized on a straight-line basis over the lease term and is reported as a component of general and administrative expense. Variable lease payments, if any, are recognized in the period when the obligation to make those payments is incurred. Lease incentives received prior to lease commencement are recorded as a reduction in the right-of-use asset. Fixed lease incentives received after lease commencement reduce both the lease liability and the right-of-use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an accounting policy to account for the lease and non-lease components as a single lease component.</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all stock options and other stock-based awards granted to employees, consultants, and directors based on the fair value on the date of the grant and recognizes compensation expense of those awards over the requisite service period, which for the Company is the period between the grant date and the date the award vests or becomes exercisable. Many awards granted by the Company vest ratably over three or four years. However, certain awards granted to members of the Company’s Board of Directors vest in their entirety on the one-year anniversary following the date of grant. Generally, the Company issues stock options and restricted stock awards to employees or consultants with only service-based vesting conditions and records the expense for these awards using the straight-line method. However, in certain years, the Company will grant share-based payment awards to employees or consultants that are dependent upon the fulfillment of certain clinical and financial conditions. In such instances where the performance condition must be met for the award to vest, the company only recognizes compensation expense when the award is probable of vesting (See Note 15 —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stock-based compensation expenses in its statement of operations in the same manner in which the award recipient’s payroll costs are classified. The Company accounts for forfeitures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restricted stock and restricted stock units is determined based on the number of shares granted and the quoted price of the Company’s common stock on the date of grant. The determination of grant-date fair value for stock option awards is estimated using the Black-Scholes model, which includes variables such as the expected volatility of the Company’s share price, expected term of the award, interest rates, and dividend yields.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relies on its historical volatility as an input to the option pricing model as management believes that this rate will be representative of future volatility over the expected term of the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term assumption is estimated using past history of early exercise behavior and expectations about future behaviors.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risk-free interest rate represents the interest rate for treasury constant maturities published by the Federal Reserve Board. If the term of available treasury constant maturity instruments is not equal to the expected term of an employee option, The Company interpolates a discount rate based on the two Federal Reserve securities closest to the expected term of the employee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dividend yield is zero, as the Company has never paid cash dividends on common stock and does not expect to pay any cash dividends on common stock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using the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for unrecognized tax benefits that are considered appropriate as well as the related net interest and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research and development tax credits within income taxes. Credit is taken in the accounting period for research and development tax credits, when claimed from H.M. Revenue &amp; Customs, or HMRC, the United Kingdom’s taxation and customs authority, in respect of qualifying research and development costs incurred in the same accounting period.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calculates net loss per common share in accordance with ASC 260 “Earnings Per Share”. Basic and diluted net loss per common share was determined by dividing the net loss applicable to common stockholders by the weighted average number of common shares outstanding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periods in which the Company reports a net loss attributable to common stockholders, diluted net loss per share attributable to common stockholders is the same as basic net loss per share attributable to common stockholders since potentially dilutive common shares are not assumed to have been issued if their effect is anti-dilutive. The Company reported a net loss attributable to common stockholders for the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components of comprehensive income (loss), including net income (loss), are reported in the financial statements in the period in which they are recognized. Comprehensive income (loss) is defined as the change in equity during a period from transactions and other events and circumstances from non-owner sources. Net income (loss) and other comprehensive income (loss), including foreign currency translation adjustments, are reported to arrive at comprehensive income (loss). There were no reclassifications out of other comprehensive income (loss) during the year ended December 31, 2024. In 2025, the Company deconsolidated a foreign operation based in the United Kingdom. Upon loss of control of the foreign subsidiary, the accumulated translation adjustments recorded in other comprehensive income within equity were recycled as part of the gain on deconsolidation of former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FASB has issued ASU 2024-03, “</w:t>
      </w:r>
      <w:r>
        <w:rPr>
          <w:rFonts w:ascii="Times New Roman;Times;Serif" w:hAnsi="Times New Roman;Times;Serif"/>
          <w:b w:val="false"/>
          <w:i/>
          <w:caps w:val="false"/>
          <w:smallCaps w:val="false"/>
          <w:sz w:val="20"/>
        </w:rPr>
        <w:t>Income Statement—Reporting Comprehensive Income—Expense Disaggregation Disclosures (Subtopic 220-40): Disaggregation of Income Statement Expenses</w:t>
      </w:r>
      <w:r>
        <w:rPr>
          <w:rFonts w:ascii="Times New Roman;Times;Serif" w:hAnsi="Times New Roman;Times;Serif"/>
          <w:b w:val="false"/>
          <w:i w:val="false"/>
          <w:caps w:val="false"/>
          <w:smallCaps w:val="false"/>
          <w:sz w:val="20"/>
        </w:rPr>
        <w:t>”, as amended by ASU 2025-01, “</w:t>
      </w:r>
      <w:r>
        <w:rPr>
          <w:rFonts w:ascii="Times New Roman;Times;Serif" w:hAnsi="Times New Roman;Times;Serif"/>
          <w:b w:val="false"/>
          <w:i/>
          <w:caps w:val="false"/>
          <w:smallCaps w:val="false"/>
          <w:sz w:val="20"/>
        </w:rPr>
        <w:t>Income Statement—Reporting Comprehensive Income—Expense Disaggregation Disclosures (Subtopic 220-40): Clarifying the Effective Date”</w:t>
      </w:r>
      <w:r>
        <w:rPr>
          <w:rFonts w:ascii="Times New Roman;Times;Serif" w:hAnsi="Times New Roman;Times;Serif"/>
          <w:b w:val="false"/>
          <w:i w:val="false"/>
          <w:caps w:val="false"/>
          <w:smallCaps w:val="false"/>
          <w:sz w:val="20"/>
        </w:rPr>
        <w:t>. This standard will require all public entities to disclose additional information about specific expense categories in the notes to financial statements at interim and annual reporting periods. The amendments in ASU 2024-03 are effective for annual reporting periods beginning after December 15, 2026, and interim reporting periods beginning after December 15, 2027. ASU 2024-03 will not change the way in which expenses are recognized or measured. However, the Company is currently evaluating the effects of ASU 2023-07 on its financial statement presentation and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Policies Prior to the Disposition of Pharmaceutical Development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costs associated with the development of the Company’s product candidates, including upfront fees, milestones, compensation and other expenses for research and development personnel, supplies and development materials, costs for consultants and related contract research, facility costs and depreciation. Expenditures relating to research and development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Clinical Trial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management and monitoring of the Company’s clinical trials are performed with the assistance of contract research organizations, or CROs or clinical research associates, or CRAs in accordance with the Company’s standard operating procedures. Typically, CROs and CRAs bill monthly for services performed, and others bill based upon milestones achieved. The Company accrues unbilled clinical trial expenses based on estimates of the level of services performed each period. Clinical trial costs related to patient enrollment are accrued as patients are entered into and progress through the trial.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Patent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prosecution costs are charged to general and administrative expenses as incurred as recoverability of such expenditure is uncertain.</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Significant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currently have any significant contracts in relation to the operations of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cash and cash equivalents at December 31, 2025 and 2024 (in thousands):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Cash and Cash Equivalents </w:t>
      </w:r>
    </w:p>
    <w:tbl>
      <w:tblPr>
        <w:tblW w:w="4675" w:type="dxa"/>
        <w:jc w:val="left"/>
        <w:tblInd w:w="0" w:type="dxa"/>
        <w:tblLayout w:type="fixed"/>
        <w:tblCellMar>
          <w:top w:w="0" w:type="dxa"/>
          <w:left w:w="0" w:type="dxa"/>
          <w:bottom w:w="0" w:type="dxa"/>
          <w:right w:w="0" w:type="dxa"/>
        </w:tblCellMar>
      </w:tblPr>
      <w:tblGrid>
        <w:gridCol w:w="3020"/>
        <w:gridCol w:w="60"/>
        <w:gridCol w:w="140"/>
        <w:gridCol w:w="560"/>
        <w:gridCol w:w="60"/>
        <w:gridCol w:w="60"/>
        <w:gridCol w:w="140"/>
        <w:gridCol w:w="560"/>
        <w:gridCol w:w="75"/>
      </w:tblGrid>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93</w:t>
            </w:r>
          </w:p>
        </w:tc>
        <w:tc>
          <w:tcPr>
            <w:tcW w:w="75"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3,044</w:t>
            </w:r>
          </w:p>
        </w:tc>
        <w:tc>
          <w:tcPr>
            <w:tcW w:w="75"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Total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3,505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3,137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equivalents are made up entirely of money market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Fair Value of Financial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information about the Company’s financial assets and liabilities measured at fair value on a recurring basis and indicate the level of the fair value hierarchy utilized to determine such fair values (in thousands):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Financial Assets and Liabilities Measured on a Recurring Basis</w:t>
      </w:r>
    </w:p>
    <w:tbl>
      <w:tblPr>
        <w:tblW w:w="5316" w:type="dxa"/>
        <w:jc w:val="left"/>
        <w:tblInd w:w="0" w:type="dxa"/>
        <w:tblLayout w:type="fixed"/>
        <w:tblCellMar>
          <w:top w:w="0" w:type="dxa"/>
          <w:left w:w="0" w:type="dxa"/>
          <w:bottom w:w="0" w:type="dxa"/>
          <w:right w:w="0" w:type="dxa"/>
        </w:tblCellMar>
      </w:tblPr>
      <w:tblGrid>
        <w:gridCol w:w="1640"/>
        <w:gridCol w:w="60"/>
        <w:gridCol w:w="140"/>
        <w:gridCol w:w="700"/>
        <w:gridCol w:w="64"/>
        <w:gridCol w:w="64"/>
        <w:gridCol w:w="150"/>
        <w:gridCol w:w="700"/>
        <w:gridCol w:w="64"/>
        <w:gridCol w:w="64"/>
        <w:gridCol w:w="150"/>
        <w:gridCol w:w="700"/>
        <w:gridCol w:w="60"/>
        <w:gridCol w:w="60"/>
        <w:gridCol w:w="140"/>
        <w:gridCol w:w="485"/>
        <w:gridCol w:w="75"/>
      </w:tblGrid>
      <w:tr>
        <w:trPr/>
        <w:tc>
          <w:tcPr>
            <w:tcW w:w="16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1</w:t>
            </w:r>
          </w:p>
        </w:tc>
        <w:tc>
          <w:tcPr>
            <w:tcW w:w="64" w:type="dxa"/>
            <w:tcBorders/>
            <w:shd w:fill="FFFFFF" w:val="clear"/>
            <w:vAlign w:val="center"/>
          </w:tcPr>
          <w:p>
            <w:pPr>
              <w:pStyle w:val="TableContents"/>
              <w:bidi w:val="0"/>
              <w:spacing w:before="0" w:after="283"/>
              <w:jc w:val="center"/>
              <w:rPr/>
            </w:pPr>
            <w:r>
              <w:rPr/>
              <w:t> </w:t>
            </w:r>
          </w:p>
        </w:tc>
        <w:tc>
          <w:tcPr>
            <w:tcW w:w="64" w:type="dxa"/>
            <w:tcBorders/>
            <w:shd w:fill="FFFFFF" w:val="clear"/>
            <w:vAlign w:val="center"/>
          </w:tcPr>
          <w:p>
            <w:pPr>
              <w:pStyle w:val="TableContents"/>
              <w:bidi w:val="0"/>
              <w:spacing w:before="0" w:after="283"/>
              <w:jc w:val="center"/>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2</w:t>
            </w:r>
          </w:p>
        </w:tc>
        <w:tc>
          <w:tcPr>
            <w:tcW w:w="64" w:type="dxa"/>
            <w:tcBorders/>
            <w:shd w:fill="FFFFFF" w:val="clear"/>
            <w:vAlign w:val="center"/>
          </w:tcPr>
          <w:p>
            <w:pPr>
              <w:pStyle w:val="TableContents"/>
              <w:bidi w:val="0"/>
              <w:spacing w:before="0" w:after="283"/>
              <w:jc w:val="center"/>
              <w:rPr/>
            </w:pPr>
            <w:r>
              <w:rPr/>
              <w:t> </w:t>
            </w:r>
          </w:p>
        </w:tc>
        <w:tc>
          <w:tcPr>
            <w:tcW w:w="64" w:type="dxa"/>
            <w:tcBorders/>
            <w:shd w:fill="FFFFFF" w:val="clear"/>
            <w:vAlign w:val="center"/>
          </w:tcPr>
          <w:p>
            <w:pPr>
              <w:pStyle w:val="TableContents"/>
              <w:bidi w:val="0"/>
              <w:spacing w:before="0" w:after="283"/>
              <w:jc w:val="center"/>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3</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shd w:fill="FFFFFF" w:val="clear"/>
            <w:vAlign w:val="center"/>
          </w:tcPr>
          <w:p>
            <w:pPr>
              <w:pStyle w:val="TableContents"/>
              <w:bidi w:val="0"/>
              <w:spacing w:before="0" w:after="283"/>
              <w:jc w:val="center"/>
              <w:rPr/>
            </w:pPr>
            <w:r>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75" w:type="dxa"/>
            <w:tcBorders/>
            <w:shd w:fill="FFFF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656" w:type="dxa"/>
            <w:gridSpan w:val="9"/>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Fair Value Measurements</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shd w:fill="FFFFFF" w:val="clear"/>
            <w:vAlign w:val="center"/>
          </w:tcPr>
          <w:p>
            <w:pPr>
              <w:pStyle w:val="TableContents"/>
              <w:bidi w:val="0"/>
              <w:spacing w:before="0" w:after="283"/>
              <w:jc w:val="center"/>
              <w:rPr/>
            </w:pPr>
            <w:r>
              <w:rPr/>
              <w:t> </w:t>
            </w:r>
          </w:p>
        </w:tc>
        <w:tc>
          <w:tcPr>
            <w:tcW w:w="485"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center"/>
              <w:rPr/>
            </w:pPr>
            <w:r>
              <w:rPr/>
              <w:t> </w:t>
            </w:r>
          </w:p>
        </w:tc>
      </w:tr>
      <w:tr>
        <w:trPr/>
        <w:tc>
          <w:tcPr>
            <w:tcW w:w="16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2656" w:type="dxa"/>
            <w:gridSpan w:val="9"/>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December 31, 2025 Using:</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center"/>
              <w:rPr/>
            </w:pPr>
            <w:r>
              <w:rPr/>
              <w:t> </w:t>
            </w:r>
          </w:p>
        </w:tc>
      </w:tr>
      <w:tr>
        <w:trPr/>
        <w:tc>
          <w:tcPr>
            <w:tcW w:w="16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1</w:t>
            </w:r>
          </w:p>
        </w:tc>
        <w:tc>
          <w:tcPr>
            <w:tcW w:w="64" w:type="dxa"/>
            <w:tcBorders/>
            <w:shd w:fill="FFFFFF" w:val="clear"/>
            <w:vAlign w:val="center"/>
          </w:tcPr>
          <w:p>
            <w:pPr>
              <w:pStyle w:val="TableContents"/>
              <w:bidi w:val="0"/>
              <w:spacing w:before="0" w:after="283"/>
              <w:jc w:val="center"/>
              <w:rPr/>
            </w:pPr>
            <w:r>
              <w:rPr/>
              <w:t> </w:t>
            </w:r>
          </w:p>
        </w:tc>
        <w:tc>
          <w:tcPr>
            <w:tcW w:w="64" w:type="dxa"/>
            <w:tcBorders/>
            <w:shd w:fill="FFFFFF" w:val="clear"/>
            <w:vAlign w:val="center"/>
          </w:tcPr>
          <w:p>
            <w:pPr>
              <w:pStyle w:val="TableContents"/>
              <w:bidi w:val="0"/>
              <w:spacing w:before="0" w:after="283"/>
              <w:jc w:val="center"/>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2</w:t>
            </w:r>
          </w:p>
        </w:tc>
        <w:tc>
          <w:tcPr>
            <w:tcW w:w="64" w:type="dxa"/>
            <w:tcBorders/>
            <w:shd w:fill="FFFFFF" w:val="clear"/>
            <w:vAlign w:val="center"/>
          </w:tcPr>
          <w:p>
            <w:pPr>
              <w:pStyle w:val="TableContents"/>
              <w:bidi w:val="0"/>
              <w:spacing w:before="0" w:after="283"/>
              <w:jc w:val="center"/>
              <w:rPr/>
            </w:pPr>
            <w:r>
              <w:rPr/>
              <w:t> </w:t>
            </w:r>
          </w:p>
        </w:tc>
        <w:tc>
          <w:tcPr>
            <w:tcW w:w="64" w:type="dxa"/>
            <w:tcBorders/>
            <w:shd w:fill="FFFFFF" w:val="clear"/>
            <w:vAlign w:val="center"/>
          </w:tcPr>
          <w:p>
            <w:pPr>
              <w:pStyle w:val="TableContents"/>
              <w:bidi w:val="0"/>
              <w:spacing w:before="0" w:after="283"/>
              <w:jc w:val="center"/>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3</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75" w:type="dxa"/>
            <w:tcBorders/>
            <w:shd w:fill="FFFF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283"/>
              <w:jc w:val="left"/>
              <w:rPr/>
            </w:pPr>
            <w:r>
              <w:rPr/>
              <w:t>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788" w:type="dxa"/>
        <w:jc w:val="left"/>
        <w:tblInd w:w="0" w:type="dxa"/>
        <w:tblLayout w:type="fixed"/>
        <w:tblCellMar>
          <w:top w:w="0" w:type="dxa"/>
          <w:left w:w="0" w:type="dxa"/>
          <w:bottom w:w="0" w:type="dxa"/>
          <w:right w:w="0" w:type="dxa"/>
        </w:tblCellMar>
      </w:tblPr>
      <w:tblGrid>
        <w:gridCol w:w="1640"/>
        <w:gridCol w:w="60"/>
        <w:gridCol w:w="192"/>
        <w:gridCol w:w="773"/>
        <w:gridCol w:w="75"/>
        <w:gridCol w:w="75"/>
        <w:gridCol w:w="336"/>
        <w:gridCol w:w="628"/>
        <w:gridCol w:w="75"/>
        <w:gridCol w:w="75"/>
        <w:gridCol w:w="336"/>
        <w:gridCol w:w="628"/>
        <w:gridCol w:w="60"/>
        <w:gridCol w:w="60"/>
        <w:gridCol w:w="140"/>
        <w:gridCol w:w="560"/>
        <w:gridCol w:w="75"/>
      </w:tblGrid>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3" w:type="dxa"/>
            <w:gridSpan w:val="10"/>
            <w:tcBorders/>
            <w:vAlign w:val="center"/>
          </w:tcPr>
          <w:p>
            <w:pPr>
              <w:pStyle w:val="TableContents"/>
              <w:bidi w:val="0"/>
              <w:spacing w:before="0" w:after="283"/>
              <w:jc w:val="center"/>
              <w:rPr>
                <w:b/>
              </w:rPr>
            </w:pPr>
            <w:r>
              <w:rPr>
                <w:b/>
              </w:rPr>
              <w:t>Fair Value Measurements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3"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as of December 31, 2024 Using: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Assets:</w:t>
            </w:r>
          </w:p>
        </w:tc>
        <w:tc>
          <w:tcPr>
            <w:tcW w:w="60" w:type="dxa"/>
            <w:tcBorders/>
            <w:shd w:fill="CCEEFF" w:val="clear"/>
            <w:vAlign w:val="center"/>
          </w:tcPr>
          <w:p>
            <w:pPr>
              <w:pStyle w:val="TableContents"/>
              <w:bidi w:val="0"/>
              <w:spacing w:before="0" w:after="283"/>
              <w:jc w:val="left"/>
              <w:rPr/>
            </w:pPr>
            <w:r>
              <w:rPr/>
              <w:t> </w:t>
            </w:r>
          </w:p>
        </w:tc>
        <w:tc>
          <w:tcPr>
            <w:tcW w:w="965"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964"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964"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0"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283"/>
              <w:jc w:val="left"/>
              <w:rPr/>
            </w:pPr>
            <w:r>
              <w:rPr/>
              <w:t>Cash equivalents</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pPr>
            <w:r>
              <w:rPr/>
              <w:t>3,044</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33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2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33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2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3,044</w:t>
            </w:r>
          </w:p>
        </w:tc>
        <w:tc>
          <w:tcPr>
            <w:tcW w:w="75" w:type="dxa"/>
            <w:tcBorders/>
            <w:shd w:fill="FFFF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3" w:type="dxa"/>
            <w:tcBorders>
              <w:bottom w:val="double" w:sz="6" w:space="0" w:color="000000"/>
            </w:tcBorders>
            <w:shd w:fill="CCEEFF" w:val="clear"/>
            <w:tcMar>
              <w:bottom w:w="28" w:type="dxa"/>
            </w:tcMar>
            <w:vAlign w:val="center"/>
          </w:tcPr>
          <w:p>
            <w:pPr>
              <w:pStyle w:val="TableContents"/>
              <w:bidi w:val="0"/>
              <w:spacing w:before="0" w:after="283"/>
              <w:jc w:val="right"/>
              <w:rPr/>
            </w:pPr>
            <w:r>
              <w:rPr/>
              <w:t>3,044</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33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2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33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2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3,044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inventory at December 31, 2025 and 2024 (in thousands):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Inventory</w:t>
      </w:r>
    </w:p>
    <w:tbl>
      <w:tblPr>
        <w:tblW w:w="4754" w:type="dxa"/>
        <w:jc w:val="left"/>
        <w:tblInd w:w="0" w:type="dxa"/>
        <w:tblLayout w:type="fixed"/>
        <w:tblCellMar>
          <w:top w:w="0" w:type="dxa"/>
          <w:left w:w="0" w:type="dxa"/>
          <w:bottom w:w="0" w:type="dxa"/>
          <w:right w:w="0" w:type="dxa"/>
        </w:tblCellMar>
      </w:tblPr>
      <w:tblGrid>
        <w:gridCol w:w="1670"/>
        <w:gridCol w:w="60"/>
        <w:gridCol w:w="283"/>
        <w:gridCol w:w="1132"/>
        <w:gridCol w:w="60"/>
        <w:gridCol w:w="60"/>
        <w:gridCol w:w="223"/>
        <w:gridCol w:w="1191"/>
        <w:gridCol w:w="75"/>
      </w:tblGrid>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283"/>
              <w:jc w:val="left"/>
              <w:rPr/>
            </w:pPr>
            <w:r>
              <w:rPr/>
              <w:t>Consumables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Work in progress</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283"/>
              <w:jc w:val="left"/>
              <w:rPr/>
            </w:pPr>
            <w:r>
              <w:rPr/>
              <w:t>Finished goods</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1,008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inventory</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1,384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is recorded at the lower of cost or net realizable value, where cost is measured on a first-in, first-out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Accounts receivable Accounts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accounts receivable at December 31, 2025 and 2024 (in thousands):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Accounts Receivables</w:t>
      </w:r>
    </w:p>
    <w:tbl>
      <w:tblPr>
        <w:tblW w:w="5804" w:type="dxa"/>
        <w:jc w:val="left"/>
        <w:tblInd w:w="0" w:type="dxa"/>
        <w:tblLayout w:type="fixed"/>
        <w:tblCellMar>
          <w:top w:w="0" w:type="dxa"/>
          <w:left w:w="0" w:type="dxa"/>
          <w:bottom w:w="0" w:type="dxa"/>
          <w:right w:w="0" w:type="dxa"/>
        </w:tblCellMar>
      </w:tblPr>
      <w:tblGrid>
        <w:gridCol w:w="2720"/>
        <w:gridCol w:w="60"/>
        <w:gridCol w:w="283"/>
        <w:gridCol w:w="1132"/>
        <w:gridCol w:w="60"/>
        <w:gridCol w:w="60"/>
        <w:gridCol w:w="210"/>
        <w:gridCol w:w="1204"/>
        <w:gridCol w:w="75"/>
      </w:tblGrid>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283"/>
              <w:jc w:val="left"/>
              <w:rPr/>
            </w:pPr>
            <w:r>
              <w:rPr/>
              <w:t>Accounts receivables</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1,257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283"/>
              <w:jc w:val="left"/>
              <w:rPr/>
            </w:pPr>
            <w:r>
              <w:rPr/>
              <w:t>Accounts receivable gross</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283"/>
              <w:jc w:val="left"/>
              <w:rPr/>
            </w:pPr>
            <w:r>
              <w:rPr/>
              <w:t>Allowance for doubtful debt</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accounts receivables</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1,257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receivables are net of allowance for doubtful debt, which stood at $539,441 as at December 31, 2025, and is determined based on expected credit losses. Losses are provided at the rate of 10% against balances greater than 120-149 days, 25% against balances greater than 150-179 days, 35% against balances greater than 180-364 days, and 50% against balances greater than 365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Prepaid Expenses and Other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Assets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prepaid expenses and other current assets at December 31, 2025 and 2024 (in thousands):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Prepaid Expenses and Other Current Assets</w:t>
      </w:r>
    </w:p>
    <w:tbl>
      <w:tblPr>
        <w:tblW w:w="6448" w:type="dxa"/>
        <w:jc w:val="left"/>
        <w:tblInd w:w="0" w:type="dxa"/>
        <w:tblLayout w:type="fixed"/>
        <w:tblCellMar>
          <w:top w:w="0" w:type="dxa"/>
          <w:left w:w="0" w:type="dxa"/>
          <w:bottom w:w="0" w:type="dxa"/>
          <w:right w:w="0" w:type="dxa"/>
        </w:tblCellMar>
      </w:tblPr>
      <w:tblGrid>
        <w:gridCol w:w="3365"/>
        <w:gridCol w:w="60"/>
        <w:gridCol w:w="380"/>
        <w:gridCol w:w="1034"/>
        <w:gridCol w:w="60"/>
        <w:gridCol w:w="60"/>
        <w:gridCol w:w="223"/>
        <w:gridCol w:w="1191"/>
        <w:gridCol w:w="75"/>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pPr>
            <w:r>
              <w:rPr/>
              <w:t>Prepayments</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r>
              <w:rPr/>
              <w:t>212</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pPr>
            <w:r>
              <w:rPr/>
              <w:t>104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1" w:type="dxa"/>
            <w:tcBorders>
              <w:bottom w:val="single" w:sz="8" w:space="0" w:color="000000"/>
            </w:tcBorders>
            <w:shd w:fill="FFFFFF" w:val="clear"/>
            <w:tcMar>
              <w:bottom w:w="28" w:type="dxa"/>
            </w:tcMar>
            <w:vAlign w:val="center"/>
          </w:tcPr>
          <w:p>
            <w:pPr>
              <w:pStyle w:val="TableContents"/>
              <w:bidi w:val="0"/>
              <w:spacing w:before="0" w:after="283"/>
              <w:jc w:val="right"/>
              <w:rPr/>
            </w:pPr>
            <w:r>
              <w:rPr/>
              <w:t>325</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jc w:val="right"/>
              <w:rPr/>
            </w:pPr>
            <w:r>
              <w:rPr/>
              <w:t>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1" w:type="dxa"/>
            <w:tcBorders>
              <w:bottom w:val="double" w:sz="6" w:space="0" w:color="000000"/>
            </w:tcBorders>
            <w:shd w:fill="CCEEFF" w:val="clear"/>
            <w:tcMar>
              <w:bottom w:w="28" w:type="dxa"/>
            </w:tcMar>
            <w:vAlign w:val="center"/>
          </w:tcPr>
          <w:p>
            <w:pPr>
              <w:pStyle w:val="TableContents"/>
              <w:bidi w:val="0"/>
              <w:spacing w:before="0" w:after="283"/>
              <w:jc w:val="right"/>
              <w:rPr/>
            </w:pPr>
            <w:r>
              <w:rPr/>
              <w:t>537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2025, the Company completed the acquisition of Fitters Sdn. Bhd. (“Fitters Sub”), a Malaysian private limited company and wholly-owned subsidiary of FITTERS Diversified Berhad, a Malaysian publicly listed company (“FITTERS”). Following the closing of the Transaction, Fitters Sub became a wholly-owned subsidiary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primarily represents the value of assembled workforce and other intangible assets that cannot be individually identified and recognized as a separate intangible asset under U.S. generally accepted accounting principles and is fully deductible for tax purposes. Goodwill consisted of the following (in $000s):</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Goodwill</w:t>
      </w:r>
    </w:p>
    <w:tbl>
      <w:tblPr>
        <w:tblW w:w="5070" w:type="dxa"/>
        <w:jc w:val="left"/>
        <w:tblInd w:w="0" w:type="dxa"/>
        <w:tblLayout w:type="fixed"/>
        <w:tblCellMar>
          <w:top w:w="0" w:type="dxa"/>
          <w:left w:w="0" w:type="dxa"/>
          <w:bottom w:w="0" w:type="dxa"/>
          <w:right w:w="0" w:type="dxa"/>
        </w:tblCellMar>
      </w:tblPr>
      <w:tblGrid>
        <w:gridCol w:w="4235"/>
        <w:gridCol w:w="60"/>
        <w:gridCol w:w="140"/>
        <w:gridCol w:w="560"/>
        <w:gridCol w:w="75"/>
      </w:tblGrid>
      <w:tr>
        <w:trPr/>
        <w:tc>
          <w:tcPr>
            <w:tcW w:w="4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pPr>
            <w:r>
              <w:rPr/>
              <w:t>Balance at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pPr>
            <w:r>
              <w:rPr/>
              <w:t>Balance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left"/>
              <w:rPr/>
            </w:pPr>
            <w:r>
              <w:rPr/>
              <w:t>Goodwill on acquisition of Fitters Sdn. Bhd.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1,570</w:t>
            </w:r>
          </w:p>
        </w:tc>
        <w:tc>
          <w:tcPr>
            <w:tcW w:w="75"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1,570</w:t>
            </w:r>
          </w:p>
        </w:tc>
        <w:tc>
          <w:tcPr>
            <w:tcW w:w="75" w:type="dxa"/>
            <w:tcBorders/>
            <w:shd w:fill="CCEE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pPr>
            <w:r>
              <w:rPr/>
              <w:t>Balance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1,570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Preliminary Allocation of Purchase Consideration</w:t>
      </w:r>
    </w:p>
    <w:tbl>
      <w:tblPr>
        <w:tblW w:w="9170" w:type="dxa"/>
        <w:jc w:val="left"/>
        <w:tblInd w:w="0" w:type="dxa"/>
        <w:tblLayout w:type="fixed"/>
        <w:tblCellMar>
          <w:top w:w="0" w:type="dxa"/>
          <w:left w:w="0" w:type="dxa"/>
          <w:bottom w:w="0" w:type="dxa"/>
          <w:right w:w="0" w:type="dxa"/>
        </w:tblCellMar>
      </w:tblPr>
      <w:tblGrid>
        <w:gridCol w:w="7880"/>
        <w:gridCol w:w="60"/>
        <w:gridCol w:w="140"/>
        <w:gridCol w:w="980"/>
        <w:gridCol w:w="110"/>
      </w:tblGrid>
      <w:tr>
        <w:trPr/>
        <w:tc>
          <w:tcPr>
            <w:tcW w:w="78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r>
      <w:tr>
        <w:trPr/>
        <w:tc>
          <w:tcPr>
            <w:tcW w:w="9170" w:type="dxa"/>
            <w:gridSpan w:val="5"/>
            <w:tcBorders>
              <w:bottom w:val="single" w:sz="8" w:space="0" w:color="000000"/>
            </w:tcBorders>
            <w:tcMar>
              <w:bottom w:w="28" w:type="dxa"/>
            </w:tcMar>
            <w:vAlign w:val="center"/>
          </w:tcPr>
          <w:p>
            <w:pPr>
              <w:pStyle w:val="TableContents"/>
              <w:bidi w:val="0"/>
              <w:spacing w:before="0" w:after="283"/>
              <w:jc w:val="left"/>
              <w:rPr>
                <w:b/>
              </w:rPr>
            </w:pPr>
            <w:r>
              <w:rPr>
                <w:b/>
              </w:rPr>
              <w:t>Allocation of purchase consideration</w:t>
            </w:r>
          </w:p>
        </w:tc>
      </w:tr>
      <w:tr>
        <w:trPr/>
        <w:tc>
          <w:tcPr>
            <w:tcW w:w="7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pPr>
            <w:r>
              <w:rPr/>
              <w:t>Common Stock of BGMS (formerly CYCC) Shares O/S as of September 11,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2,798,379</w:t>
            </w:r>
          </w:p>
        </w:tc>
        <w:tc>
          <w:tcPr>
            <w:tcW w:w="110"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r>
              <w:rPr/>
              <w:t>19.99% of BGMS (formerly CYCC) Shares issued as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699,158</w:t>
            </w:r>
          </w:p>
        </w:tc>
        <w:tc>
          <w:tcPr>
            <w:tcW w:w="110"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pPr>
            <w:r>
              <w:rPr/>
              <w:t>Stock Price as of September 11,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6.3650</w:t>
            </w:r>
          </w:p>
        </w:tc>
        <w:tc>
          <w:tcPr>
            <w:tcW w:w="110"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r>
              <w:rPr/>
              <w:t>Cash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b/>
              </w:rPr>
            </w:pPr>
            <w:r>
              <w:rPr>
                <w:b/>
              </w:rPr>
              <w:t>Total Estimated Purchase Consideration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4,450,138</w:t>
            </w:r>
          </w:p>
        </w:tc>
        <w:tc>
          <w:tcPr>
            <w:tcW w:w="110"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784,090</w:t>
            </w:r>
          </w:p>
        </w:tc>
        <w:tc>
          <w:tcPr>
            <w:tcW w:w="110"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1,284,447</w:t>
            </w:r>
          </w:p>
        </w:tc>
        <w:tc>
          <w:tcPr>
            <w:tcW w:w="110"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pPr>
            <w:r>
              <w:rPr/>
              <w:t>Accounts receivables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715,173</w:t>
            </w:r>
          </w:p>
        </w:tc>
        <w:tc>
          <w:tcPr>
            <w:tcW w:w="110"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r>
              <w:rPr/>
              <w:t>Prepaid &amp;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464,129</w:t>
            </w:r>
          </w:p>
        </w:tc>
        <w:tc>
          <w:tcPr>
            <w:tcW w:w="110"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pPr>
            <w:r>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129,423</w:t>
            </w:r>
          </w:p>
        </w:tc>
        <w:tc>
          <w:tcPr>
            <w:tcW w:w="110"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r>
              <w:rPr/>
              <w:t>Trade payables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(416,470</w:t>
            </w:r>
          </w:p>
        </w:tc>
        <w:tc>
          <w:tcPr>
            <w:tcW w:w="110" w:type="dxa"/>
            <w:tcBorders/>
            <w:shd w:fill="FFFFFF" w:val="clear"/>
            <w:vAlign w:val="center"/>
          </w:tcPr>
          <w:p>
            <w:pPr>
              <w:pStyle w:val="TableContents"/>
              <w:bidi w:val="0"/>
              <w:spacing w:before="0" w:after="283"/>
              <w:jc w:val="left"/>
              <w:rPr/>
            </w:pPr>
            <w:r>
              <w:rPr/>
              <w:t>)</w:t>
            </w:r>
          </w:p>
        </w:tc>
      </w:tr>
      <w:tr>
        <w:trPr/>
        <w:tc>
          <w:tcPr>
            <w:tcW w:w="7880" w:type="dxa"/>
            <w:tcBorders/>
            <w:shd w:fill="CCEEFF" w:val="clear"/>
            <w:vAlign w:val="center"/>
          </w:tcPr>
          <w:p>
            <w:pPr>
              <w:pStyle w:val="TableContents"/>
              <w:bidi w:val="0"/>
              <w:spacing w:before="0" w:after="283"/>
              <w:jc w:val="left"/>
              <w:rPr/>
            </w:pPr>
            <w:r>
              <w:rPr/>
              <w:t>Accrued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(31,571</w:t>
            </w:r>
          </w:p>
        </w:tc>
        <w:tc>
          <w:tcPr>
            <w:tcW w:w="110" w:type="dxa"/>
            <w:tcBorders/>
            <w:shd w:fill="CCEEFF" w:val="clear"/>
            <w:vAlign w:val="center"/>
          </w:tcPr>
          <w:p>
            <w:pPr>
              <w:pStyle w:val="TableContents"/>
              <w:bidi w:val="0"/>
              <w:spacing w:before="0" w:after="283"/>
              <w:jc w:val="left"/>
              <w:rPr/>
            </w:pPr>
            <w:r>
              <w:rPr/>
              <w:t>)</w:t>
            </w:r>
          </w:p>
        </w:tc>
      </w:tr>
      <w:tr>
        <w:trPr/>
        <w:tc>
          <w:tcPr>
            <w:tcW w:w="7880" w:type="dxa"/>
            <w:tcBorders/>
            <w:shd w:fill="FFFFFF" w:val="clear"/>
            <w:vAlign w:val="center"/>
          </w:tcPr>
          <w:p>
            <w:pPr>
              <w:pStyle w:val="TableContents"/>
              <w:bidi w:val="0"/>
              <w:spacing w:before="0" w:after="283"/>
              <w:jc w:val="left"/>
              <w:rPr/>
            </w:pPr>
            <w:r>
              <w:rPr/>
              <w:t>Non-current liabilities - deferred tax</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(48,739</w:t>
            </w:r>
          </w:p>
        </w:tc>
        <w:tc>
          <w:tcPr>
            <w:tcW w:w="110" w:type="dxa"/>
            <w:tcBorders/>
            <w:shd w:fill="FFFFFF" w:val="clear"/>
            <w:vAlign w:val="center"/>
          </w:tcPr>
          <w:p>
            <w:pPr>
              <w:pStyle w:val="TableContents"/>
              <w:bidi w:val="0"/>
              <w:spacing w:before="0" w:after="283"/>
              <w:jc w:val="left"/>
              <w:rPr/>
            </w:pPr>
            <w:r>
              <w:rPr/>
              <w:t>)</w:t>
            </w:r>
          </w:p>
        </w:tc>
      </w:tr>
      <w:tr>
        <w:trPr/>
        <w:tc>
          <w:tcPr>
            <w:tcW w:w="7880"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1,569,656</w:t>
            </w:r>
          </w:p>
        </w:tc>
        <w:tc>
          <w:tcPr>
            <w:tcW w:w="110"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b/>
              </w:rPr>
            </w:pPr>
            <w:r>
              <w:rPr>
                <w:b/>
              </w:rPr>
              <w:t>Total Net Assets Acquired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4,450,138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receivables, and other short-term assets and liabilities have been valued at their historical carrying amounts, as the Company believes there are no material differences between those amounts and fair value. The Company similarly determined that fair value of the acquired property, plant, and equipment is materially the same as its historical carrying value as of the acquisition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information for the years ended December 31, 2025 and December 31, 2024 gives effect to the Transaction as if it took place as of January 1, 2024, and combines the historical results of Fitters and the Company for each period. The pro forma results do not include any anticipated cost synergies or other effects of the combined Company. Accordingly, pro forma amounts are not necessarily indicative of the results that actually would have occurred had the acquisitions been completed on the dates indicated, nor are they indicative of the Company’s future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SUPPLEMENTAL PRO FORMA INFORMATION FOR REVENUE AND EARNINGS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i w:val="false"/>
          <w:caps w:val="false"/>
          <w:smallCaps w:val="false"/>
          <w:sz w:val="20"/>
        </w:rPr>
        <w:t>Schedule of Business Acquisitions Pro Forma Information</w:t>
      </w:r>
    </w:p>
    <w:tbl>
      <w:tblPr>
        <w:tblW w:w="8968" w:type="dxa"/>
        <w:jc w:val="left"/>
        <w:tblInd w:w="0" w:type="dxa"/>
        <w:tblLayout w:type="fixed"/>
        <w:tblCellMar>
          <w:top w:w="0" w:type="dxa"/>
          <w:left w:w="0" w:type="dxa"/>
          <w:bottom w:w="0" w:type="dxa"/>
          <w:right w:w="0" w:type="dxa"/>
        </w:tblCellMar>
      </w:tblPr>
      <w:tblGrid>
        <w:gridCol w:w="6140"/>
        <w:gridCol w:w="60"/>
        <w:gridCol w:w="204"/>
        <w:gridCol w:w="925"/>
        <w:gridCol w:w="138"/>
        <w:gridCol w:w="87"/>
        <w:gridCol w:w="204"/>
        <w:gridCol w:w="1100"/>
        <w:gridCol w:w="110"/>
      </w:tblGrid>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8"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3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8"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3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30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pPr>
            <w:r>
              <w:rPr/>
              <w:t>Pro forma revenue</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2,080</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2,053</w:t>
            </w:r>
          </w:p>
        </w:tc>
        <w:tc>
          <w:tcPr>
            <w:tcW w:w="11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left"/>
              <w:rPr/>
            </w:pPr>
            <w:r>
              <w:rPr/>
              <w:t>Pro forma net loss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w:t>
            </w:r>
          </w:p>
        </w:tc>
        <w:tc>
          <w:tcPr>
            <w:tcW w:w="925" w:type="dxa"/>
            <w:tcBorders/>
            <w:shd w:fill="FFFFFF" w:val="clear"/>
            <w:vAlign w:val="center"/>
          </w:tcPr>
          <w:p>
            <w:pPr>
              <w:pStyle w:val="TableContents"/>
              <w:bidi w:val="0"/>
              <w:spacing w:before="0" w:after="283"/>
              <w:jc w:val="right"/>
              <w:rPr/>
            </w:pPr>
            <w:r>
              <w:rPr/>
              <w:t>(3,191</w:t>
            </w:r>
          </w:p>
        </w:tc>
        <w:tc>
          <w:tcPr>
            <w:tcW w:w="138"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(13,333</w:t>
            </w:r>
          </w:p>
        </w:tc>
        <w:tc>
          <w:tcPr>
            <w:tcW w:w="110" w:type="dxa"/>
            <w:tcBorders/>
            <w:shd w:fill="FFFFFF" w:val="clear"/>
            <w:vAlign w:val="center"/>
          </w:tcPr>
          <w:p>
            <w:pPr>
              <w:pStyle w:val="TableContents"/>
              <w:bidi w:val="0"/>
              <w:spacing w:before="0" w:after="283"/>
              <w:jc w:val="left"/>
              <w:rPr/>
            </w:pPr>
            <w:r>
              <w:rPr/>
              <w:t>)</w:t>
            </w:r>
          </w:p>
        </w:tc>
      </w:tr>
      <w:tr>
        <w:trPr/>
        <w:tc>
          <w:tcPr>
            <w:tcW w:w="6140" w:type="dxa"/>
            <w:tcBorders/>
            <w:shd w:fill="CCEEFF" w:val="clear"/>
            <w:vAlign w:val="center"/>
          </w:tcPr>
          <w:p>
            <w:pPr>
              <w:pStyle w:val="TableContents"/>
              <w:bidi w:val="0"/>
              <w:spacing w:before="0" w:after="283"/>
              <w:jc w:val="left"/>
              <w:rPr/>
            </w:pPr>
            <w:r>
              <w:rPr/>
              <w:t>Pro forma net loss per share attributable to common shareholders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(6.57</w:t>
            </w:r>
          </w:p>
        </w:tc>
        <w:tc>
          <w:tcPr>
            <w:tcW w:w="138" w:type="dxa"/>
            <w:tcBorders/>
            <w:shd w:fill="CCEEFF" w:val="clear"/>
            <w:vAlign w:val="center"/>
          </w:tcPr>
          <w:p>
            <w:pPr>
              <w:pStyle w:val="TableContents"/>
              <w:bidi w:val="0"/>
              <w:spacing w:before="0" w:after="283"/>
              <w:jc w:val="left"/>
              <w:rPr/>
            </w:pPr>
            <w:r>
              <w:rPr/>
              <w:t>)</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(602.02</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Non-Current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$0.2 million of non-current assets as of December 31, 2025 and $0.4 million as of December 31, 2024. The balance at December 31, 2025 relates to a 1.7 million Malaysian Ringgit (approximately $0.4M) loan to an unrelated customer. The loan is interest bearing at a rate of 8% per annum, and is recorded as a component of 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 at December 31, 2024 primarily comprised of deposits held by a contract research organization in relation to the Company’s clinical trials.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consisted of the following at December 31, 2025 and 2024 (in thousands):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Schedule of Property and Equipment </w:t>
      </w:r>
    </w:p>
    <w:tbl>
      <w:tblPr>
        <w:tblW w:w="7682" w:type="dxa"/>
        <w:jc w:val="left"/>
        <w:tblInd w:w="0" w:type="dxa"/>
        <w:tblLayout w:type="fixed"/>
        <w:tblCellMar>
          <w:top w:w="0" w:type="dxa"/>
          <w:left w:w="0" w:type="dxa"/>
          <w:bottom w:w="0" w:type="dxa"/>
          <w:right w:w="0" w:type="dxa"/>
        </w:tblCellMar>
      </w:tblPr>
      <w:tblGrid>
        <w:gridCol w:w="4625"/>
        <w:gridCol w:w="60"/>
        <w:gridCol w:w="1415"/>
        <w:gridCol w:w="60"/>
        <w:gridCol w:w="147"/>
        <w:gridCol w:w="478"/>
        <w:gridCol w:w="99"/>
        <w:gridCol w:w="63"/>
        <w:gridCol w:w="147"/>
        <w:gridCol w:w="478"/>
        <w:gridCol w:w="110"/>
      </w:tblGrid>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center"/>
              <w:rPr>
                <w:b/>
              </w:rPr>
            </w:pPr>
            <w:r>
              <w:rPr>
                <w:b/>
              </w:rPr>
              <w:t>Lives in years</w:t>
            </w:r>
          </w:p>
        </w:tc>
        <w:tc>
          <w:tcPr>
            <w:tcW w:w="60" w:type="dxa"/>
            <w:tcBorders/>
            <w:vAlign w:val="center"/>
          </w:tcPr>
          <w:p>
            <w:pPr>
              <w:pStyle w:val="TableContents"/>
              <w:bidi w:val="0"/>
              <w:spacing w:before="0" w:after="283"/>
              <w:jc w:val="left"/>
              <w:rPr/>
            </w:pPr>
            <w:r>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9"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center"/>
              <w:rPr>
                <w:b/>
              </w:rPr>
            </w:pPr>
            <w:r>
              <w:rPr>
                <w:b/>
              </w:rPr>
              <w:t>Lives in years</w:t>
            </w:r>
          </w:p>
        </w:tc>
        <w:tc>
          <w:tcPr>
            <w:tcW w:w="60" w:type="dxa"/>
            <w:tcBorders/>
            <w:vAlign w:val="center"/>
          </w:tcPr>
          <w:p>
            <w:pPr>
              <w:pStyle w:val="TableContents"/>
              <w:bidi w:val="0"/>
              <w:spacing w:before="0" w:after="283"/>
              <w:jc w:val="left"/>
              <w:rPr/>
            </w:pPr>
            <w:r>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9"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center"/>
              <w:rPr/>
            </w:pPr>
            <w:r>
              <w:rPr/>
              <w:t>1 to 2</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478" w:type="dxa"/>
            <w:tcBorders/>
            <w:shd w:fill="CCEEFF" w:val="clear"/>
            <w:vAlign w:val="center"/>
          </w:tcPr>
          <w:p>
            <w:pPr>
              <w:pStyle w:val="TableContents"/>
              <w:bidi w:val="0"/>
              <w:spacing w:before="0" w:after="283"/>
              <w:jc w:val="right"/>
              <w:rPr/>
            </w:pPr>
            <w:r>
              <w:rPr/>
              <w:t>138</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478" w:type="dxa"/>
            <w:tcBorders/>
            <w:shd w:fill="CCEEFF" w:val="clear"/>
            <w:vAlign w:val="center"/>
          </w:tcPr>
          <w:p>
            <w:pPr>
              <w:pStyle w:val="TableContents"/>
              <w:bidi w:val="0"/>
              <w:spacing w:before="0" w:after="283"/>
              <w:jc w:val="right"/>
              <w:rPr/>
            </w:pPr>
            <w:r>
              <w:rPr/>
              <w:t>6</w:t>
            </w:r>
          </w:p>
        </w:tc>
        <w:tc>
          <w:tcPr>
            <w:tcW w:w="11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pPr>
            <w:r>
              <w:rPr/>
              <w:t>Plant &amp; Equipment</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center"/>
              <w:rPr/>
            </w:pPr>
            <w:r>
              <w:rPr/>
              <w:t>3 to 5</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pPr>
            <w:r>
              <w:rPr/>
              <w:t>1</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pPr>
            <w:r>
              <w:rPr/>
              <w:t>Office equipment and furniture</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center"/>
              <w:rPr/>
            </w:pPr>
            <w:r>
              <w:rPr/>
              <w:t>3 to 5</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78" w:type="dxa"/>
            <w:tcBorders>
              <w:bottom w:val="single" w:sz="8" w:space="0" w:color="000000"/>
            </w:tcBorders>
            <w:shd w:fill="CCEEFF" w:val="clear"/>
            <w:tcMar>
              <w:bottom w:w="28" w:type="dxa"/>
            </w:tcMar>
            <w:vAlign w:val="center"/>
          </w:tcPr>
          <w:p>
            <w:pPr>
              <w:pStyle w:val="TableContents"/>
              <w:bidi w:val="0"/>
              <w:spacing w:before="0" w:after="283"/>
              <w:jc w:val="right"/>
              <w:rPr/>
            </w:pPr>
            <w:r>
              <w:rPr/>
              <w:t>282</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78" w:type="dxa"/>
            <w:tcBorders>
              <w:bottom w:val="single" w:sz="8" w:space="0" w:color="000000"/>
            </w:tcBorders>
            <w:shd w:fill="CCEEFF" w:val="clear"/>
            <w:tcMar>
              <w:bottom w:w="28" w:type="dxa"/>
            </w:tcMar>
            <w:vAlign w:val="center"/>
          </w:tcPr>
          <w:p>
            <w:pPr>
              <w:pStyle w:val="TableContents"/>
              <w:bidi w:val="0"/>
              <w:spacing w:before="0" w:after="283"/>
              <w:jc w:val="right"/>
              <w:rPr/>
            </w:pPr>
            <w:r>
              <w:rPr/>
              <w:t>420</w:t>
            </w:r>
          </w:p>
        </w:tc>
        <w:tc>
          <w:tcPr>
            <w:tcW w:w="11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 gross</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pPr>
            <w:r>
              <w:rPr/>
              <w:t>421</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pPr>
            <w:r>
              <w:rPr/>
              <w:t>427</w:t>
            </w:r>
          </w:p>
        </w:tc>
        <w:tc>
          <w:tcPr>
            <w:tcW w:w="110"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pPr>
            <w:r>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78" w:type="dxa"/>
            <w:tcBorders>
              <w:bottom w:val="single" w:sz="8" w:space="0" w:color="000000"/>
            </w:tcBorders>
            <w:shd w:fill="CCEEFF" w:val="clear"/>
            <w:tcMar>
              <w:bottom w:w="28" w:type="dxa"/>
            </w:tcMar>
            <w:vAlign w:val="center"/>
          </w:tcPr>
          <w:p>
            <w:pPr>
              <w:pStyle w:val="TableContents"/>
              <w:bidi w:val="0"/>
              <w:spacing w:before="0" w:after="283"/>
              <w:jc w:val="right"/>
              <w:rPr/>
            </w:pPr>
            <w:r>
              <w:rPr/>
              <w:t>(284</w:t>
            </w:r>
          </w:p>
        </w:tc>
        <w:tc>
          <w:tcPr>
            <w:tcW w:w="99"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78" w:type="dxa"/>
            <w:tcBorders>
              <w:bottom w:val="single" w:sz="8" w:space="0" w:color="000000"/>
            </w:tcBorders>
            <w:shd w:fill="CCEEFF" w:val="clear"/>
            <w:tcMar>
              <w:bottom w:w="28" w:type="dxa"/>
            </w:tcMar>
            <w:vAlign w:val="center"/>
          </w:tcPr>
          <w:p>
            <w:pPr>
              <w:pStyle w:val="TableContents"/>
              <w:bidi w:val="0"/>
              <w:spacing w:before="0" w:after="283"/>
              <w:jc w:val="right"/>
              <w:rPr/>
            </w:pPr>
            <w:r>
              <w:rPr/>
              <w:t>(424</w:t>
            </w:r>
          </w:p>
        </w:tc>
        <w:tc>
          <w:tcPr>
            <w:tcW w:w="110" w:type="dxa"/>
            <w:tcBorders/>
            <w:shd w:fill="CCEEFF" w:val="clear"/>
            <w:vAlign w:val="center"/>
          </w:tcPr>
          <w:p>
            <w:pPr>
              <w:pStyle w:val="TableContents"/>
              <w:bidi w:val="0"/>
              <w:spacing w:before="0" w:after="283"/>
              <w:jc w:val="left"/>
              <w:rPr/>
            </w:pPr>
            <w:r>
              <w:rPr/>
              <w:t>)</w:t>
            </w:r>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78" w:type="dxa"/>
            <w:tcBorders>
              <w:bottom w:val="double" w:sz="6" w:space="0" w:color="000000"/>
            </w:tcBorders>
            <w:shd w:fill="FFFFFF" w:val="clear"/>
            <w:tcMar>
              <w:bottom w:w="28" w:type="dxa"/>
            </w:tcMar>
            <w:vAlign w:val="center"/>
          </w:tcPr>
          <w:p>
            <w:pPr>
              <w:pStyle w:val="TableContents"/>
              <w:bidi w:val="0"/>
              <w:spacing w:before="0" w:after="283"/>
              <w:jc w:val="right"/>
              <w:rPr/>
            </w:pPr>
            <w:r>
              <w:rPr/>
              <w:t>137</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78" w:type="dxa"/>
            <w:tcBorders>
              <w:bottom w:val="double" w:sz="6" w:space="0" w:color="000000"/>
            </w:tcBorders>
            <w:shd w:fill="FFFFFF" w:val="clear"/>
            <w:tcMar>
              <w:bottom w:w="28" w:type="dxa"/>
            </w:tcMar>
            <w:vAlign w:val="center"/>
          </w:tcPr>
          <w:p>
            <w:pPr>
              <w:pStyle w:val="TableContents"/>
              <w:bidi w:val="0"/>
              <w:spacing w:before="0" w:after="283"/>
              <w:jc w:val="right"/>
              <w:rPr/>
            </w:pPr>
            <w:r>
              <w:rPr/>
              <w:t>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Accrued and Other Current Liabilities Accrued and Other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and other current liabilities consisted of the following items as of December 31, 2025 and 2024 (in thousands):</w:t>
      </w:r>
    </w:p>
    <w:p>
      <w:pPr>
        <w:pStyle w:val="TextBody"/>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Accrued and Other Current Liabilities</w:t>
      </w:r>
    </w:p>
    <w:tbl>
      <w:tblPr>
        <w:tblW w:w="6479" w:type="dxa"/>
        <w:jc w:val="left"/>
        <w:tblInd w:w="0" w:type="dxa"/>
        <w:tblLayout w:type="fixed"/>
        <w:tblCellMar>
          <w:top w:w="0" w:type="dxa"/>
          <w:left w:w="0" w:type="dxa"/>
          <w:bottom w:w="0" w:type="dxa"/>
          <w:right w:w="0" w:type="dxa"/>
        </w:tblCellMar>
      </w:tblPr>
      <w:tblGrid>
        <w:gridCol w:w="3395"/>
        <w:gridCol w:w="60"/>
        <w:gridCol w:w="241"/>
        <w:gridCol w:w="1173"/>
        <w:gridCol w:w="60"/>
        <w:gridCol w:w="60"/>
        <w:gridCol w:w="283"/>
        <w:gridCol w:w="1132"/>
        <w:gridCol w:w="75"/>
      </w:tblGrid>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Accrued research and development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1,299</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pPr>
            <w:r>
              <w:rPr/>
              <w:t>Accrued legal and professional fees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87</w:t>
            </w:r>
          </w:p>
        </w:tc>
        <w:tc>
          <w:tcPr>
            <w:tcW w:w="75"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Other current liabilities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pPr>
            <w:r>
              <w:rPr/>
              <w:t>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283</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and other current liabilities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6" w:space="0" w:color="000000"/>
            </w:tcBorders>
            <w:shd w:fill="FFFFFF" w:val="clear"/>
            <w:tcMar>
              <w:bottom w:w="28" w:type="dxa"/>
            </w:tcMar>
            <w:vAlign w:val="center"/>
          </w:tcPr>
          <w:p>
            <w:pPr>
              <w:pStyle w:val="TableContents"/>
              <w:bidi w:val="0"/>
              <w:spacing w:before="0" w:after="283"/>
              <w:jc w:val="right"/>
              <w:rPr/>
            </w:pPr>
            <w:r>
              <w:rPr/>
              <w:t>715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1,669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March 1, 2025, the Company entered into a two year lease agreement for our corporate headquarters at Level 10, Tower 11, Avenue 5, No. 8, Jalan Kerinchi, 59200 Kuala Lumpur, Malaysia, which we believe is adequate to accommodate our business needs. The Company terminated its lease agreement for its previous headquarters in Berkely Heights, New Jersey, effective January 31, 2025. Following the acquisition of Fitters Sub on September 12, 2025, the Company has three additional facilities in Malaysia, all on short term lease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December 31, 2024, the Company recognized operating lease expenses of $22,335 and $82,830 respectively, including $12,813 and $9,104 respectively relating to short term lease agreements for facilities in Scotland and Malaysia. The remaining lease term as of December 31, 2025 is approximately 1.2 years for the Kuala Lumpur, Malaysia facility. The discount rate used by the Company in determining the lease liability was 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Company’s future contractual obligations and commitments relating to its facilities lease as at December 31, 2025 (in thousands):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the Company’s Future Contractual Obligations and Commitments Relating to Its Facilities Leases </w:t>
      </w:r>
    </w:p>
    <w:tbl>
      <w:tblPr>
        <w:tblW w:w="5469" w:type="dxa"/>
        <w:jc w:val="left"/>
        <w:tblInd w:w="0" w:type="dxa"/>
        <w:tblLayout w:type="fixed"/>
        <w:tblCellMar>
          <w:top w:w="0" w:type="dxa"/>
          <w:left w:w="0" w:type="dxa"/>
          <w:bottom w:w="0" w:type="dxa"/>
          <w:right w:w="0" w:type="dxa"/>
        </w:tblCellMar>
      </w:tblPr>
      <w:tblGrid>
        <w:gridCol w:w="3635"/>
        <w:gridCol w:w="60"/>
        <w:gridCol w:w="269"/>
        <w:gridCol w:w="1430"/>
        <w:gridCol w:w="75"/>
      </w:tblGrid>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9" w:type="dxa"/>
            <w:gridSpan w:val="2"/>
            <w:tcBorders/>
            <w:vAlign w:val="center"/>
          </w:tcPr>
          <w:p>
            <w:pPr>
              <w:pStyle w:val="TableContents"/>
              <w:bidi w:val="0"/>
              <w:spacing w:before="0" w:after="283"/>
              <w:jc w:val="center"/>
              <w:rPr>
                <w:b/>
              </w:rPr>
            </w:pPr>
            <w:r>
              <w:rPr>
                <w:b/>
              </w:rPr>
              <w:t>Operating Lease</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Obligation</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both"/>
              <w:rPr/>
            </w:pPr>
            <w:r>
              <w:rPr/>
              <w:t>2026</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        </w:t>
            </w:r>
            <w:r>
              <w:rPr/>
              <w:t>18</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both"/>
              <w:rPr/>
            </w:pPr>
            <w:r>
              <w:rPr/>
              <w:t>2027</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2</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Thereafter</w:t>
            </w:r>
          </w:p>
        </w:tc>
        <w:tc>
          <w:tcPr>
            <w:tcW w:w="60" w:type="dxa"/>
            <w:tcBorders/>
            <w:shd w:fill="CCEEFF" w:val="clear"/>
            <w:vAlign w:val="center"/>
          </w:tcPr>
          <w:p>
            <w:pPr>
              <w:pStyle w:val="TableContents"/>
              <w:bidi w:val="0"/>
              <w:spacing w:before="0" w:after="283"/>
              <w:jc w:val="left"/>
              <w:rPr/>
            </w:pPr>
            <w:r>
              <w:rPr/>
              <w:t> </w:t>
            </w:r>
          </w:p>
        </w:tc>
        <w:tc>
          <w:tcPr>
            <w:tcW w:w="2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Total future minimum lease obligation</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w:t>
            </w:r>
          </w:p>
        </w:tc>
        <w:tc>
          <w:tcPr>
            <w:tcW w:w="1430" w:type="dxa"/>
            <w:tcBorders/>
            <w:shd w:fill="FFFFFF" w:val="clear"/>
            <w:vAlign w:val="center"/>
          </w:tcPr>
          <w:p>
            <w:pPr>
              <w:pStyle w:val="TableContents"/>
              <w:bidi w:val="0"/>
              <w:spacing w:before="0" w:after="283"/>
              <w:jc w:val="right"/>
              <w:rPr/>
            </w:pPr>
            <w:r>
              <w:rPr/>
              <w:t>20</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Less imputed interest</w:t>
            </w:r>
          </w:p>
        </w:tc>
        <w:tc>
          <w:tcPr>
            <w:tcW w:w="60" w:type="dxa"/>
            <w:tcBorders/>
            <w:shd w:fill="CCEEFF" w:val="clear"/>
            <w:vAlign w:val="center"/>
          </w:tcPr>
          <w:p>
            <w:pPr>
              <w:pStyle w:val="TableContents"/>
              <w:bidi w:val="0"/>
              <w:spacing w:before="0" w:after="283"/>
              <w:jc w:val="left"/>
              <w:rPr/>
            </w:pPr>
            <w:r>
              <w:rPr/>
              <w:t> </w:t>
            </w:r>
          </w:p>
        </w:tc>
        <w:tc>
          <w:tcPr>
            <w:tcW w:w="2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30" w:type="dxa"/>
            <w:tcBorders>
              <w:bottom w:val="double" w:sz="6" w:space="0" w:color="000000"/>
            </w:tcBorders>
            <w:shd w:fill="FFFFFF" w:val="clear"/>
            <w:tcMar>
              <w:bottom w:w="28" w:type="dxa"/>
            </w:tcMar>
            <w:vAlign w:val="center"/>
          </w:tcPr>
          <w:p>
            <w:pPr>
              <w:pStyle w:val="TableContents"/>
              <w:bidi w:val="0"/>
              <w:spacing w:before="0" w:after="283"/>
              <w:jc w:val="right"/>
              <w:rPr/>
            </w:pPr>
            <w:r>
              <w:rPr/>
              <w:t>20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completed the following equity issuances during the periods presented in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Convertible Preferred Stock Equity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F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20, 2025, Bio Green Med Solution, Inc. (the “Company”) entered into a Securities Purchase Agreement (the “Purchase Agreement”) with certain accredited investors (the “Investors”), pursuant to which the Investors agreed to purchase an aggregate of 3,000,000 shares of Series F Convertible Preferred Stock (the “Series F Preferred Stock”) of the Company at a purchase price of $1.00 per share for aggregate gross proceeds of $3,000,000, subject to the terms and conditions of the Purchase Agreement. In connection with the transaction, the Company issued a series A common stock purchase warrant, series B common stock purchase warrant and series C common stock purchase warrant to each Investor (collectively, the “Warrants”). The proceeds of the transaction will be used for general corporate and operating purposes.</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sum, the Investors agreed to invest a total of $3,000,000 at the closing of the transactions under the Purchase Agreement in exchange for an aggregate of 3,000,000 shares of Series F Preferred Stock and 1,962,000 Warrants, which occurred on or about June 20, 2025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F Preferred Stock was convertible into 0.218 shares of the Company’s common stock, par value $0.001 per share (“Common Stock”). All 3,000,000 shares of Series F Preferred Stock were converted into 654,000 shares of Common Stock during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common stock purchase warrants entitle each Investor to purchase 218,000 shares of Common Stock of the Company at an exercise price of $7.65 per share with an expiration date five years from the date of issuance. The series B common stock purchase warrants entitle each Investor to purchase 218,000 shares of Common Stock of the Company at an exercise price of $9.00 per share with an expiration date five years from the date of issuance. The series C common stock purchase warrants entitle each Investor to purchase 218,000 shares of Common Stock of the Company at an exercise price of $10.20 per share with an expiration date five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1,000,000 shares of the Company’s Series E Preferred Stock were issued pursuant to a March 2025 Securities Purchase Agreement with certain accredited investors (the “Investors”). The Company received proceeds of $1.0 million, net of issuance costs. During the year ended December 31, 2025, all of the Series E preferred shares were converted into 458,333 shares of Common Stock. As of December 31, 2025, there were no remaining shares of the Series E Preferred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C and Series D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1,000,000 shares of the Company’s Series C Preferred Stock and 2,100,000 shares of the Company’s Series D Preferred Stock were issued pursuant to a January 2025 Securities Purchase Agreement with David E. Lazar, pursuant to which he agreed to purchase from the Company 1,000,000 shares of Series C Convertible Preferred Stock (the “Series C Preferred Stock”) and 2,100,000 shares of Series D Convertible Preferred Stock (the “Series D Preferred Stock” and, together with the Series C Preferred Stock, the “Preferred Stock”) of the Company at a purchase price of $1.00 per share for aggregate gross proceeds of $3.1 million, subject to the terms and conditions of the Purchase Agreement. The proceeds of the transaction were used to repay and settle outstanding liabilities of the Company and for other general corporate and operating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C Preferred Stock was convertible into 0.011042 shares of the Company’s common stock, par value $0.001 per share (“Common Stock”), and each share of Series D Preferred Stock was convertible into 0.4583 shares of Common Stock. On February 24, 2025, all of the Series C preferred shares were converted in conjunction with the Purchase Agreement. As of December 31, 2025, there were no remaining shares of the Series C Preferred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2025, 1,745,262 of the Series D preferred shares were converted in conjunction with the Purchase Agreement. On April 2, 2025, the remaining 354,738 Series D preferred shares were converted in conjunction with the Purchase Agreement. As of December 31, 2025, there were no remaining shares of the Series D Preferred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April 2024 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2024, the Company entered into a securities purchase agreement (the “Purchase Agreement”) with an institutional investor (the “Purchaser”) for the issuance and sale in a private placement (the “Private Placement”) of (i) 604 shares of the Company’s common stock, (ii) pre-funded warrants to purchase up to 20,099 shares of common stock (the “Pre-Funded Warrants”), (iii) series A warrants to purchase up to 20,703 shares of common stock (the “Series A Warrants”), and (iv) series B warrants to purchase up to 20,703 shares of common stock (the “Series B Warrants” and together with the Series A Warrants, the “Common Warrants”). The purchase price of each share of common stock and associated Common Warrants was $386.40 and the purchase price of each Pre-Funded Warrant and associated Common Warrants was $386.38.</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Warrants are exercisable immediately upon issuance at an exercise price of $326.40 per share. The Series A Warrants will expire five and one-half years from the date of issuance and the Series B Warrants will expire 18eighteen months from the date of issuance. The Pre-Funded Warrants were exercisable immediately upon issuance at an exercise price of $0.024 per share and were fully exercised in 2024. A holder of Pre-Funded Warrants or Common Warrants (together with its affiliates) may not exercise any portion of such warrants to the extent that the holder would own more than 4.99% (or, at the election of the holder 9.99%) of the Company’s outstanding common stock immediately after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the Company entered into a registration rights agreement (the “Registration Rights Agreement”), dated as of April 30, 2024, with the Purchaser, pursuant to which the Company agreed to prepare and file a registration statement with the Securities and Exchange Commission (the “SEC”) registering the resale of the securities issued in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closed on May 2, 2024. The gross proceeds to the Company from the Private Placement were approximately $8.0 million, before deducting placement agent fees and estimated offering expenses payable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 Wainwright &amp; Co., LLC (“Wainwright”) acted as the Company’s exclusive placement agent in connection with the Private Placement, pursuant to that certain engagement letter, dated as of April 29, 2024, between the Company and Wainwright (as amended, the “Engagement Letter”). Pursuant to the Engagement Letter, the Company paid Wainwright (i) a cash fee equal to 7.0% of the aggregate gross proceeds of the Private Placement and (ii) a management fee of 1.0% of the aggregate gross proceeds of the Private Placement. In addition, the Company agreed to pay Wainwright certain expenses and issued to Wainwright or its designees warrants (the “Placement Agent Warrants”) to purchase up to an aggregate of 1,242 shares of common stock at an exercise price equal to $483.00 per share. The Placement Agent Warrants are exercisable immediately upon issuance and have a term of exercise equal to five and a half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transaction, the Company was required to compensate Roth Capital Partners, LLC, pursuant to a tail provision contained in an engagement letter entered into on March 14, 2024, in an amount equal to 7.0% of the aggregate proceeds of the Private Placement plus the reimbursement of certain expenses. The Company was also required to compensate Ladenburg Thalmann &amp; Co. Inc, pursuant to a tail provision contained in an engagement letter entered into on October 30, 2023, in an amount equal to 8.0% of the aggregate proceeds of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instruments issued in the Private Placement have been classified and recorded as part of shareholders’ equity (deficit). The amounts allocated to each issued security were based on their relative fair values, resulting in initial carrying values of the respective instruments as follows: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Fair Value of Instruments Issued in Offering </w:t>
      </w:r>
    </w:p>
    <w:tbl>
      <w:tblPr>
        <w:tblW w:w="3789" w:type="dxa"/>
        <w:jc w:val="left"/>
        <w:tblInd w:w="0" w:type="dxa"/>
        <w:tblLayout w:type="fixed"/>
        <w:tblCellMar>
          <w:top w:w="0" w:type="dxa"/>
          <w:left w:w="0" w:type="dxa"/>
          <w:bottom w:w="0" w:type="dxa"/>
          <w:right w:w="0" w:type="dxa"/>
        </w:tblCellMar>
      </w:tblPr>
      <w:tblGrid>
        <w:gridCol w:w="1880"/>
        <w:gridCol w:w="60"/>
        <w:gridCol w:w="221"/>
        <w:gridCol w:w="1553"/>
        <w:gridCol w:w="75"/>
      </w:tblGrid>
      <w:tr>
        <w:trPr/>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4" w:type="dxa"/>
            <w:gridSpan w:val="2"/>
            <w:tcBorders>
              <w:bottom w:val="single" w:sz="8" w:space="0" w:color="000000"/>
            </w:tcBorders>
            <w:tcMar>
              <w:bottom w:w="28" w:type="dxa"/>
            </w:tcMar>
            <w:vAlign w:val="center"/>
          </w:tcPr>
          <w:p>
            <w:pPr>
              <w:pStyle w:val="TableContents"/>
              <w:bidi w:val="0"/>
              <w:spacing w:before="0" w:after="283"/>
              <w:jc w:val="center"/>
              <w:rPr/>
            </w:pPr>
            <w:r>
              <w:rPr/>
              <w:t>Allocated Amount</w:t>
            </w:r>
          </w:p>
        </w:tc>
        <w:tc>
          <w:tcPr>
            <w:tcW w:w="75" w:type="dxa"/>
            <w:tcBorders/>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283"/>
              <w:jc w:val="left"/>
              <w:rPr/>
            </w:pPr>
            <w:r>
              <w:rPr/>
              <w:t>Common shares</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553" w:type="dxa"/>
            <w:tcBorders>
              <w:bottom w:val="single" w:sz="8" w:space="0" w:color="000000"/>
            </w:tcBorders>
            <w:shd w:fill="CCEEFF" w:val="clear"/>
            <w:tcMar>
              <w:bottom w:w="28" w:type="dxa"/>
            </w:tcMar>
            <w:vAlign w:val="center"/>
          </w:tcPr>
          <w:p>
            <w:pPr>
              <w:pStyle w:val="TableContents"/>
              <w:bidi w:val="0"/>
              <w:spacing w:before="0" w:after="283"/>
              <w:jc w:val="right"/>
              <w:rPr/>
            </w:pPr>
            <w:r>
              <w:rPr/>
              <w:t>72,108</w:t>
            </w:r>
          </w:p>
        </w:tc>
        <w:tc>
          <w:tcPr>
            <w:tcW w:w="75" w:type="dxa"/>
            <w:tcBorders/>
            <w:shd w:fill="CCEE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283"/>
              <w:jc w:val="left"/>
              <w:rPr/>
            </w:pPr>
            <w:r>
              <w:rPr/>
              <w:t>Prefunded warrants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553" w:type="dxa"/>
            <w:tcBorders/>
            <w:shd w:fill="FFFFFF" w:val="clear"/>
            <w:vAlign w:val="center"/>
          </w:tcPr>
          <w:p>
            <w:pPr>
              <w:pStyle w:val="TableContents"/>
              <w:bidi w:val="0"/>
              <w:spacing w:before="0" w:after="283"/>
              <w:jc w:val="right"/>
              <w:rPr/>
            </w:pPr>
            <w:r>
              <w:rPr/>
              <w:t>2,398,831</w:t>
            </w:r>
          </w:p>
        </w:tc>
        <w:tc>
          <w:tcPr>
            <w:tcW w:w="75"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283"/>
              <w:jc w:val="left"/>
              <w:rPr/>
            </w:pPr>
            <w:r>
              <w:rPr/>
              <w:t>Common warrants</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53" w:type="dxa"/>
            <w:tcBorders>
              <w:bottom w:val="single" w:sz="8" w:space="0" w:color="000000"/>
            </w:tcBorders>
            <w:shd w:fill="CCEEFF" w:val="clear"/>
            <w:tcMar>
              <w:bottom w:w="28" w:type="dxa"/>
            </w:tcMar>
            <w:vAlign w:val="center"/>
          </w:tcPr>
          <w:p>
            <w:pPr>
              <w:pStyle w:val="TableContents"/>
              <w:bidi w:val="0"/>
              <w:spacing w:before="0" w:after="283"/>
              <w:jc w:val="right"/>
              <w:rPr/>
            </w:pPr>
            <w:r>
              <w:rPr/>
              <w:t>3,819,274</w:t>
            </w:r>
          </w:p>
        </w:tc>
        <w:tc>
          <w:tcPr>
            <w:tcW w:w="75" w:type="dxa"/>
            <w:tcBorders/>
            <w:shd w:fill="CCEE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283"/>
              <w:jc w:val="left"/>
              <w:rPr/>
            </w:pPr>
            <w:r>
              <w:rPr/>
              <w:t>Net proceeds</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553" w:type="dxa"/>
            <w:tcBorders>
              <w:bottom w:val="single" w:sz="8" w:space="0" w:color="000000"/>
            </w:tcBorders>
            <w:shd w:fill="FFFFFF" w:val="clear"/>
            <w:tcMar>
              <w:bottom w:w="28" w:type="dxa"/>
            </w:tcMar>
            <w:vAlign w:val="center"/>
          </w:tcPr>
          <w:p>
            <w:pPr>
              <w:pStyle w:val="TableContents"/>
              <w:bidi w:val="0"/>
              <w:spacing w:before="0" w:after="283"/>
              <w:jc w:val="right"/>
              <w:rPr/>
            </w:pPr>
            <w:r>
              <w:rPr/>
              <w:t>6,290,213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fair value of the Placement Agent Warrants was $609,179. These have been accounted for as a direct cost of the Private Placement, resulting in no net effect to overall shareholders’ equity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fair values of the Pre-Funded Warrants, Common Warrants, and Placement Agent Warrants, the Company used a Black-Scholes Option Pricing model with the following assumptions: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Fair value of Warrants Valuation Assumption </w:t>
      </w:r>
    </w:p>
    <w:tbl>
      <w:tblPr>
        <w:tblW w:w="9587" w:type="dxa"/>
        <w:jc w:val="left"/>
        <w:tblInd w:w="0" w:type="dxa"/>
        <w:tblLayout w:type="fixed"/>
        <w:tblCellMar>
          <w:top w:w="0" w:type="dxa"/>
          <w:left w:w="0" w:type="dxa"/>
          <w:bottom w:w="0" w:type="dxa"/>
          <w:right w:w="0" w:type="dxa"/>
        </w:tblCellMar>
      </w:tblPr>
      <w:tblGrid>
        <w:gridCol w:w="2330"/>
        <w:gridCol w:w="60"/>
        <w:gridCol w:w="244"/>
        <w:gridCol w:w="1800"/>
        <w:gridCol w:w="215"/>
        <w:gridCol w:w="60"/>
        <w:gridCol w:w="85"/>
        <w:gridCol w:w="1734"/>
        <w:gridCol w:w="215"/>
        <w:gridCol w:w="60"/>
        <w:gridCol w:w="133"/>
        <w:gridCol w:w="2421"/>
        <w:gridCol w:w="230"/>
      </w:tblGrid>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4" w:type="dxa"/>
            <w:gridSpan w:val="2"/>
            <w:tcBorders>
              <w:bottom w:val="single" w:sz="8" w:space="0" w:color="000000"/>
            </w:tcBorders>
            <w:tcMar>
              <w:bottom w:w="28" w:type="dxa"/>
            </w:tcMar>
            <w:vAlign w:val="center"/>
          </w:tcPr>
          <w:p>
            <w:pPr>
              <w:pStyle w:val="TableContents"/>
              <w:bidi w:val="0"/>
              <w:spacing w:before="0" w:after="283"/>
              <w:jc w:val="center"/>
              <w:rPr/>
            </w:pPr>
            <w:r>
              <w:rPr/>
              <w:t>Pre-Funded 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9" w:type="dxa"/>
            <w:gridSpan w:val="2"/>
            <w:tcBorders>
              <w:bottom w:val="single" w:sz="8" w:space="0" w:color="000000"/>
            </w:tcBorders>
            <w:tcMar>
              <w:bottom w:w="28" w:type="dxa"/>
            </w:tcMar>
            <w:vAlign w:val="center"/>
          </w:tcPr>
          <w:p>
            <w:pPr>
              <w:pStyle w:val="TableContents"/>
              <w:bidi w:val="0"/>
              <w:spacing w:before="0" w:after="283"/>
              <w:jc w:val="center"/>
              <w:rPr/>
            </w:pPr>
            <w:r>
              <w:rPr/>
              <w:t>Common 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4" w:type="dxa"/>
            <w:gridSpan w:val="2"/>
            <w:tcBorders>
              <w:bottom w:val="single" w:sz="8" w:space="0" w:color="000000"/>
            </w:tcBorders>
            <w:tcMar>
              <w:bottom w:w="28" w:type="dxa"/>
            </w:tcMar>
            <w:vAlign w:val="center"/>
          </w:tcPr>
          <w:p>
            <w:pPr>
              <w:pStyle w:val="TableContents"/>
              <w:bidi w:val="0"/>
              <w:spacing w:before="0" w:after="283"/>
              <w:jc w:val="center"/>
              <w:rPr/>
            </w:pPr>
            <w:r>
              <w:rPr/>
              <w:t>Placement Agent Warrants</w:t>
            </w:r>
          </w:p>
        </w:tc>
        <w:tc>
          <w:tcPr>
            <w:tcW w:w="230"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left"/>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800" w:type="dxa"/>
            <w:tcBorders/>
            <w:shd w:fill="CCEEFF" w:val="clear"/>
            <w:vAlign w:val="center"/>
          </w:tcPr>
          <w:p>
            <w:pPr>
              <w:pStyle w:val="TableContents"/>
              <w:bidi w:val="0"/>
              <w:spacing w:before="0" w:after="283"/>
              <w:jc w:val="right"/>
              <w:rPr/>
            </w:pPr>
            <w:r>
              <w:rPr/>
              <w:t>100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 - 121%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421" w:type="dxa"/>
            <w:tcBorders/>
            <w:shd w:fill="CCEEFF" w:val="clear"/>
            <w:vAlign w:val="center"/>
          </w:tcPr>
          <w:p>
            <w:pPr>
              <w:pStyle w:val="TableContents"/>
              <w:bidi w:val="0"/>
              <w:spacing w:before="0" w:after="283"/>
              <w:jc w:val="right"/>
              <w:rPr/>
            </w:pPr>
            <w:r>
              <w:rPr/>
              <w:t>103</w:t>
            </w:r>
          </w:p>
        </w:tc>
        <w:tc>
          <w:tcPr>
            <w:tcW w:w="230" w:type="dxa"/>
            <w:tcBorders/>
            <w:shd w:fill="CCEEFF" w:val="clear"/>
            <w:vAlign w:val="center"/>
          </w:tcPr>
          <w:p>
            <w:pPr>
              <w:pStyle w:val="TableContents"/>
              <w:bidi w:val="0"/>
              <w:spacing w:before="0" w:after="283"/>
              <w:jc w:val="left"/>
              <w:rPr/>
            </w:pPr>
            <w:r>
              <w:rPr/>
              <w:t>%</w:t>
            </w:r>
          </w:p>
        </w:tc>
      </w:tr>
      <w:tr>
        <w:trPr/>
        <w:tc>
          <w:tcPr>
            <w:tcW w:w="2330" w:type="dxa"/>
            <w:tcBorders/>
            <w:shd w:fill="FFFFFF" w:val="clear"/>
            <w:vAlign w:val="center"/>
          </w:tcPr>
          <w:p>
            <w:pPr>
              <w:pStyle w:val="TableContents"/>
              <w:bidi w:val="0"/>
              <w:spacing w:before="0" w:after="283"/>
              <w:jc w:val="left"/>
              <w:rPr/>
            </w:pPr>
            <w:r>
              <w:rPr/>
              <w:t>Contractual term</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8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 year</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- 5.5 years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242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5 ½ years5.5 </w:t>
            </w:r>
          </w:p>
        </w:tc>
        <w:tc>
          <w:tcPr>
            <w:tcW w:w="230"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800" w:type="dxa"/>
            <w:tcBorders/>
            <w:shd w:fill="CCEEFF" w:val="clear"/>
            <w:vAlign w:val="center"/>
          </w:tcPr>
          <w:p>
            <w:pPr>
              <w:pStyle w:val="TableContents"/>
              <w:bidi w:val="0"/>
              <w:spacing w:before="0" w:after="283"/>
              <w:jc w:val="right"/>
              <w:rPr/>
            </w:pPr>
            <w:r>
              <w:rPr/>
              <w:t>5.51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4.57% - 5.51%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421" w:type="dxa"/>
            <w:tcBorders/>
            <w:shd w:fill="CCEEFF" w:val="clear"/>
            <w:vAlign w:val="center"/>
          </w:tcPr>
          <w:p>
            <w:pPr>
              <w:pStyle w:val="TableContents"/>
              <w:bidi w:val="0"/>
              <w:spacing w:before="0" w:after="283"/>
              <w:jc w:val="right"/>
              <w:rPr/>
            </w:pPr>
            <w:r>
              <w:rPr/>
              <w:t>4.57</w:t>
            </w:r>
          </w:p>
        </w:tc>
        <w:tc>
          <w:tcPr>
            <w:tcW w:w="230" w:type="dxa"/>
            <w:tcBorders/>
            <w:shd w:fill="CCEEFF" w:val="clear"/>
            <w:vAlign w:val="center"/>
          </w:tcPr>
          <w:p>
            <w:pPr>
              <w:pStyle w:val="TableContents"/>
              <w:bidi w:val="0"/>
              <w:spacing w:before="0" w:after="283"/>
              <w:jc w:val="left"/>
              <w:rPr/>
            </w:pPr>
            <w:r>
              <w:rPr/>
              <w:t>%</w:t>
            </w:r>
          </w:p>
        </w:tc>
      </w:tr>
      <w:tr>
        <w:trPr/>
        <w:tc>
          <w:tcPr>
            <w:tcW w:w="2330" w:type="dxa"/>
            <w:tcBorders/>
            <w:shd w:fill="FFFFFF" w:val="clear"/>
            <w:vAlign w:val="center"/>
          </w:tcPr>
          <w:p>
            <w:pPr>
              <w:pStyle w:val="TableContents"/>
              <w:bidi w:val="0"/>
              <w:spacing w:before="0" w:after="283"/>
              <w:jc w:val="left"/>
              <w:rPr/>
            </w:pPr>
            <w:r>
              <w:rPr/>
              <w:t>Expected dividend yield</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800" w:type="dxa"/>
            <w:tcBorders/>
            <w:shd w:fill="FFFFFF" w:val="clear"/>
            <w:vAlign w:val="center"/>
          </w:tcPr>
          <w:p>
            <w:pPr>
              <w:pStyle w:val="TableContents"/>
              <w:bidi w:val="0"/>
              <w:spacing w:before="0" w:after="283"/>
              <w:jc w:val="right"/>
              <w:rPr/>
            </w:pPr>
            <w:r>
              <w:rPr/>
              <w:t>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34" w:type="dxa"/>
            <w:tcBorders/>
            <w:shd w:fill="FFFFFF" w:val="clear"/>
            <w:vAlign w:val="center"/>
          </w:tcPr>
          <w:p>
            <w:pPr>
              <w:pStyle w:val="TableContents"/>
              <w:bidi w:val="0"/>
              <w:spacing w:before="0" w:after="283"/>
              <w:jc w:val="right"/>
              <w:rPr/>
            </w:pPr>
            <w:r>
              <w:rPr/>
              <w:t>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2421" w:type="dxa"/>
            <w:tcBorders/>
            <w:shd w:fill="FFFFFF" w:val="clear"/>
            <w:vAlign w:val="center"/>
          </w:tcPr>
          <w:p>
            <w:pPr>
              <w:pStyle w:val="TableContents"/>
              <w:bidi w:val="0"/>
              <w:spacing w:before="0" w:after="283"/>
              <w:jc w:val="right"/>
              <w:rPr/>
            </w:pPr>
            <w:r>
              <w:rPr/>
              <w:t>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common stock was determined using the closing price of the Company’s common stock as of May 2, 2024, which is the date that the Private Placement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June 2025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a warrant exchange agreement on September 4, 2025, a total of 559,395 Series C common stock purchase warrants were exchanged for the issuance of 559,395 shares of common stock. The Company recorded a deemed dividend of $1,494,000 representing the difference between the fair value of the common stock received and the fair value of the warrants exchanged as of the exchange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a warrant exchange agreement on November 5, 2025, 654,000 Series A common stock purchase warrants, 654,000 Series B common stock purchase warrants, and 94,605 Series C common stock purchase warrants, totaling 1,402,605 in aggregate, were exchanged for the issuance of 1,402,605 shares of common stock. The Company recorded a deemed dividend of $9,540,000 representing the difference between the fair value of the common stock received and the fair value of the warrants exchanged as of the exchange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1,962,000 warrants were exercised during the year ended December 31, 2025. As of December 31, 2025, no warrants to purchase Common Stock issued pursuant to the June 2025 financing transaction remained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November 2024 Warrants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13, 2024, we entered into a letter agreement (the “Warrant Exercise and Reload Agreement”) with the holder (the “Holder”) of its issued and outstanding Series B Warrants (the “Prior Warrants”) to purchase an aggregate of 20,703 shares of common stock of the Company offering the Holder the opportunity to exercise all of its Prior Warrants for cash at a reduced exercise price equal to $99.60 per share provided the Prior Warrants were exercised in full for cash on or before 12:30 P.M. Eastern Time on the date of the Warrant Exercise and Reload Agreement. In consideration for the exercise of the Prior Warrants, the Holder received new unregistered Series C Warrants (the “Series C Warrants”) exercisable for up to an aggregate of 41,407 shares of common stock (the “Series C Warrant Shares”) and new unregistered Series D Warrants (the “Series D Warrants” and, together with the Series C Warrants, the “New Warrants”) exercisable for up to an aggregate of 41,407 shares of common stock (the “Series D Warrant Shares” and, together with the Series C Warrant Shares, the “New Warrant Shares”). The Series C Warrants are exercisable beginning on the date upon which the Company receives stockholder approval of the issuance of the New Warrant Shares and the Placement Agent Warrant Shares (as defined below) (the “Stockholder Approval Date”) for a period of five and one-half (5.5) years following the Stockholder Approval Date and the Series D Warrants are exercisable beginning on the Stockholder Approval Date for a period of eighteen (18) months following the Stockholder Approval Date. The New Warrants each have an exercise price of $99.60 per share. The shares of common stock issued upon exercise of the Prior Warrants are registered pursuant to an effective registration statement on Form S-1 (No. 333-279157).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82,816 warrants issued pursuant to the Warrant Exercise and Reload Agreement were exchanged for cash during the year ended December 31, 2025. Pursuant to the Warrant Exchange Agreement, and as consideration for the exchange of warrants, a cash payment of $1.1 million was made by the Company in May 2025.No warrants related to these transactions remain outstanding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April 2024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62,750 warrants were issued pursuant to the April 2024 Securities Purchase Agreement (the “April 2024 Securities Purchase Agreement”), consisting of Series A, Series B, Pre-funded, and Placement Agent warrants. As of December 31, 2025, only Placement Agent warrants to purchase a total of 1,242 shares of common stock remained outstanding. The 1,242 Placement Agent Warrants issued pursuant to the Engagement Letter with the placement agent, are exercisable immediately from the date of issuance for a period of five and one half (5.5) years after the date of issuance, at an exercise price of $124.512 per warrant share.</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20,704 Series A warrants and 9,988 Series B warrants were exercised during the year ended December 31, 2025. A total of 20,100 pre-funded warrants and 10,716 Series B warrants were exercised during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December 2023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warrants to purchase a total of 1,750 shares of common stock issued pursuant to a securities purchase agreement in a December 2023 financing transaction remained outstanding. A total of 1,651 warrants, including 33 warrants issued in a concurrent private placement, are exercisable immediately from the date of issuance for a period of seven years after the date of issuance, at an exercise price of $765.60 per warrant share. A further 99 warrants issued in a concurrent placement agency agreement, are exercisable immediately from the date of issuance for a period of five years after the date of issuance, at an exercise price of $994.50 per warrant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exercises of these warrants during the years ended December 31, 2025 or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December 2020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warrants to purchase 186 shares of common stock issued pursuant to a securities purchase agreement in a December 2020 financing transaction remained outstanding. Each warrant shall be exercisable beginning on the 12-month anniversary of the date of issuance for a period of five years after the date of issuance, at an exercise price of $14,868 per warrant share. The exercise price of the warrants will be subject to adjustment in the event of any stock dividends and splits, reverse stock split, recapitalization, reorganization or similar transaction, as described in the warrants. The warrants may be exercised on a “cashless”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exercises of these warrants during the years ended December 31, 2025 or December 31,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April 2020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0 warrants issued in connection with an April 2020 equity financing remained outstanding, each with an exercise price of $18,000.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warrants were exercised during the year ended December 31, 2025. 111 warrants were exercised during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B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237,745 shares of the Company’s Series B Preferred Stock were issued pursuant to a December 2020 Securities Purchase Agreement. During the year ended December 31, 2024, the remaining 119,000 shares of Series B Preferred Stock were converted, at the option of the holder, into 165 shares of common stock. As of December 31, 2025, there were no remaining shares of the Series B Preferred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8,872 shares of the Company’s Series A Preferred Stock were issued in a July 2017 Underwritten Public Offering. Each share of Series A Preferred Stock is convertible at any time at the option of the holder thereof, into a number of shares of common stock determined by dividing $1,000 by the initial conversion price of $600.00 per share, subject to a 4.99% blocker provision, or, upon election by a holder prior to the issuance of shares of Series A Preferred Stock, 9.99%, and is subject to adjustment for stock splits, stock dividends, distributions, subdivisions and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264 shares of the Series A Preferred Stock remain issued and outstanding. The 264 shares of Series A Preferred Stock issued and outstanding at December 31, 2025, are convertible into 2 share of common stock.</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p>
      <w:pPr>
        <w:pStyle w:val="TextBody"/>
        <w:bidi w:val="0"/>
        <w:spacing w:before="0" w:after="0"/>
        <w:ind w:left="0" w:right="0" w:hanging="0"/>
        <w:jc w:val="left"/>
        <w:rPr/>
      </w:pPr>
      <w:r>
        <w:rPr/>
        <w:t> </w:t>
      </w:r>
    </w:p>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liquidation, the holders of shares of the Series A Preferred Stock may participate on an as-converted-to-common-stock basis in any distribution of assets of the Company. The Company shall not pay any dividends on shares of common stock (other than dividends in the form of common stock) unless and until such time as dividends on each share of Series A Preferred Stock are paid on an as-converted basis. There is no restriction on the Company’s ability to repurchase shares of Series A Preferred Stock while there is any arrearage in the payment of dividends on such shares, and there are no sinking fund provisions applicable to Series 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at any time following the issuance of the Series A Preferred Stock, the Company has the right to cause each holder of the Series A Preferred Stock to convert all or part of such holder’s Series A Preferred Stock in the event that (i) the volume weighted average price of our common stock for 30 consecutive trading days, or Measurement Period exceeds 300% of the initial conversion price of the Series A Preferred Stock (subject to adjustment for forward and reverse stock splits, recapitalizations, stock dividends and similar transactions), (ii) the daily trading volume on each Trading Day during such Measurement Period exceeds $500,000 per trading day and (iii) the holder is not in possession of any information that constitutes or might constitute, material non-public information which was provided by the Company. The right to cause each holder of Series A Preferred Stock to convert all or part of such holder’s Series A Preferred Stock shall be exercised ratably among the holders of the then outstanding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Preferred Stock has no maturity date, will carry the same dividend rights as the common stock, and with certain exceptions contains no voting rights. In the event of any liquidation or dissolution of the Company, the Series A Preferred Stock ranks senior to the common stock in the distribution of assets, to the extent legally available for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6% Convertible Exchangeable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there were 135,273 shares of the Company’s 6% Convertible Exchangeable, or Preferred Stock issued and outstanding at an issue price of $10.00 per share. Dividends on the Preferred Stock are cumulative from the date of original issuance at the annual rate of 6% of the liquidation preference of the Preferred Stock, and if declared, payable quarterly on the first day of February, May, August and November, commencing February 1, 2005. Any dividends must be declared by the Company’s Board of Directors and must come from funds that are legally available for dividend payments. The Preferred Stock has a liquidation preference of $10.00 per share, plus accrued and unpaid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considers numerous factors in determining whether to declare the quarterly dividend pursuant to the Certificate of Designations governing the terms of the Company’s Preferred Stock, including the requisite financial analysis and determination of a surplus. As of December 31, 2025, there were no accrued and unpaid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is convertible at the option of the holder at any time into the Company’s shares of common stock at a conversion rate of approximately 0.000000069 shares of common stock for each share of Preferred Stock based on a price of $142,128,000 per share. The Company has reserved 6 shares of common stock for issuance upon conversion of the remaining shares of Preferred Stock outstanding at December 31, 2025. The shares of previously converted Preferred Stock have been retired, cancelled and restored to the status of authorized but unissued shares of preferred stock, subject to reissuance by the Board of Directors as shares of Preferred Stock of one or more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automatically convert the Preferred Stock into common stock if the closing price of the Company’s common stock has exceeded $213,192,000, which is 150% of the conversion price of the Preferred Stock, for at least 20 trading days during any 30-day trading period, ending within five5 trading days prior to notice of automatic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Designations governing the Preferred Stock provides that if the Company fails to pay dividends on its Preferred Stock for six quarterly periods, holders of Preferred Stock are entitled to nominate and elect two directors to the Company’s Board of Directors. This right accrued to the holders of Preferred Stock as of August 2, 2010 and two directors were nominated and elected at the annual meeting held on May 24, 2011.</w:t>
      </w:r>
    </w:p>
    <w:p>
      <w:pPr>
        <w:pStyle w:val="TextBody"/>
        <w:bidi w:val="0"/>
        <w:spacing w:before="0" w:after="0"/>
        <w:ind w:left="20" w:right="0" w:firstLine="221"/>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p>
      <w:pPr>
        <w:pStyle w:val="TextBody"/>
        <w:bidi w:val="0"/>
        <w:spacing w:before="0" w:after="0"/>
        <w:ind w:left="0" w:right="0" w:hanging="0"/>
        <w:jc w:val="left"/>
        <w:rPr/>
      </w:pPr>
      <w:r>
        <w:rPr/>
        <w:t> </w:t>
      </w:r>
    </w:p>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has no maturity date and no voting rights prior to conversion into common stock, except under limited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its option, redeem the Preferred Stock in whole or in part, out of funds legally available at the redemption price of $10.00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is exchangeable, in whole but not in part, at the option of the Company on any dividend payment date beginning on November 1, 2005, or Exchange Date for the Company’s 6% Convertible Subordinated Debentures, or Debentures at the rate of $10.00 principal amount of Debentures for each share of Preferred Stock. The Debentures, if issued, will mature 25 years after the Exchange Date and have terms substantially similar to those of the Preferred Stock. No such exchanges have taken place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the company passed a resolution to suspend payment of the quarterly cash dividend on the Company’s 6% Convertible Exchangeable Preferred Stock (the “Preferred Stock”) scheduled for February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Stock-Based Compensation Stock 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based compensation has been reported within expense line items on the consolidated statement of operations for the years ended 2025 and 2024 as shown in the following table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Stock Based Compensation Expense </w:t>
      </w:r>
    </w:p>
    <w:tbl>
      <w:tblPr>
        <w:tblW w:w="4627" w:type="dxa"/>
        <w:jc w:val="left"/>
        <w:tblInd w:w="0" w:type="dxa"/>
        <w:tblLayout w:type="fixed"/>
        <w:tblCellMar>
          <w:top w:w="0" w:type="dxa"/>
          <w:left w:w="0" w:type="dxa"/>
          <w:bottom w:w="0" w:type="dxa"/>
          <w:right w:w="0" w:type="dxa"/>
        </w:tblCellMar>
      </w:tblPr>
      <w:tblGrid>
        <w:gridCol w:w="3080"/>
        <w:gridCol w:w="60"/>
        <w:gridCol w:w="147"/>
        <w:gridCol w:w="591"/>
        <w:gridCol w:w="63"/>
        <w:gridCol w:w="63"/>
        <w:gridCol w:w="147"/>
        <w:gridCol w:w="401"/>
        <w:gridCol w:w="75"/>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5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2" w:type="dxa"/>
            <w:gridSpan w:val="6"/>
            <w:tcBorders/>
            <w:vAlign w:val="center"/>
          </w:tcPr>
          <w:p>
            <w:pPr>
              <w:pStyle w:val="TableContents"/>
              <w:bidi w:val="0"/>
              <w:spacing w:before="0" w:after="283"/>
              <w:jc w:val="center"/>
              <w:rPr>
                <w:b/>
              </w:rPr>
            </w:pPr>
            <w:r>
              <w:rPr>
                <w:b/>
              </w:rPr>
              <w:t>Year Ended</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5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591" w:type="dxa"/>
            <w:tcBorders/>
            <w:shd w:fill="CCEEFF" w:val="clear"/>
            <w:vAlign w:val="center"/>
          </w:tcPr>
          <w:p>
            <w:pPr>
              <w:pStyle w:val="TableContents"/>
              <w:bidi w:val="0"/>
              <w:spacing w:before="0" w:after="283"/>
              <w:jc w:val="right"/>
              <w:rPr/>
            </w:pPr>
            <w:r>
              <w:rPr/>
              <w:t>2,297</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401" w:type="dxa"/>
            <w:tcBorders/>
            <w:shd w:fill="CCEEFF" w:val="clear"/>
            <w:vAlign w:val="center"/>
          </w:tcPr>
          <w:p>
            <w:pPr>
              <w:pStyle w:val="TableContents"/>
              <w:bidi w:val="0"/>
              <w:spacing w:before="0" w:after="283"/>
              <w:jc w:val="right"/>
              <w:rPr/>
            </w:pPr>
            <w:r>
              <w:rPr/>
              <w:t>498</w:t>
            </w:r>
          </w:p>
        </w:tc>
        <w:tc>
          <w:tcPr>
            <w:tcW w:w="75"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1" w:type="dxa"/>
            <w:tcBorders>
              <w:bottom w:val="single" w:sz="8" w:space="0" w:color="000000"/>
            </w:tcBorders>
            <w:shd w:fill="FFFFFF" w:val="clear"/>
            <w:tcMar>
              <w:bottom w:w="28" w:type="dxa"/>
            </w:tcMar>
            <w:vAlign w:val="center"/>
          </w:tcPr>
          <w:p>
            <w:pPr>
              <w:pStyle w:val="TableContents"/>
              <w:bidi w:val="0"/>
              <w:spacing w:before="0" w:after="283"/>
              <w:jc w:val="right"/>
              <w:rPr/>
            </w:pPr>
            <w:r>
              <w:rPr/>
              <w:t>37</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01" w:type="dxa"/>
            <w:tcBorders>
              <w:bottom w:val="single" w:sz="8" w:space="0" w:color="000000"/>
            </w:tcBorders>
            <w:shd w:fill="FFFFFF" w:val="clear"/>
            <w:tcMar>
              <w:bottom w:w="28" w:type="dxa"/>
            </w:tcMar>
            <w:vAlign w:val="center"/>
          </w:tcPr>
          <w:p>
            <w:pPr>
              <w:pStyle w:val="TableContents"/>
              <w:bidi w:val="0"/>
              <w:spacing w:before="0" w:after="283"/>
              <w:jc w:val="right"/>
              <w:rPr/>
            </w:pPr>
            <w:r>
              <w:rPr/>
              <w:t>94</w:t>
            </w:r>
          </w:p>
        </w:tc>
        <w:tc>
          <w:tcPr>
            <w:tcW w:w="75"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pPr>
            <w:r>
              <w:rPr/>
              <w:t>Stock-based compensation costs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91" w:type="dxa"/>
            <w:tcBorders>
              <w:bottom w:val="double" w:sz="6" w:space="0" w:color="000000"/>
            </w:tcBorders>
            <w:shd w:fill="CCEEFF" w:val="clear"/>
            <w:tcMar>
              <w:bottom w:w="28" w:type="dxa"/>
            </w:tcMar>
            <w:vAlign w:val="center"/>
          </w:tcPr>
          <w:p>
            <w:pPr>
              <w:pStyle w:val="TableContents"/>
              <w:bidi w:val="0"/>
              <w:spacing w:before="0" w:after="283"/>
              <w:jc w:val="right"/>
              <w:rPr/>
            </w:pPr>
            <w:r>
              <w:rPr/>
              <w:t>2,334</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01" w:type="dxa"/>
            <w:tcBorders>
              <w:bottom w:val="double" w:sz="6" w:space="0" w:color="000000"/>
            </w:tcBorders>
            <w:shd w:fill="CCEEFF" w:val="clear"/>
            <w:tcMar>
              <w:bottom w:w="28" w:type="dxa"/>
            </w:tcMar>
            <w:vAlign w:val="center"/>
          </w:tcPr>
          <w:p>
            <w:pPr>
              <w:pStyle w:val="TableContents"/>
              <w:bidi w:val="0"/>
              <w:spacing w:before="0" w:after="283"/>
              <w:jc w:val="right"/>
              <w:rPr/>
            </w:pPr>
            <w:r>
              <w:rPr/>
              <w:t>592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2018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2018, the Company’s stockholders approved the 2018 Equity Incentive Plan (the “2018 Plan”), under which the Company may make equity incentive grants to its officers, employees, directors and consultants. The 2018 Plan allows for various types of award grants, including stock options and 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6, 2025, the Company’s stockholders approved an amendment to the 2018 Plan to reserve an additional 500,000 shares of Common Stock for issuance thereunder, which number would not be adjusted as a result of the Reverse Stock Split. On June 30, 2025, the Company’s stockholders approved another amendment to the 2028 Plan to reserve an additional 4,281,987 shares of Common Stock for issuance thereunder. As of December 31, 2025, the Company has reserved approximately 4,282,026 shares of the Company’s common stock under the 2018 Plan for future issuances.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 awards granted under the Company’s equity incentive plans have a maximum life of 10 years and generally vest over a one to four-year period from the date of grant. Certain awards, though, vest immediately upon grant, including those granted in 2025, as discussed in further detail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2020 Inducement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2020, the Inducement Equity Incentive Plan (the “Inducement Plan”), became effective. Under the Inducement Plan, the Company may make equity incentive grants to new senior level Employees (persons to whom the Company may issue securities without stockholder approval). The Inducement Plan allows for the issuance of up to 55 shares of the Company’s common stock (or the equivalent of such number). As of December 31, 2025, all 55 shares under the Inducement Plan are available for issuance.</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Option Awards Granted Outside of the 2018 Plan and Inducement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February 2025, the Company issued stock option awards to employees and consultants outside of the 2018 Plan and the Inducement Plan. The shares underlying these options are not registered for resale. All of the options granted outside of the 2018 Plan and Inducement Plan vest immediately upon grant and can be exercised beginning three months from the recipient’s Termination Date through the expiry of the option awards, which is ten years from the grant date. The Termination Date is defined as the date on which an award recipient ceases to be an employee, director or consultant of the Company or of an Affiliate for any reason other than the death or disability, or termination of the recipient for cause.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Option Grants and Exercises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24,812 options granted during the year ended December 31, 2025. Of these awards, 1,066 were issued under the 2018 Plan and the rest were issued outside of the 2018 Plan and the Inducement Plan. Options granted during the year ended December 31, 2025 had a grant date fair value ranging between $60.86 and $72.38 per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52 options granted under the 2018 Plan during the year ended December 31, 2024. These options had a grant date fair value of $424.80 per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stock options granted is calculated using the Black-Scholes option-pricing model as prescribed by ASC 718 using the following assumptions: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Assumptions Used for Fair Value of the Stock Options Granted Using Black-Scholes Option-Pricing Model </w:t>
      </w:r>
    </w:p>
    <w:tbl>
      <w:tblPr>
        <w:tblW w:w="9068" w:type="dxa"/>
        <w:jc w:val="left"/>
        <w:tblInd w:w="0" w:type="dxa"/>
        <w:tblLayout w:type="fixed"/>
        <w:tblCellMar>
          <w:top w:w="0" w:type="dxa"/>
          <w:left w:w="0" w:type="dxa"/>
          <w:bottom w:w="0" w:type="dxa"/>
          <w:right w:w="0" w:type="dxa"/>
        </w:tblCellMar>
      </w:tblPr>
      <w:tblGrid>
        <w:gridCol w:w="4595"/>
        <w:gridCol w:w="60"/>
        <w:gridCol w:w="164"/>
        <w:gridCol w:w="1790"/>
        <w:gridCol w:w="215"/>
        <w:gridCol w:w="60"/>
        <w:gridCol w:w="332"/>
        <w:gridCol w:w="1622"/>
        <w:gridCol w:w="230"/>
      </w:tblGrid>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center"/>
              <w:rPr>
                <w:b/>
              </w:rPr>
            </w:pPr>
            <w:r>
              <w:rPr>
                <w:b/>
              </w:rPr>
              <w:t>Year ended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center"/>
              <w:rPr>
                <w:b/>
              </w:rPr>
            </w:pPr>
            <w:r>
              <w:rPr>
                <w:b/>
              </w:rPr>
              <w:t>Year ended</w:t>
            </w:r>
          </w:p>
        </w:tc>
        <w:tc>
          <w:tcPr>
            <w:tcW w:w="230"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23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Expected term (years)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5 - 10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6</w:t>
            </w:r>
          </w:p>
        </w:tc>
        <w:tc>
          <w:tcPr>
            <w:tcW w:w="23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pPr>
            <w:r>
              <w:rPr/>
              <w:t>Risk free interest rate</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7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4.060%  – 4.250%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622" w:type="dxa"/>
            <w:tcBorders/>
            <w:shd w:fill="FFFFFF" w:val="clear"/>
            <w:vAlign w:val="center"/>
          </w:tcPr>
          <w:p>
            <w:pPr>
              <w:pStyle w:val="TableContents"/>
              <w:bidi w:val="0"/>
              <w:spacing w:before="0" w:after="283"/>
              <w:jc w:val="right"/>
              <w:rPr/>
            </w:pPr>
            <w:r>
              <w:rPr/>
              <w:t>3.995</w:t>
            </w:r>
          </w:p>
        </w:tc>
        <w:tc>
          <w:tcPr>
            <w:tcW w:w="230" w:type="dxa"/>
            <w:tcBorders/>
            <w:shd w:fill="FFFFFF" w:val="clear"/>
            <w:vAlign w:val="center"/>
          </w:tcPr>
          <w:p>
            <w:pPr>
              <w:pStyle w:val="TableContents"/>
              <w:bidi w:val="0"/>
              <w:spacing w:before="0" w:after="283"/>
              <w:jc w:val="left"/>
              <w:rPr/>
            </w:pPr>
            <w:r>
              <w:rPr/>
              <w:t>%</w:t>
            </w:r>
          </w:p>
        </w:tc>
      </w:tr>
      <w:tr>
        <w:trPr/>
        <w:tc>
          <w:tcPr>
            <w:tcW w:w="4595" w:type="dxa"/>
            <w:tcBorders/>
            <w:shd w:fill="CCEEFF" w:val="clear"/>
            <w:vAlign w:val="center"/>
          </w:tcPr>
          <w:p>
            <w:pPr>
              <w:pStyle w:val="TableContents"/>
              <w:bidi w:val="0"/>
              <w:spacing w:before="0" w:after="283"/>
              <w:jc w:val="left"/>
              <w:rPr/>
            </w:pPr>
            <w:r>
              <w:rPr/>
              <w:t>Volatility</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 – 107%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93</w:t>
            </w:r>
          </w:p>
        </w:tc>
        <w:tc>
          <w:tcPr>
            <w:tcW w:w="230" w:type="dxa"/>
            <w:tcBorders/>
            <w:shd w:fill="CCEEFF" w:val="clear"/>
            <w:vAlign w:val="center"/>
          </w:tcPr>
          <w:p>
            <w:pPr>
              <w:pStyle w:val="TableContents"/>
              <w:bidi w:val="0"/>
              <w:spacing w:before="0" w:after="283"/>
              <w:jc w:val="left"/>
              <w:rPr/>
            </w:pPr>
            <w:r>
              <w:rPr/>
              <w:t>%</w:t>
            </w:r>
          </w:p>
        </w:tc>
      </w:tr>
      <w:tr>
        <w:trPr/>
        <w:tc>
          <w:tcPr>
            <w:tcW w:w="4595" w:type="dxa"/>
            <w:tcBorders/>
            <w:shd w:fill="FFFFFF" w:val="clear"/>
            <w:vAlign w:val="center"/>
          </w:tcPr>
          <w:p>
            <w:pPr>
              <w:pStyle w:val="TableContents"/>
              <w:bidi w:val="0"/>
              <w:spacing w:before="0" w:after="283"/>
              <w:jc w:val="left"/>
              <w:rPr/>
            </w:pPr>
            <w:r>
              <w:rPr/>
              <w:t>Expected dividend yield over expected term</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790" w:type="dxa"/>
            <w:tcBorders/>
            <w:shd w:fill="FFFFFF" w:val="clear"/>
            <w:vAlign w:val="center"/>
          </w:tcPr>
          <w:p>
            <w:pPr>
              <w:pStyle w:val="TableContents"/>
              <w:bidi w:val="0"/>
              <w:spacing w:before="0" w:after="283"/>
              <w:jc w:val="right"/>
              <w:rPr/>
            </w:pPr>
            <w:r>
              <w:rPr/>
              <w:t>0.00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622" w:type="dxa"/>
            <w:tcBorders/>
            <w:shd w:fill="FFFFFF" w:val="clear"/>
            <w:vAlign w:val="center"/>
          </w:tcPr>
          <w:p>
            <w:pPr>
              <w:pStyle w:val="TableContents"/>
              <w:bidi w:val="0"/>
              <w:spacing w:before="0" w:after="283"/>
              <w:jc w:val="right"/>
              <w:rPr/>
            </w:pPr>
            <w:r>
              <w:rPr/>
              <w:t>0.00</w:t>
            </w:r>
          </w:p>
        </w:tc>
        <w:tc>
          <w:tcPr>
            <w:tcW w:w="230" w:type="dxa"/>
            <w:tcBorders/>
            <w:shd w:fill="FFFFFF" w:val="clear"/>
            <w:vAlign w:val="center"/>
          </w:tcPr>
          <w:p>
            <w:pPr>
              <w:pStyle w:val="TableContents"/>
              <w:bidi w:val="0"/>
              <w:spacing w:before="0" w:after="283"/>
              <w:jc w:val="left"/>
              <w:rPr/>
            </w:pPr>
            <w:r>
              <w:rPr/>
              <w:t>%</w:t>
            </w:r>
          </w:p>
        </w:tc>
      </w:tr>
      <w:tr>
        <w:trPr/>
        <w:tc>
          <w:tcPr>
            <w:tcW w:w="4595" w:type="dxa"/>
            <w:tcBorders/>
            <w:shd w:fill="CCEEFF" w:val="clear"/>
            <w:vAlign w:val="center"/>
          </w:tcPr>
          <w:p>
            <w:pPr>
              <w:pStyle w:val="TableContents"/>
              <w:bidi w:val="0"/>
              <w:spacing w:before="0" w:after="283"/>
              <w:jc w:val="left"/>
              <w:rPr/>
            </w:pPr>
            <w:r>
              <w:rPr/>
              <w:t>Resulting weighted average grant date fair value</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790" w:type="dxa"/>
            <w:tcBorders/>
            <w:shd w:fill="CCEEFF" w:val="clear"/>
            <w:vAlign w:val="center"/>
          </w:tcPr>
          <w:p>
            <w:pPr>
              <w:pStyle w:val="TableContents"/>
              <w:bidi w:val="0"/>
              <w:spacing w:before="0" w:after="283"/>
              <w:jc w:val="right"/>
              <w:rPr/>
            </w:pPr>
            <w:r>
              <w:rPr/>
              <w:t>70.79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w:t>
            </w:r>
          </w:p>
        </w:tc>
        <w:tc>
          <w:tcPr>
            <w:tcW w:w="1622" w:type="dxa"/>
            <w:tcBorders/>
            <w:shd w:fill="CCEEFF" w:val="clear"/>
            <w:vAlign w:val="center"/>
          </w:tcPr>
          <w:p>
            <w:pPr>
              <w:pStyle w:val="TableContents"/>
              <w:bidi w:val="0"/>
              <w:spacing w:before="0" w:after="283"/>
              <w:jc w:val="right"/>
              <w:rPr/>
            </w:pPr>
            <w:r>
              <w:rPr/>
              <w:t>424.80</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stock options exercised during each of the years ended December 31, 2025 and 2024, respectively. The Company does not expect to be able to benefit from the deduction for stock option exercises that may occur because the company has tax loss carryforwards from prior periods that would be expected to offset any potential taxable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total remaining unrecognized compensation cost related to all outstanding awards with service conditions is less than $1,500 and will be amortized over an approximate remaining requisite service period of 0.50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Outstanding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share option activity and related information is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Share Option Activity </w:t>
      </w:r>
    </w:p>
    <w:tbl>
      <w:tblPr>
        <w:tblW w:w="10205" w:type="dxa"/>
        <w:jc w:val="left"/>
        <w:tblInd w:w="0" w:type="dxa"/>
        <w:tblLayout w:type="fixed"/>
        <w:tblCellMar>
          <w:top w:w="0" w:type="dxa"/>
          <w:left w:w="0" w:type="dxa"/>
          <w:bottom w:w="0" w:type="dxa"/>
          <w:right w:w="0" w:type="dxa"/>
        </w:tblCellMar>
      </w:tblPr>
      <w:tblGrid>
        <w:gridCol w:w="4273"/>
        <w:gridCol w:w="60"/>
        <w:gridCol w:w="102"/>
        <w:gridCol w:w="1178"/>
        <w:gridCol w:w="95"/>
        <w:gridCol w:w="60"/>
        <w:gridCol w:w="140"/>
        <w:gridCol w:w="980"/>
        <w:gridCol w:w="60"/>
        <w:gridCol w:w="60"/>
        <w:gridCol w:w="205"/>
        <w:gridCol w:w="1495"/>
        <w:gridCol w:w="60"/>
        <w:gridCol w:w="60"/>
        <w:gridCol w:w="206"/>
        <w:gridCol w:w="1094"/>
        <w:gridCol w:w="77"/>
      </w:tblGrid>
      <w:tr>
        <w:trPr/>
        <w:tc>
          <w:tcPr>
            <w:tcW w:w="42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Remaining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42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Number of</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gridSpan w:val="2"/>
            <w:tcBorders/>
            <w:vAlign w:val="center"/>
          </w:tcPr>
          <w:p>
            <w:pPr>
              <w:pStyle w:val="TableContents"/>
              <w:bidi w:val="0"/>
              <w:spacing w:before="0" w:after="283"/>
              <w:jc w:val="center"/>
              <w:rPr>
                <w:b/>
              </w:rPr>
            </w:pPr>
            <w:r>
              <w:rPr>
                <w:b/>
              </w:rPr>
              <w:t>Contractual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b/>
              </w:rPr>
            </w:pPr>
            <w:r>
              <w:rPr>
                <w:b/>
              </w:rPr>
              <w:t>Aggregate</w:t>
            </w:r>
          </w:p>
        </w:tc>
        <w:tc>
          <w:tcPr>
            <w:tcW w:w="77" w:type="dxa"/>
            <w:tcBorders/>
            <w:vAlign w:val="center"/>
          </w:tcPr>
          <w:p>
            <w:pPr>
              <w:pStyle w:val="TableContents"/>
              <w:bidi w:val="0"/>
              <w:spacing w:before="0" w:after="283"/>
              <w:jc w:val="left"/>
              <w:rPr/>
            </w:pPr>
            <w:r>
              <w:rPr/>
              <w:t> </w:t>
            </w:r>
          </w:p>
        </w:tc>
      </w:tr>
      <w:tr>
        <w:trPr/>
        <w:tc>
          <w:tcPr>
            <w:tcW w:w="42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Price Per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gridSpan w:val="2"/>
            <w:tcBorders/>
            <w:vAlign w:val="center"/>
          </w:tcPr>
          <w:p>
            <w:pPr>
              <w:pStyle w:val="TableContents"/>
              <w:bidi w:val="0"/>
              <w:spacing w:before="0" w:after="283"/>
              <w:jc w:val="center"/>
              <w:rPr>
                <w:b/>
              </w:rPr>
            </w:pPr>
            <w:r>
              <w:rPr>
                <w:b/>
              </w:rPr>
              <w:t>Term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b/>
              </w:rPr>
            </w:pPr>
            <w:r>
              <w:rPr>
                <w:b/>
              </w:rPr>
              <w:t>Intrinsic</w:t>
            </w:r>
          </w:p>
        </w:tc>
        <w:tc>
          <w:tcPr>
            <w:tcW w:w="77" w:type="dxa"/>
            <w:tcBorders/>
            <w:vAlign w:val="center"/>
          </w:tcPr>
          <w:p>
            <w:pPr>
              <w:pStyle w:val="TableContents"/>
              <w:bidi w:val="0"/>
              <w:spacing w:before="0" w:after="283"/>
              <w:jc w:val="left"/>
              <w:rPr/>
            </w:pPr>
            <w:r>
              <w:rPr/>
              <w:t> </w:t>
            </w:r>
          </w:p>
        </w:tc>
      </w:tr>
      <w:tr>
        <w:trPr/>
        <w:tc>
          <w:tcPr>
            <w:tcW w:w="42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Outstanding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 ($000)</w:t>
            </w:r>
          </w:p>
        </w:tc>
        <w:tc>
          <w:tcPr>
            <w:tcW w:w="77" w:type="dxa"/>
            <w:tcBorders/>
            <w:vAlign w:val="center"/>
          </w:tcPr>
          <w:p>
            <w:pPr>
              <w:pStyle w:val="TableContents"/>
              <w:bidi w:val="0"/>
              <w:spacing w:before="0" w:after="283"/>
              <w:jc w:val="left"/>
              <w:rPr/>
            </w:pPr>
            <w:r>
              <w:rPr/>
              <w:t> </w:t>
            </w:r>
          </w:p>
        </w:tc>
      </w:tr>
      <w:tr>
        <w:trPr/>
        <w:tc>
          <w:tcPr>
            <w:tcW w:w="42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4273" w:type="dxa"/>
            <w:tcBorders/>
            <w:shd w:fill="CCEEFF" w:val="clear"/>
            <w:vAlign w:val="center"/>
          </w:tcPr>
          <w:p>
            <w:pPr>
              <w:pStyle w:val="TableContents"/>
              <w:bidi w:val="0"/>
              <w:spacing w:before="0" w:after="283"/>
              <w:jc w:val="left"/>
              <w:rPr/>
            </w:pPr>
            <w:r>
              <w:rPr/>
              <w:t>Options outstanding at December 31, 2023</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595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12,048.00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7.96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4273"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547.20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w:t>
            </w:r>
          </w:p>
        </w:tc>
        <w:tc>
          <w:tcPr>
            <w:tcW w:w="1094"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4273"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4273" w:type="dxa"/>
            <w:tcBorders/>
            <w:shd w:fill="FFFFFF" w:val="clear"/>
            <w:vAlign w:val="center"/>
          </w:tcPr>
          <w:p>
            <w:pPr>
              <w:pStyle w:val="TableContents"/>
              <w:bidi w:val="0"/>
              <w:spacing w:before="0" w:after="283"/>
              <w:jc w:val="left"/>
              <w:rPr/>
            </w:pPr>
            <w:r>
              <w:rPr/>
              <w:t>Cancelled/forfeited</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8" w:space="0" w:color="000000"/>
            </w:tcBorders>
            <w:shd w:fill="FFFFFF" w:val="clear"/>
            <w:tcMar>
              <w:bottom w:w="28" w:type="dxa"/>
            </w:tcMar>
            <w:vAlign w:val="center"/>
          </w:tcPr>
          <w:p>
            <w:pPr>
              <w:pStyle w:val="TableContents"/>
              <w:bidi w:val="0"/>
              <w:spacing w:before="0" w:after="283"/>
              <w:jc w:val="right"/>
              <w:rPr/>
            </w:pPr>
            <w:r>
              <w:rPr/>
              <w:t>(153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12,327.88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4273" w:type="dxa"/>
            <w:tcBorders/>
            <w:shd w:fill="CCEEFF" w:val="clear"/>
            <w:vAlign w:val="center"/>
          </w:tcPr>
          <w:p>
            <w:pPr>
              <w:pStyle w:val="TableContents"/>
              <w:bidi w:val="0"/>
              <w:spacing w:before="0" w:after="283"/>
              <w:jc w:val="left"/>
              <w:rPr/>
            </w:pPr>
            <w:r>
              <w:rPr/>
              <w:t>Options outstanding at December 31, 2024</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494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10,658.14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7.20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42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4273" w:type="dxa"/>
            <w:tcBorders/>
            <w:shd w:fill="CCEEFF" w:val="clear"/>
            <w:vAlign w:val="center"/>
          </w:tcPr>
          <w:p>
            <w:pPr>
              <w:pStyle w:val="TableContents"/>
              <w:bidi w:val="0"/>
              <w:spacing w:before="0" w:after="283"/>
              <w:jc w:val="left"/>
              <w:rPr/>
            </w:pPr>
            <w:r>
              <w:rPr/>
              <w:t>Granted</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24,812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4273" w:type="dxa"/>
            <w:tcBorders/>
            <w:shd w:fill="FFFFFF" w:val="clear"/>
            <w:vAlign w:val="center"/>
          </w:tcPr>
          <w:p>
            <w:pPr>
              <w:pStyle w:val="TableContents"/>
              <w:bidi w:val="0"/>
              <w:spacing w:before="0" w:after="283"/>
              <w:jc w:val="left"/>
              <w:rPr/>
            </w:pPr>
            <w:r>
              <w:rPr/>
              <w:t>Exercised</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w:t>
            </w:r>
          </w:p>
        </w:tc>
        <w:tc>
          <w:tcPr>
            <w:tcW w:w="1094"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4273" w:type="dxa"/>
            <w:tcBorders/>
            <w:shd w:fill="CCEEFF" w:val="clear"/>
            <w:vAlign w:val="center"/>
          </w:tcPr>
          <w:p>
            <w:pPr>
              <w:pStyle w:val="TableContents"/>
              <w:bidi w:val="0"/>
              <w:spacing w:before="0" w:after="283"/>
              <w:jc w:val="left"/>
              <w:rPr/>
            </w:pPr>
            <w:r>
              <w:rPr/>
              <w:t>Cancelled/forfeited</w:t>
            </w:r>
          </w:p>
        </w:tc>
        <w:tc>
          <w:tcPr>
            <w:tcW w:w="60" w:type="dxa"/>
            <w:tcBorders/>
            <w:shd w:fill="CCEEFF" w:val="clear"/>
            <w:vAlign w:val="center"/>
          </w:tcPr>
          <w:p>
            <w:pPr>
              <w:pStyle w:val="TableContents"/>
              <w:bidi w:val="0"/>
              <w:spacing w:before="0" w:after="283"/>
              <w:jc w:val="left"/>
              <w:rPr/>
            </w:pPr>
            <w:r>
              <w:rPr/>
              <w:t> </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8" w:space="0" w:color="000000"/>
            </w:tcBorders>
            <w:shd w:fill="CCEEFF" w:val="clear"/>
            <w:tcMar>
              <w:bottom w:w="28" w:type="dxa"/>
            </w:tcMar>
            <w:vAlign w:val="center"/>
          </w:tcPr>
          <w:p>
            <w:pPr>
              <w:pStyle w:val="TableContents"/>
              <w:bidi w:val="0"/>
              <w:spacing w:before="0" w:after="283"/>
              <w:jc w:val="right"/>
              <w:rPr/>
            </w:pPr>
            <w:r>
              <w:rPr/>
              <w:t>(385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9,610.52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9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4273" w:type="dxa"/>
            <w:tcBorders/>
            <w:shd w:fill="FFFFFF" w:val="clear"/>
            <w:vAlign w:val="center"/>
          </w:tcPr>
          <w:p>
            <w:pPr>
              <w:pStyle w:val="TableContents"/>
              <w:bidi w:val="0"/>
              <w:spacing w:before="0" w:after="283"/>
              <w:jc w:val="left"/>
              <w:rPr/>
            </w:pPr>
            <w:r>
              <w:rPr/>
              <w:t>Options outstanding at December 31, 2025</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8" w:space="0" w:color="000000"/>
            </w:tcBorders>
            <w:shd w:fill="FFFFFF" w:val="clear"/>
            <w:tcMar>
              <w:bottom w:w="28" w:type="dxa"/>
            </w:tcMar>
            <w:vAlign w:val="center"/>
          </w:tcPr>
          <w:p>
            <w:pPr>
              <w:pStyle w:val="TableContents"/>
              <w:bidi w:val="0"/>
              <w:spacing w:before="0" w:after="283"/>
              <w:jc w:val="right"/>
              <w:rPr/>
            </w:pPr>
            <w:r>
              <w:rPr/>
              <w:t>24,921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103.04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5" w:type="dxa"/>
            <w:tcBorders>
              <w:bottom w:val="single" w:sz="8" w:space="0" w:color="000000"/>
            </w:tcBorders>
            <w:shd w:fill="FFFFFF" w:val="clear"/>
            <w:tcMar>
              <w:bottom w:w="28" w:type="dxa"/>
            </w:tcMar>
            <w:vAlign w:val="center"/>
          </w:tcPr>
          <w:p>
            <w:pPr>
              <w:pStyle w:val="TableContents"/>
              <w:bidi w:val="0"/>
              <w:spacing w:before="0" w:after="283"/>
              <w:jc w:val="right"/>
              <w:rPr/>
            </w:pPr>
            <w:r>
              <w:rPr/>
              <w:t>9.13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42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4273" w:type="dxa"/>
            <w:tcBorders/>
            <w:shd w:fill="FFFFFF" w:val="clear"/>
            <w:vAlign w:val="center"/>
          </w:tcPr>
          <w:p>
            <w:pPr>
              <w:pStyle w:val="TableContents"/>
              <w:bidi w:val="0"/>
              <w:spacing w:before="0" w:after="283"/>
              <w:jc w:val="left"/>
              <w:rPr/>
            </w:pPr>
            <w:r>
              <w:rPr/>
              <w:t>Unvested at December 31, 2025</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8" w:space="0" w:color="000000"/>
            </w:tcBorders>
            <w:shd w:fill="FFFFFF" w:val="clear"/>
            <w:tcMar>
              <w:bottom w:w="28" w:type="dxa"/>
            </w:tcM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2,094.84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5" w:type="dxa"/>
            <w:tcBorders>
              <w:bottom w:val="single" w:sz="8" w:space="0" w:color="000000"/>
            </w:tcBorders>
            <w:shd w:fill="FFFFFF" w:val="clear"/>
            <w:tcMar>
              <w:bottom w:w="28" w:type="dxa"/>
            </w:tcMar>
            <w:vAlign w:val="center"/>
          </w:tcPr>
          <w:p>
            <w:pPr>
              <w:pStyle w:val="TableContents"/>
              <w:bidi w:val="0"/>
              <w:spacing w:before="0" w:after="283"/>
              <w:jc w:val="right"/>
              <w:rPr/>
            </w:pPr>
            <w:r>
              <w:rPr/>
              <w:t>7.49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4273" w:type="dxa"/>
            <w:tcBorders/>
            <w:shd w:fill="CCEEFF" w:val="clear"/>
            <w:vAlign w:val="center"/>
          </w:tcPr>
          <w:p>
            <w:pPr>
              <w:pStyle w:val="TableContents"/>
              <w:bidi w:val="0"/>
              <w:spacing w:before="0" w:after="283"/>
              <w:jc w:val="left"/>
              <w:rPr/>
            </w:pPr>
            <w:r>
              <w:rPr/>
              <w:t>Vested and exercisable at December 31, 2025</w:t>
            </w:r>
          </w:p>
        </w:tc>
        <w:tc>
          <w:tcPr>
            <w:tcW w:w="60" w:type="dxa"/>
            <w:tcBorders/>
            <w:shd w:fill="CCEEFF" w:val="clear"/>
            <w:vAlign w:val="center"/>
          </w:tcPr>
          <w:p>
            <w:pPr>
              <w:pStyle w:val="TableContents"/>
              <w:bidi w:val="0"/>
              <w:spacing w:before="0" w:after="283"/>
              <w:jc w:val="left"/>
              <w:rPr/>
            </w:pPr>
            <w:r>
              <w:rPr/>
              <w:t> </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78" w:type="dxa"/>
            <w:tcBorders>
              <w:bottom w:val="single" w:sz="8" w:space="0" w:color="000000"/>
            </w:tcBorders>
            <w:shd w:fill="CCEEFF" w:val="clear"/>
            <w:tcMar>
              <w:bottom w:w="28" w:type="dxa"/>
            </w:tcMar>
            <w:vAlign w:val="center"/>
          </w:tcPr>
          <w:p>
            <w:pPr>
              <w:pStyle w:val="TableContents"/>
              <w:bidi w:val="0"/>
              <w:spacing w:before="0" w:after="283"/>
              <w:jc w:val="right"/>
              <w:rPr/>
            </w:pPr>
            <w:r>
              <w:rPr/>
              <w:t>24,917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102.72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495" w:type="dxa"/>
            <w:tcBorders>
              <w:bottom w:val="single" w:sz="8" w:space="0" w:color="000000"/>
            </w:tcBorders>
            <w:shd w:fill="CCEEFF" w:val="clear"/>
            <w:tcMar>
              <w:bottom w:w="28" w:type="dxa"/>
            </w:tcMar>
            <w:vAlign w:val="center"/>
          </w:tcPr>
          <w:p>
            <w:pPr>
              <w:pStyle w:val="TableContents"/>
              <w:bidi w:val="0"/>
              <w:spacing w:before="0" w:after="283"/>
              <w:jc w:val="right"/>
              <w:rPr/>
            </w:pPr>
            <w:r>
              <w:rPr/>
              <w:t>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9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500,178 restricted stock units during the year ended December 31, 2025. These restricted stock units vested immediately and were valued at $1.40 at the date of grant, which was equivalent to the market price of a share of the Company’s common stock on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52 restricted stock units during the year ended December 31, 2024. These restricted stock units vested monthly over a six-month6 service period. These restricted stock units were valued at $547.20 at the date of grant, which was equivalent to the market price of a share of the Company’s common stock on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Seventy-one71 restricted stock units were issued in January 2023. These units vest on the third anniversary of their date of grant, or earlier if certain defined clinical trial-related performance targets are met. A three-year 3vesting assumption was applied to these restricted stock units as satisfaction of the performance conditions is not probable at this time. Each restricted stock unit was valued at $3,240.00 at the date of grant, which was equivalent to the market price of a share of the Company’s common stock on that date. As of December 31, 2025, all but 2 of the original awards granted have been forfeited due to the recipient’s termination of service with the Company. In the year ended December 31, 2025, the Company reduced stock compensation cost, a component of selling general, and administrative expense, by approximately $92,000 as a result of forfeitures of these awards during that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2025 Reverse Stock Split resulted in the effective cancellation of certain previously issued and outstanding restricted stock units. In the quarter ended June 30, 2025, the Company accelerated the recognition of any remaining unrecognized compensation expense upon the impending cancellation of those awards. This resulted in an approximately $1,000 charge during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Summarized information for restricted stock units as of December 31, 2025 and 2024 is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Restricted Stock Units Activity </w:t>
      </w:r>
    </w:p>
    <w:tbl>
      <w:tblPr>
        <w:tblW w:w="6664" w:type="dxa"/>
        <w:jc w:val="left"/>
        <w:tblInd w:w="0" w:type="dxa"/>
        <w:tblLayout w:type="fixed"/>
        <w:tblCellMar>
          <w:top w:w="0" w:type="dxa"/>
          <w:left w:w="0" w:type="dxa"/>
          <w:bottom w:w="0" w:type="dxa"/>
          <w:right w:w="0" w:type="dxa"/>
        </w:tblCellMar>
      </w:tblPr>
      <w:tblGrid>
        <w:gridCol w:w="3920"/>
        <w:gridCol w:w="60"/>
        <w:gridCol w:w="81"/>
        <w:gridCol w:w="1199"/>
        <w:gridCol w:w="95"/>
        <w:gridCol w:w="60"/>
        <w:gridCol w:w="164"/>
        <w:gridCol w:w="1010"/>
        <w:gridCol w:w="75"/>
      </w:tblGrid>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Restricted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b/>
              </w:rPr>
            </w:pPr>
            <w:r>
              <w:rPr>
                <w:b/>
              </w:rPr>
              <w:t>Grant Date</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Stock 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b/>
              </w:rPr>
            </w:pPr>
            <w:r>
              <w:rPr>
                <w:b/>
              </w:rPr>
              <w:t>Value Per</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Outstanding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RSUs outstanding at Dec 31, 2023</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144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3,902.40</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547.20</w:t>
            </w:r>
          </w:p>
        </w:tc>
        <w:tc>
          <w:tcPr>
            <w:tcW w:w="7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Cancelled/forfeited</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8" w:space="0" w:color="000000"/>
            </w:tcBorders>
            <w:shd w:fill="CCEEFF" w:val="clear"/>
            <w:tcMar>
              <w:bottom w:w="28" w:type="dxa"/>
            </w:tcMar>
            <w:vAlign w:val="center"/>
          </w:tcPr>
          <w:p>
            <w:pPr>
              <w:pStyle w:val="TableContents"/>
              <w:bidi w:val="0"/>
              <w:spacing w:before="0" w:after="283"/>
              <w:jc w:val="right"/>
              <w:rPr/>
            </w:pPr>
            <w:r>
              <w:rPr/>
              <w:t>(32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3,675.17</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pPr>
            <w:r>
              <w:rPr/>
              <w:t>RSUs outstanding at Dec 31, 2024</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single" w:sz="8" w:space="0" w:color="000000"/>
            </w:tcBorders>
            <w:shd w:fill="FFFFFF" w:val="clear"/>
            <w:tcMar>
              <w:bottom w:w="28" w:type="dxa"/>
            </w:tcMar>
            <w:vAlign w:val="center"/>
          </w:tcPr>
          <w:p>
            <w:pPr>
              <w:pStyle w:val="TableContents"/>
              <w:bidi w:val="0"/>
              <w:spacing w:before="0" w:after="283"/>
              <w:jc w:val="right"/>
              <w:rPr/>
            </w:pPr>
            <w:r>
              <w:rPr/>
              <w:t>164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pPr>
            <w:r>
              <w:rPr/>
              <w:t>2,881.62</w:t>
            </w:r>
          </w:p>
        </w:tc>
        <w:tc>
          <w:tcPr>
            <w:tcW w:w="7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500,178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1.40</w:t>
            </w:r>
          </w:p>
        </w:tc>
        <w:tc>
          <w:tcPr>
            <w:tcW w:w="7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Vested and converted to Common Stock</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(500,178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1.40</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pPr>
            <w:r>
              <w:rPr/>
              <w:t>Cancelled/forfeited</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single" w:sz="8" w:space="0" w:color="000000"/>
            </w:tcBorders>
            <w:shd w:fill="FFFFFF" w:val="clear"/>
            <w:tcMar>
              <w:bottom w:w="28" w:type="dxa"/>
            </w:tcMar>
            <w:vAlign w:val="center"/>
          </w:tcPr>
          <w:p>
            <w:pPr>
              <w:pStyle w:val="TableContents"/>
              <w:bidi w:val="0"/>
              <w:spacing w:before="0" w:after="283"/>
              <w:jc w:val="right"/>
              <w:rPr/>
            </w:pPr>
            <w:r>
              <w:rPr/>
              <w:t>(162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pPr>
            <w:r>
              <w:rPr/>
              <w:t>3,284.47</w:t>
            </w:r>
          </w:p>
        </w:tc>
        <w:tc>
          <w:tcPr>
            <w:tcW w:w="7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RSUs outstanding at December 31, 2025</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double" w:sz="6" w:space="0" w:color="000000"/>
            </w:tcBorders>
            <w:shd w:fill="CCEEFF" w:val="clear"/>
            <w:tcMar>
              <w:bottom w:w="28" w:type="dxa"/>
            </w:tcM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3,240.00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Employee Benefit Plans</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Pension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 defined contribution group personal pension plan for all of its UK based employees. Company contributions to the plan totaled approximately $500 and $51,000 for the years ended December 31, 2025 and 2024, respectively.</w:t>
      </w:r>
    </w:p>
    <w:p>
      <w:pPr>
        <w:pStyle w:val="TextBody"/>
        <w:bidi w:val="0"/>
        <w:spacing w:before="0" w:after="0"/>
        <w:ind w:left="20" w:right="0" w:firstLine="221"/>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Employee Benefit Plans</w:t>
      </w:r>
    </w:p>
    <w:p>
      <w:pPr>
        <w:pStyle w:val="TextBody"/>
        <w:bidi w:val="0"/>
        <w:spacing w:before="0" w:after="0"/>
        <w:ind w:left="20" w:right="0" w:firstLine="221"/>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p>
      <w:pPr>
        <w:pStyle w:val="TextBody"/>
        <w:bidi w:val="0"/>
        <w:spacing w:before="0" w:after="0"/>
        <w:ind w:left="0" w:right="0" w:hanging="0"/>
        <w:jc w:val="left"/>
        <w:rPr/>
      </w:pPr>
      <w:r>
        <w:rPr/>
        <w:t> </w:t>
      </w:r>
    </w:p>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401(k)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401(k) Plan provides for matching contributions by the Company in an amount equal to the lesser of 100% of the employee’s deferral or 6% of the U.S. employee’s qualifying compensation. The 401(k) Plan is intended to qualify under Section 401(k) of the Internal Revenue Code, so that contributions to the 401(k) Plan by employees or by the Company, and the investment earnings thereon, are not taxable to the employees until withdrawn. Company matching contributions are tax deductible by the Company when made. In 2025, Company employees could elect to reduce their current compensation by up to the statutorily prescribed annual limit of $23,500 if under 50 years old and $31,000 if over 50 years old and to have those funds contributed to the 401(k) Plan. The Company made contributions of approximately $333 and $40,000 to the 401(k) Plan for the years ended December 31, 2025 and 2024, respectively.</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Statutory Contributions Relating to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income from continuing operations before taxes is comprised of the following components for the years ended December 31, 2025 and 2024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Components of (Loss) Income Before Taxes from Continuing Operations </w:t>
      </w:r>
    </w:p>
    <w:tbl>
      <w:tblPr>
        <w:tblW w:w="7182" w:type="dxa"/>
        <w:jc w:val="left"/>
        <w:tblInd w:w="0" w:type="dxa"/>
        <w:tblLayout w:type="fixed"/>
        <w:tblCellMar>
          <w:top w:w="0" w:type="dxa"/>
          <w:left w:w="0" w:type="dxa"/>
          <w:bottom w:w="0" w:type="dxa"/>
          <w:right w:w="0" w:type="dxa"/>
        </w:tblCellMar>
      </w:tblPr>
      <w:tblGrid>
        <w:gridCol w:w="4295"/>
        <w:gridCol w:w="60"/>
        <w:gridCol w:w="208"/>
        <w:gridCol w:w="946"/>
        <w:gridCol w:w="141"/>
        <w:gridCol w:w="89"/>
        <w:gridCol w:w="208"/>
        <w:gridCol w:w="1125"/>
        <w:gridCol w:w="110"/>
      </w:tblGrid>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Domestic</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946" w:type="dxa"/>
            <w:tcBorders/>
            <w:shd w:fill="CCEEFF" w:val="clear"/>
            <w:vAlign w:val="center"/>
          </w:tcPr>
          <w:p>
            <w:pPr>
              <w:pStyle w:val="TableContents"/>
              <w:bidi w:val="0"/>
              <w:spacing w:before="0" w:after="283"/>
              <w:jc w:val="right"/>
              <w:rPr/>
            </w:pPr>
            <w:r>
              <w:rPr/>
              <w:t>(1,839</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125" w:type="dxa"/>
            <w:tcBorders/>
            <w:shd w:fill="CCEEFF" w:val="clear"/>
            <w:vAlign w:val="center"/>
          </w:tcPr>
          <w:p>
            <w:pPr>
              <w:pStyle w:val="TableContents"/>
              <w:bidi w:val="0"/>
              <w:spacing w:before="0" w:after="283"/>
              <w:jc w:val="right"/>
              <w:rPr/>
            </w:pPr>
            <w:r>
              <w:rPr/>
              <w:t>36</w:t>
            </w:r>
          </w:p>
        </w:tc>
        <w:tc>
          <w:tcPr>
            <w:tcW w:w="11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Foreign</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FFFFFF" w:val="clear"/>
            <w:tcMar>
              <w:bottom w:w="28" w:type="dxa"/>
            </w:tcMar>
            <w:vAlign w:val="center"/>
          </w:tcPr>
          <w:p>
            <w:pPr>
              <w:pStyle w:val="TableContents"/>
              <w:bidi w:val="0"/>
              <w:spacing w:before="0" w:after="283"/>
              <w:jc w:val="right"/>
              <w:rPr/>
            </w:pPr>
            <w:r>
              <w:rPr/>
              <w:t>(1,152</w:t>
            </w:r>
          </w:p>
        </w:tc>
        <w:tc>
          <w:tcPr>
            <w:tcW w:w="141" w:type="dxa"/>
            <w:tcBorders/>
            <w:shd w:fill="FFFFFF" w:val="clear"/>
            <w:vAlign w:val="center"/>
          </w:tcPr>
          <w:p>
            <w:pPr>
              <w:pStyle w:val="TableContents"/>
              <w:bidi w:val="0"/>
              <w:spacing w:before="0" w:after="283"/>
              <w:jc w:val="left"/>
              <w:rPr/>
            </w:pPr>
            <w:r>
              <w:rPr/>
              <w:t>)</w:t>
            </w:r>
          </w:p>
        </w:tc>
        <w:tc>
          <w:tcPr>
            <w:tcW w:w="89"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FFFFFF" w:val="clear"/>
            <w:tcMar>
              <w:bottom w:w="28" w:type="dxa"/>
            </w:tcMar>
            <w:vAlign w:val="center"/>
          </w:tcPr>
          <w:p>
            <w:pPr>
              <w:pStyle w:val="TableContents"/>
              <w:bidi w:val="0"/>
              <w:spacing w:before="0" w:after="283"/>
              <w:jc w:val="right"/>
              <w:rPr/>
            </w:pPr>
            <w:r>
              <w:rPr/>
              <w:t>(12,030</w:t>
            </w:r>
          </w:p>
        </w:tc>
        <w:tc>
          <w:tcPr>
            <w:tcW w:w="110" w:type="dxa"/>
            <w:tcBorders/>
            <w:shd w:fill="FFFFFF" w:val="clear"/>
            <w:vAlign w:val="center"/>
          </w:tcPr>
          <w:p>
            <w:pPr>
              <w:pStyle w:val="TableContents"/>
              <w:bidi w:val="0"/>
              <w:spacing w:before="0" w:after="283"/>
              <w:jc w:val="left"/>
              <w:rPr/>
            </w:pPr>
            <w:r>
              <w:rPr/>
              <w:t>)</w:t>
            </w:r>
          </w:p>
        </w:tc>
      </w:tr>
      <w:tr>
        <w:trPr/>
        <w:tc>
          <w:tcPr>
            <w:tcW w:w="4295" w:type="dxa"/>
            <w:tcBorders/>
            <w:shd w:fill="CCEEFF" w:val="clear"/>
            <w:vAlign w:val="center"/>
          </w:tcPr>
          <w:p>
            <w:pPr>
              <w:pStyle w:val="TableContents"/>
              <w:bidi w:val="0"/>
              <w:spacing w:before="0" w:after="283"/>
              <w:jc w:val="left"/>
              <w:rPr/>
            </w:pPr>
            <w:r>
              <w:rPr/>
              <w:t>Loss from continuing operations before taxes</w:t>
            </w:r>
          </w:p>
        </w:tc>
        <w:tc>
          <w:tcPr>
            <w:tcW w:w="60" w:type="dxa"/>
            <w:tcBorders/>
            <w:shd w:fill="CCEEFF" w:val="cle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jc w:val="right"/>
              <w:rPr/>
            </w:pPr>
            <w:r>
              <w:rPr/>
              <w:t>(2,991</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5" w:type="dxa"/>
            <w:tcBorders>
              <w:bottom w:val="double" w:sz="6" w:space="0" w:color="000000"/>
            </w:tcBorders>
            <w:shd w:fill="CCEEFF" w:val="clear"/>
            <w:tcMar>
              <w:bottom w:w="28" w:type="dxa"/>
            </w:tcMar>
            <w:vAlign w:val="center"/>
          </w:tcPr>
          <w:p>
            <w:pPr>
              <w:pStyle w:val="TableContents"/>
              <w:bidi w:val="0"/>
              <w:spacing w:before="0" w:after="283"/>
              <w:jc w:val="right"/>
              <w:rPr/>
            </w:pPr>
            <w:r>
              <w:rPr/>
              <w:t>(11,994</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benefit (provision) for income taxes from continuing operations consists of the following (in thousands):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Benefit (Provision) for Income Taxes from Continuing Operations </w:t>
      </w:r>
    </w:p>
    <w:tbl>
      <w:tblPr>
        <w:tblW w:w="4902" w:type="dxa"/>
        <w:jc w:val="left"/>
        <w:tblInd w:w="0" w:type="dxa"/>
        <w:tblLayout w:type="fixed"/>
        <w:tblCellMar>
          <w:top w:w="0" w:type="dxa"/>
          <w:left w:w="0" w:type="dxa"/>
          <w:bottom w:w="0" w:type="dxa"/>
          <w:right w:w="0" w:type="dxa"/>
        </w:tblCellMar>
      </w:tblPr>
      <w:tblGrid>
        <w:gridCol w:w="2015"/>
        <w:gridCol w:w="60"/>
        <w:gridCol w:w="405"/>
        <w:gridCol w:w="752"/>
        <w:gridCol w:w="219"/>
        <w:gridCol w:w="138"/>
        <w:gridCol w:w="324"/>
        <w:gridCol w:w="879"/>
        <w:gridCol w:w="110"/>
      </w:tblGrid>
      <w:tr>
        <w:trPr/>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9"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2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9"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2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283"/>
              <w:jc w:val="left"/>
              <w:rPr/>
            </w:pPr>
            <w:r>
              <w:rPr/>
              <w:t>Current  –  domestic</w:t>
            </w:r>
          </w:p>
        </w:tc>
        <w:tc>
          <w:tcPr>
            <w:tcW w:w="6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w:t>
            </w:r>
          </w:p>
        </w:tc>
        <w:tc>
          <w:tcPr>
            <w:tcW w:w="752" w:type="dxa"/>
            <w:tcBorders/>
            <w:shd w:fill="CCEEFF" w:val="clear"/>
            <w:vAlign w:val="center"/>
          </w:tcPr>
          <w:p>
            <w:pPr>
              <w:pStyle w:val="TableContents"/>
              <w:bidi w:val="0"/>
              <w:spacing w:before="0" w:after="283"/>
              <w:jc w:val="right"/>
              <w:rPr/>
            </w:pPr>
            <w:r>
              <w:rPr/>
              <w:t>—</w:t>
            </w:r>
          </w:p>
        </w:tc>
        <w:tc>
          <w:tcPr>
            <w:tcW w:w="219"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w:t>
            </w:r>
          </w:p>
        </w:tc>
        <w:tc>
          <w:tcPr>
            <w:tcW w:w="879" w:type="dxa"/>
            <w:tcBorders/>
            <w:shd w:fill="CCEEFF" w:val="clear"/>
            <w:vAlign w:val="center"/>
          </w:tcPr>
          <w:p>
            <w:pPr>
              <w:pStyle w:val="TableContents"/>
              <w:bidi w:val="0"/>
              <w:spacing w:before="0" w:after="283"/>
              <w:jc w:val="right"/>
              <w:rPr/>
            </w:pPr>
            <w:r>
              <w:rPr/>
              <w:t>(21</w:t>
            </w:r>
          </w:p>
        </w:tc>
        <w:tc>
          <w:tcPr>
            <w:tcW w:w="110" w:type="dxa"/>
            <w:tcBorders/>
            <w:shd w:fill="CCEEFF" w:val="clear"/>
            <w:vAlign w:val="center"/>
          </w:tcPr>
          <w:p>
            <w:pPr>
              <w:pStyle w:val="TableContents"/>
              <w:bidi w:val="0"/>
              <w:spacing w:before="0" w:after="283"/>
              <w:jc w:val="left"/>
              <w:rPr/>
            </w:pPr>
            <w:r>
              <w:rPr/>
              <w:t>)</w:t>
            </w:r>
          </w:p>
        </w:tc>
      </w:tr>
      <w:tr>
        <w:trPr/>
        <w:tc>
          <w:tcPr>
            <w:tcW w:w="2015" w:type="dxa"/>
            <w:tcBorders/>
            <w:shd w:fill="FFFFFF" w:val="clear"/>
            <w:vAlign w:val="center"/>
          </w:tcPr>
          <w:p>
            <w:pPr>
              <w:pStyle w:val="TableContents"/>
              <w:bidi w:val="0"/>
              <w:spacing w:before="0" w:after="283"/>
              <w:jc w:val="left"/>
              <w:rPr/>
            </w:pPr>
            <w:r>
              <w:rPr/>
              <w:t>Current  –  foreign</w:t>
            </w:r>
          </w:p>
        </w:tc>
        <w:tc>
          <w:tcPr>
            <w:tcW w:w="60" w:type="dxa"/>
            <w:tcBorders/>
            <w:shd w:fill="FFFFFF" w:val="clear"/>
            <w:vAlign w:val="center"/>
          </w:tcPr>
          <w:p>
            <w:pPr>
              <w:pStyle w:val="TableContents"/>
              <w:bidi w:val="0"/>
              <w:spacing w:before="0" w:after="283"/>
              <w:jc w:val="left"/>
              <w:rPr/>
            </w:pPr>
            <w:r>
              <w:rPr/>
              <w:t> </w:t>
            </w:r>
          </w:p>
        </w:tc>
        <w:tc>
          <w:tcPr>
            <w:tcW w:w="4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2"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219" w:type="dxa"/>
            <w:tcBorders/>
            <w:shd w:fill="FFFFFF" w:val="clear"/>
            <w:vAlign w:val="center"/>
          </w:tcPr>
          <w:p>
            <w:pPr>
              <w:pStyle w:val="TableContents"/>
              <w:bidi w:val="0"/>
              <w:spacing w:before="0" w:after="283"/>
              <w:jc w:val="left"/>
              <w:rPr/>
            </w:pPr>
            <w:r>
              <w:rPr/>
              <w:t>)</w:t>
            </w:r>
          </w:p>
        </w:tc>
        <w:tc>
          <w:tcPr>
            <w:tcW w:w="138" w:type="dxa"/>
            <w:tcBorders/>
            <w:shd w:fill="FFFFFF" w:val="clear"/>
            <w:vAlign w:val="center"/>
          </w:tcPr>
          <w:p>
            <w:pPr>
              <w:pStyle w:val="TableContents"/>
              <w:bidi w:val="0"/>
              <w:spacing w:before="0" w:after="283"/>
              <w:jc w:val="left"/>
              <w:rPr/>
            </w:pPr>
            <w:r>
              <w:rPr/>
              <w:t> </w:t>
            </w:r>
          </w:p>
        </w:tc>
        <w:tc>
          <w:tcPr>
            <w:tcW w:w="3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9" w:type="dxa"/>
            <w:tcBorders>
              <w:bottom w:val="single" w:sz="8" w:space="0" w:color="000000"/>
            </w:tcBorders>
            <w:shd w:fill="FFFFFF" w:val="clear"/>
            <w:tcMar>
              <w:bottom w:w="28" w:type="dxa"/>
            </w:tcMar>
            <w:vAlign w:val="center"/>
          </w:tcPr>
          <w:p>
            <w:pPr>
              <w:pStyle w:val="TableContents"/>
              <w:bidi w:val="0"/>
              <w:spacing w:before="0" w:after="283"/>
              <w:jc w:val="right"/>
              <w:rPr/>
            </w:pPr>
            <w:r>
              <w:rPr/>
              <w:t>803</w:t>
            </w:r>
          </w:p>
        </w:tc>
        <w:tc>
          <w:tcPr>
            <w:tcW w:w="110" w:type="dxa"/>
            <w:tcBorders/>
            <w:shd w:fill="FFFFFF" w:val="clear"/>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283"/>
              <w:jc w:val="left"/>
              <w:rPr/>
            </w:pPr>
            <w:r>
              <w:rPr/>
              <w:t>Current  –  total</w:t>
            </w:r>
          </w:p>
        </w:tc>
        <w:tc>
          <w:tcPr>
            <w:tcW w:w="6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pPr>
            <w:r>
              <w:rPr/>
              <w:t>(7</w:t>
            </w:r>
          </w:p>
        </w:tc>
        <w:tc>
          <w:tcPr>
            <w:tcW w:w="219" w:type="dxa"/>
            <w:tcBorders/>
            <w:shd w:fill="CCEEFF" w:val="clear"/>
            <w:vAlign w:val="center"/>
          </w:tcPr>
          <w:p>
            <w:pPr>
              <w:pStyle w:val="TableContents"/>
              <w:bidi w:val="0"/>
              <w:spacing w:before="0" w:after="283"/>
              <w:jc w:val="left"/>
              <w:rPr/>
            </w:pPr>
            <w:r>
              <w:rPr/>
              <w:t>)</w:t>
            </w:r>
          </w:p>
        </w:tc>
        <w:tc>
          <w:tcPr>
            <w:tcW w:w="138"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r>
              <w:rPr/>
              <w:t>782</w:t>
            </w:r>
          </w:p>
        </w:tc>
        <w:tc>
          <w:tcPr>
            <w:tcW w:w="110" w:type="dxa"/>
            <w:tcBorders/>
            <w:shd w:fill="CCEE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283"/>
              <w:jc w:val="left"/>
              <w:rPr/>
            </w:pPr>
            <w:r>
              <w:rPr/>
              <w:t>Deferred  –  domestic</w:t>
            </w:r>
          </w:p>
        </w:tc>
        <w:tc>
          <w:tcPr>
            <w:tcW w:w="60" w:type="dxa"/>
            <w:tcBorders/>
            <w:shd w:fill="FFFFFF" w:val="clear"/>
            <w:vAlign w:val="center"/>
          </w:tcPr>
          <w:p>
            <w:pPr>
              <w:pStyle w:val="TableContents"/>
              <w:bidi w:val="0"/>
              <w:spacing w:before="0" w:after="283"/>
              <w:jc w:val="left"/>
              <w:rPr/>
            </w:pPr>
            <w:r>
              <w:rPr/>
              <w:t> </w:t>
            </w:r>
          </w:p>
        </w:tc>
        <w:tc>
          <w:tcPr>
            <w:tcW w:w="4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19"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3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283"/>
              <w:jc w:val="left"/>
              <w:rPr/>
            </w:pPr>
            <w:r>
              <w:rPr/>
              <w:t>Income tax benefit</w:t>
            </w:r>
          </w:p>
        </w:tc>
        <w:tc>
          <w:tcPr>
            <w:tcW w:w="60" w:type="dxa"/>
            <w:tcBorders/>
            <w:shd w:fill="CCEEFF" w:val="clear"/>
            <w:vAlign w:val="center"/>
          </w:tcPr>
          <w:p>
            <w:pPr>
              <w:pStyle w:val="TableContents"/>
              <w:bidi w:val="0"/>
              <w:spacing w:before="0" w:after="283"/>
              <w:jc w:val="left"/>
              <w:rPr/>
            </w:pPr>
            <w:r>
              <w:rPr/>
              <w:t> </w:t>
            </w:r>
          </w:p>
        </w:tc>
        <w:tc>
          <w:tcPr>
            <w:tcW w:w="40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2" w:type="dxa"/>
            <w:tcBorders>
              <w:bottom w:val="double" w:sz="6" w:space="0" w:color="000000"/>
            </w:tcBorders>
            <w:shd w:fill="CCEEFF" w:val="clear"/>
            <w:tcMar>
              <w:bottom w:w="28" w:type="dxa"/>
            </w:tcMar>
            <w:vAlign w:val="center"/>
          </w:tcPr>
          <w:p>
            <w:pPr>
              <w:pStyle w:val="TableContents"/>
              <w:bidi w:val="0"/>
              <w:spacing w:before="0" w:after="283"/>
              <w:jc w:val="right"/>
              <w:rPr/>
            </w:pPr>
            <w:r>
              <w:rPr/>
              <w:t>(7</w:t>
            </w:r>
          </w:p>
        </w:tc>
        <w:tc>
          <w:tcPr>
            <w:tcW w:w="219" w:type="dxa"/>
            <w:tcBorders/>
            <w:shd w:fill="CCEEFF" w:val="clear"/>
            <w:vAlign w:val="center"/>
          </w:tcPr>
          <w:p>
            <w:pPr>
              <w:pStyle w:val="TableContents"/>
              <w:bidi w:val="0"/>
              <w:spacing w:before="0" w:after="283"/>
              <w:jc w:val="left"/>
              <w:rPr/>
            </w:pPr>
            <w:r>
              <w:rPr/>
              <w:t>)</w:t>
            </w:r>
          </w:p>
        </w:tc>
        <w:tc>
          <w:tcPr>
            <w:tcW w:w="138" w:type="dxa"/>
            <w:tcBorders/>
            <w:shd w:fill="CCEEFF" w:val="clear"/>
            <w:vAlign w:val="center"/>
          </w:tcPr>
          <w:p>
            <w:pPr>
              <w:pStyle w:val="TableContents"/>
              <w:bidi w:val="0"/>
              <w:spacing w:before="0" w:after="283"/>
              <w:jc w:val="left"/>
              <w:rPr/>
            </w:pPr>
            <w:r>
              <w:rPr/>
              <w:t> </w:t>
            </w:r>
          </w:p>
        </w:tc>
        <w:tc>
          <w:tcPr>
            <w:tcW w:w="32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9" w:type="dxa"/>
            <w:tcBorders>
              <w:bottom w:val="double" w:sz="6" w:space="0" w:color="000000"/>
            </w:tcBorders>
            <w:shd w:fill="CCEEFF" w:val="clear"/>
            <w:tcMar>
              <w:bottom w:w="28" w:type="dxa"/>
            </w:tcMar>
            <w:vAlign w:val="center"/>
          </w:tcPr>
          <w:p>
            <w:pPr>
              <w:pStyle w:val="TableContents"/>
              <w:bidi w:val="0"/>
              <w:spacing w:before="0" w:after="283"/>
              <w:jc w:val="right"/>
              <w:rPr/>
            </w:pPr>
            <w:r>
              <w:rPr/>
              <w:t>782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incurred a taxable loss in each of the operating periods since incorporation. The income tax credits of $0 million and $0.8 million for the years ended December 31, 2025 and 2024, respectively, represent UK research and development (“R&amp;D”) tax credits for expenditures in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the (benefit) provision for income taxes from continuing operations with the amount computed by applying the statutory federal tax rate to loss from continuing operations before income taxes is as follows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Effective Income Tax Rate Reconciliation </w:t>
      </w:r>
    </w:p>
    <w:tbl>
      <w:tblPr>
        <w:tblW w:w="8639" w:type="dxa"/>
        <w:jc w:val="left"/>
        <w:tblInd w:w="0" w:type="dxa"/>
        <w:tblLayout w:type="fixed"/>
        <w:tblCellMar>
          <w:top w:w="0" w:type="dxa"/>
          <w:left w:w="0" w:type="dxa"/>
          <w:bottom w:w="0" w:type="dxa"/>
          <w:right w:w="0" w:type="dxa"/>
        </w:tblCellMar>
      </w:tblPr>
      <w:tblGrid>
        <w:gridCol w:w="5750"/>
        <w:gridCol w:w="60"/>
        <w:gridCol w:w="425"/>
        <w:gridCol w:w="2294"/>
        <w:gridCol w:w="110"/>
      </w:tblGrid>
      <w:tr>
        <w:trPr/>
        <w:tc>
          <w:tcPr>
            <w:tcW w:w="5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7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center"/>
              <w:rPr/>
            </w:pPr>
            <w:r>
              <w:rPr/>
              <w:t> </w:t>
            </w:r>
          </w:p>
        </w:tc>
      </w:tr>
      <w:tr>
        <w:trPr/>
        <w:tc>
          <w:tcPr>
            <w:tcW w:w="5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283"/>
              <w:jc w:val="left"/>
              <w:rPr/>
            </w:pPr>
            <w:r>
              <w:rPr/>
              <w:t>U.S. Federal Statutory Tax Rate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w:t>
            </w:r>
          </w:p>
        </w:tc>
        <w:tc>
          <w:tcPr>
            <w:tcW w:w="2294" w:type="dxa"/>
            <w:tcBorders/>
            <w:shd w:fill="CCEEFF" w:val="clear"/>
            <w:vAlign w:val="center"/>
          </w:tcPr>
          <w:p>
            <w:pPr>
              <w:pStyle w:val="TableContents"/>
              <w:bidi w:val="0"/>
              <w:spacing w:before="0" w:after="283"/>
              <w:jc w:val="right"/>
              <w:rPr/>
            </w:pPr>
            <w:r>
              <w:rPr/>
              <w:t>(609</w:t>
            </w:r>
          </w:p>
        </w:tc>
        <w:tc>
          <w:tcPr>
            <w:tcW w:w="110" w:type="dxa"/>
            <w:tcBorders/>
            <w:shd w:fill="CCEEFF" w:val="clear"/>
            <w:vAlign w:val="center"/>
          </w:tcPr>
          <w:p>
            <w:pPr>
              <w:pStyle w:val="TableContents"/>
              <w:bidi w:val="0"/>
              <w:spacing w:before="0" w:after="283"/>
              <w:jc w:val="left"/>
              <w:rPr/>
            </w:pPr>
            <w:r>
              <w:rPr/>
              <w:t>)</w:t>
            </w:r>
          </w:p>
        </w:tc>
      </w:tr>
      <w:tr>
        <w:trPr/>
        <w:tc>
          <w:tcPr>
            <w:tcW w:w="5750" w:type="dxa"/>
            <w:tcBorders/>
            <w:shd w:fill="FFFFFF" w:val="clear"/>
            <w:vAlign w:val="center"/>
          </w:tcPr>
          <w:p>
            <w:pPr>
              <w:pStyle w:val="TableContents"/>
              <w:bidi w:val="0"/>
              <w:spacing w:before="0" w:after="283"/>
              <w:jc w:val="left"/>
              <w:rPr/>
            </w:pPr>
            <w:r>
              <w:rPr/>
              <w:t>State and local income taxes, net of federal income tax effect</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(483</w:t>
            </w:r>
          </w:p>
        </w:tc>
        <w:tc>
          <w:tcPr>
            <w:tcW w:w="110" w:type="dxa"/>
            <w:tcBorders/>
            <w:shd w:fill="FFFFFF" w:val="clear"/>
            <w:vAlign w:val="center"/>
          </w:tcPr>
          <w:p>
            <w:pPr>
              <w:pStyle w:val="TableContents"/>
              <w:bidi w:val="0"/>
              <w:spacing w:before="0" w:after="283"/>
              <w:jc w:val="left"/>
              <w:rPr/>
            </w:pPr>
            <w:r>
              <w:rPr/>
              <w:t>)</w:t>
            </w:r>
          </w:p>
        </w:tc>
      </w:tr>
      <w:tr>
        <w:trPr/>
        <w:tc>
          <w:tcPr>
            <w:tcW w:w="5750" w:type="dxa"/>
            <w:tcBorders/>
            <w:shd w:fill="CCEEFF" w:val="clear"/>
            <w:vAlign w:val="center"/>
          </w:tcPr>
          <w:p>
            <w:pPr>
              <w:pStyle w:val="TableContents"/>
              <w:bidi w:val="0"/>
              <w:spacing w:before="0" w:after="283"/>
              <w:jc w:val="left"/>
              <w:rPr/>
            </w:pPr>
            <w:r>
              <w:rPr/>
              <w:t>Foreign Tax Effects</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pPr>
            <w:r>
              <w:rPr/>
              <w:t>UK</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283"/>
              <w:jc w:val="left"/>
              <w:rPr/>
            </w:pPr>
            <w:r>
              <w:rPr/>
              <w:t>Statutory Tax Rate Difference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8,940</w:t>
            </w:r>
          </w:p>
        </w:tc>
        <w:tc>
          <w:tcPr>
            <w:tcW w:w="110" w:type="dxa"/>
            <w:tcBorders/>
            <w:shd w:fill="CCEEFF"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pPr>
            <w:r>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(55,877</w:t>
            </w:r>
          </w:p>
        </w:tc>
        <w:tc>
          <w:tcPr>
            <w:tcW w:w="110" w:type="dxa"/>
            <w:tcBorders/>
            <w:shd w:fill="FFFFFF" w:val="clear"/>
            <w:vAlign w:val="center"/>
          </w:tcPr>
          <w:p>
            <w:pPr>
              <w:pStyle w:val="TableContents"/>
              <w:bidi w:val="0"/>
              <w:spacing w:before="0" w:after="283"/>
              <w:jc w:val="left"/>
              <w:rPr/>
            </w:pPr>
            <w:r>
              <w:rPr/>
              <w:t>)</w:t>
            </w:r>
          </w:p>
        </w:tc>
      </w:tr>
      <w:tr>
        <w:trPr/>
        <w:tc>
          <w:tcPr>
            <w:tcW w:w="5750" w:type="dxa"/>
            <w:tcBorders/>
            <w:shd w:fill="CCEEFF" w:val="clear"/>
            <w:vAlign w:val="center"/>
          </w:tcPr>
          <w:p>
            <w:pPr>
              <w:pStyle w:val="TableContents"/>
              <w:bidi w:val="0"/>
              <w:spacing w:before="0" w:after="283"/>
              <w:jc w:val="left"/>
              <w:rPr/>
            </w:pPr>
            <w:r>
              <w:rPr/>
              <w:t>Non-deductible expenses</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47,251</w:t>
            </w:r>
          </w:p>
        </w:tc>
        <w:tc>
          <w:tcPr>
            <w:tcW w:w="110" w:type="dxa"/>
            <w:tcBorders/>
            <w:shd w:fill="CCEEFF"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pPr>
            <w:r>
              <w:rPr/>
              <w:t>Malaysia</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283"/>
              <w:jc w:val="left"/>
              <w:rPr/>
            </w:pPr>
            <w:r>
              <w:rPr/>
              <w:t>Statutory Tax Rate Difference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(35</w:t>
            </w:r>
          </w:p>
        </w:tc>
        <w:tc>
          <w:tcPr>
            <w:tcW w:w="110" w:type="dxa"/>
            <w:tcBorders/>
            <w:shd w:fill="CCEEFF" w:val="clear"/>
            <w:vAlign w:val="center"/>
          </w:tcPr>
          <w:p>
            <w:pPr>
              <w:pStyle w:val="TableContents"/>
              <w:bidi w:val="0"/>
              <w:spacing w:before="0" w:after="283"/>
              <w:jc w:val="left"/>
              <w:rPr/>
            </w:pPr>
            <w:r>
              <w:rPr/>
              <w:t>)</w:t>
            </w:r>
          </w:p>
        </w:tc>
      </w:tr>
      <w:tr>
        <w:trPr/>
        <w:tc>
          <w:tcPr>
            <w:tcW w:w="5750" w:type="dxa"/>
            <w:tcBorders/>
            <w:shd w:fill="FFFFFF" w:val="clear"/>
            <w:vAlign w:val="center"/>
          </w:tcPr>
          <w:p>
            <w:pPr>
              <w:pStyle w:val="TableContents"/>
              <w:bidi w:val="0"/>
              <w:spacing w:before="0" w:after="283"/>
              <w:jc w:val="left"/>
              <w:rPr/>
            </w:pPr>
            <w:r>
              <w:rPr/>
              <w:t>US</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283"/>
              <w:jc w:val="left"/>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1,921</w:t>
            </w:r>
          </w:p>
        </w:tc>
        <w:tc>
          <w:tcPr>
            <w:tcW w:w="110" w:type="dxa"/>
            <w:tcBorders/>
            <w:shd w:fill="CCEEFF"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pPr>
            <w:r>
              <w:rPr/>
              <w:t>Non-deductible expenses</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(1,039</w:t>
            </w:r>
          </w:p>
        </w:tc>
        <w:tc>
          <w:tcPr>
            <w:tcW w:w="110" w:type="dxa"/>
            <w:tcBorders/>
            <w:shd w:fill="FFFFFF" w:val="clear"/>
            <w:vAlign w:val="center"/>
          </w:tcPr>
          <w:p>
            <w:pPr>
              <w:pStyle w:val="TableContents"/>
              <w:bidi w:val="0"/>
              <w:spacing w:before="0" w:after="283"/>
              <w:jc w:val="left"/>
              <w:rPr/>
            </w:pPr>
            <w:r>
              <w:rPr/>
              <w:t>)</w:t>
            </w:r>
          </w:p>
        </w:tc>
      </w:tr>
      <w:tr>
        <w:trPr/>
        <w:tc>
          <w:tcPr>
            <w:tcW w:w="5750" w:type="dxa"/>
            <w:tcBorders/>
            <w:shd w:fill="CCEEFF" w:val="clear"/>
            <w:vAlign w:val="center"/>
          </w:tcPr>
          <w:p>
            <w:pPr>
              <w:pStyle w:val="TableContents"/>
              <w:bidi w:val="0"/>
              <w:spacing w:before="0" w:after="283"/>
              <w:jc w:val="left"/>
              <w:rPr/>
            </w:pPr>
            <w:r>
              <w:rPr/>
              <w:t>Other adjustments</w:t>
            </w:r>
          </w:p>
        </w:tc>
        <w:tc>
          <w:tcPr>
            <w:tcW w:w="60" w:type="dxa"/>
            <w:tcBorders/>
            <w:shd w:fill="CCEEFF" w:val="clear"/>
            <w:vAlign w:val="center"/>
          </w:tcPr>
          <w:p>
            <w:pPr>
              <w:pStyle w:val="TableContents"/>
              <w:bidi w:val="0"/>
              <w:spacing w:before="0" w:after="283"/>
              <w:jc w:val="left"/>
              <w:rPr/>
            </w:pPr>
            <w:r>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94" w:type="dxa"/>
            <w:tcBorders>
              <w:bottom w:val="single" w:sz="8" w:space="0" w:color="000000"/>
            </w:tcBorders>
            <w:shd w:fill="CCEEFF" w:val="clear"/>
            <w:tcMar>
              <w:bottom w:w="28" w:type="dxa"/>
            </w:tcMar>
            <w:vAlign w:val="center"/>
          </w:tcPr>
          <w:p>
            <w:pPr>
              <w:pStyle w:val="TableContents"/>
              <w:bidi w:val="0"/>
              <w:spacing w:before="0" w:after="283"/>
              <w:jc w:val="right"/>
              <w:rPr/>
            </w:pPr>
            <w:r>
              <w:rPr/>
              <w:t>(62</w:t>
            </w:r>
          </w:p>
        </w:tc>
        <w:tc>
          <w:tcPr>
            <w:tcW w:w="110" w:type="dxa"/>
            <w:tcBorders/>
            <w:shd w:fill="CCEEFF" w:val="clear"/>
            <w:vAlign w:val="center"/>
          </w:tcPr>
          <w:p>
            <w:pPr>
              <w:pStyle w:val="TableContents"/>
              <w:bidi w:val="0"/>
              <w:spacing w:before="0" w:after="283"/>
              <w:jc w:val="left"/>
              <w:rPr/>
            </w:pPr>
            <w:r>
              <w:rPr/>
              <w:t>)</w:t>
            </w:r>
          </w:p>
        </w:tc>
      </w:tr>
      <w:tr>
        <w:trPr/>
        <w:tc>
          <w:tcPr>
            <w:tcW w:w="5750"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Income tax benefit</w:t>
            </w:r>
          </w:p>
        </w:tc>
        <w:tc>
          <w:tcPr>
            <w:tcW w:w="60" w:type="dxa"/>
            <w:tcBorders/>
            <w:shd w:fill="FFFFFF" w:val="clear"/>
            <w:vAlign w:val="center"/>
          </w:tcPr>
          <w:p>
            <w:pPr>
              <w:pStyle w:val="TableContents"/>
              <w:bidi w:val="0"/>
              <w:spacing w:before="0" w:after="283"/>
              <w:jc w:val="left"/>
              <w:rPr/>
            </w:pPr>
            <w:r>
              <w:rPr/>
              <w:t> </w:t>
            </w:r>
          </w:p>
        </w:tc>
        <w:tc>
          <w:tcPr>
            <w:tcW w:w="42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229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tbl>
      <w:tblPr>
        <w:tblW w:w="8339" w:type="dxa"/>
        <w:jc w:val="left"/>
        <w:tblInd w:w="0" w:type="dxa"/>
        <w:tblLayout w:type="fixed"/>
        <w:tblCellMar>
          <w:top w:w="0" w:type="dxa"/>
          <w:left w:w="0" w:type="dxa"/>
          <w:bottom w:w="0" w:type="dxa"/>
          <w:right w:w="0" w:type="dxa"/>
        </w:tblCellMar>
      </w:tblPr>
      <w:tblGrid>
        <w:gridCol w:w="5450"/>
        <w:gridCol w:w="60"/>
        <w:gridCol w:w="425"/>
        <w:gridCol w:w="2294"/>
        <w:gridCol w:w="110"/>
      </w:tblGrid>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Loss from continuing operations before taxes</w:t>
            </w:r>
          </w:p>
        </w:tc>
        <w:tc>
          <w:tcPr>
            <w:tcW w:w="60" w:type="dxa"/>
            <w:tcBorders/>
            <w:shd w:fill="CCEEFF" w:val="clear"/>
            <w:vAlign w:val="center"/>
          </w:tcPr>
          <w:p>
            <w:pPr>
              <w:pStyle w:val="TableContents"/>
              <w:bidi w:val="0"/>
              <w:spacing w:before="0" w:after="283"/>
              <w:jc w:val="left"/>
              <w:rPr/>
            </w:pPr>
            <w:r>
              <w:rPr/>
              <w:t> </w:t>
            </w:r>
          </w:p>
        </w:tc>
        <w:tc>
          <w:tcPr>
            <w:tcW w:w="42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294" w:type="dxa"/>
            <w:tcBorders>
              <w:bottom w:val="double" w:sz="6" w:space="0" w:color="000000"/>
            </w:tcBorders>
            <w:shd w:fill="CCEEFF" w:val="clear"/>
            <w:tcMar>
              <w:bottom w:w="28" w:type="dxa"/>
            </w:tcMar>
            <w:vAlign w:val="center"/>
          </w:tcPr>
          <w:p>
            <w:pPr>
              <w:pStyle w:val="TableContents"/>
              <w:bidi w:val="0"/>
              <w:spacing w:before="0" w:after="283"/>
              <w:jc w:val="right"/>
              <w:rPr/>
            </w:pPr>
            <w:r>
              <w:rPr/>
              <w:t>(11,994</w:t>
            </w:r>
          </w:p>
        </w:tc>
        <w:tc>
          <w:tcPr>
            <w:tcW w:w="110" w:type="dxa"/>
            <w:tcBorders/>
            <w:shd w:fill="CCEEFF" w:val="clear"/>
            <w:vAlign w:val="center"/>
          </w:tcPr>
          <w:p>
            <w:pPr>
              <w:pStyle w:val="TableContents"/>
              <w:bidi w:val="0"/>
              <w:spacing w:before="0" w:after="283"/>
              <w:jc w:val="left"/>
              <w:rPr/>
            </w:pPr>
            <w:r>
              <w:rPr/>
              <w:t>)</w:t>
            </w:r>
          </w:p>
        </w:tc>
      </w:tr>
      <w:tr>
        <w:trPr/>
        <w:tc>
          <w:tcPr>
            <w:tcW w:w="5450" w:type="dxa"/>
            <w:tcBorders/>
            <w:shd w:fill="FFFFFF" w:val="clear"/>
            <w:vAlign w:val="center"/>
          </w:tcPr>
          <w:p>
            <w:pPr>
              <w:pStyle w:val="TableContents"/>
              <w:bidi w:val="0"/>
              <w:spacing w:before="0" w:after="283"/>
              <w:jc w:val="left"/>
              <w:rPr/>
            </w:pPr>
            <w:r>
              <w:rPr/>
              <w:t>Income tax expense computed at statutory federal tax rate</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(2,527</w:t>
            </w:r>
          </w:p>
        </w:tc>
        <w:tc>
          <w:tcPr>
            <w:tcW w:w="110" w:type="dxa"/>
            <w:tcBorders/>
            <w:shd w:fill="FFFFFF" w:val="clear"/>
            <w:vAlign w:val="center"/>
          </w:tcPr>
          <w:p>
            <w:pPr>
              <w:pStyle w:val="TableContents"/>
              <w:bidi w:val="0"/>
              <w:spacing w:before="0" w:after="283"/>
              <w:jc w:val="left"/>
              <w:rPr/>
            </w:pPr>
            <w:r>
              <w:rPr/>
              <w:t>)</w:t>
            </w:r>
          </w:p>
        </w:tc>
      </w:tr>
      <w:tr>
        <w:trPr/>
        <w:tc>
          <w:tcPr>
            <w:tcW w:w="5450" w:type="dxa"/>
            <w:tcBorders/>
            <w:shd w:fill="CCEEFF" w:val="clear"/>
            <w:vAlign w:val="center"/>
          </w:tcPr>
          <w:p>
            <w:pPr>
              <w:pStyle w:val="TableContents"/>
              <w:bidi w:val="0"/>
              <w:spacing w:before="0" w:after="283"/>
              <w:jc w:val="left"/>
              <w:rPr/>
            </w:pPr>
            <w:r>
              <w:rPr/>
              <w:t>Disallowed expenses and non-taxable income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35</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Loss surrendered to generate R&amp;D credit</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Additional research and development tax relief</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Stock Compensation</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30</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2,798</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Foreign items, including change in tax rates, and other</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(1,158</w:t>
            </w:r>
          </w:p>
        </w:tc>
        <w:tc>
          <w:tcPr>
            <w:tcW w:w="110" w:type="dxa"/>
            <w:tcBorders/>
            <w:shd w:fill="FFFFFF" w:val="clear"/>
            <w:vAlign w:val="center"/>
          </w:tcPr>
          <w:p>
            <w:pPr>
              <w:pStyle w:val="TableContents"/>
              <w:bidi w:val="0"/>
              <w:spacing w:before="0" w:after="283"/>
              <w:jc w:val="left"/>
              <w:rPr/>
            </w:pPr>
            <w:r>
              <w:rPr/>
              <w:t>)</w:t>
            </w:r>
          </w:p>
        </w:tc>
      </w:tr>
      <w:tr>
        <w:trPr/>
        <w:tc>
          <w:tcPr>
            <w:tcW w:w="5450" w:type="dxa"/>
            <w:tcBorders/>
            <w:shd w:fill="CCEEFF" w:val="clear"/>
            <w:vAlign w:val="center"/>
          </w:tcPr>
          <w:p>
            <w:pPr>
              <w:pStyle w:val="TableContents"/>
              <w:bidi w:val="0"/>
              <w:spacing w:before="0" w:after="283"/>
              <w:jc w:val="left"/>
              <w:rPr/>
            </w:pPr>
            <w:r>
              <w:rPr/>
              <w:t>Change in Tax Rate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Section 382 Limitation</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Other items</w:t>
            </w:r>
          </w:p>
        </w:tc>
        <w:tc>
          <w:tcPr>
            <w:tcW w:w="60" w:type="dxa"/>
            <w:tcBorders/>
            <w:shd w:fill="CCEEFF" w:val="clear"/>
            <w:vAlign w:val="center"/>
          </w:tcPr>
          <w:p>
            <w:pPr>
              <w:pStyle w:val="TableContents"/>
              <w:bidi w:val="0"/>
              <w:spacing w:before="0" w:after="283"/>
              <w:jc w:val="left"/>
              <w:rPr/>
            </w:pPr>
            <w:r>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94" w:type="dxa"/>
            <w:tcBorders>
              <w:bottom w:val="single" w:sz="8" w:space="0" w:color="000000"/>
            </w:tcBorders>
            <w:shd w:fill="CCEEFF" w:val="clear"/>
            <w:tcMar>
              <w:bottom w:w="28" w:type="dxa"/>
            </w:tcMar>
            <w:vAlign w:val="center"/>
          </w:tcPr>
          <w:p>
            <w:pPr>
              <w:pStyle w:val="TableContents"/>
              <w:bidi w:val="0"/>
              <w:spacing w:before="0" w:after="283"/>
              <w:jc w:val="right"/>
              <w:rPr/>
            </w:pPr>
            <w:r>
              <w:rPr/>
              <w:t>40</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Income tax benefit</w:t>
            </w:r>
          </w:p>
        </w:tc>
        <w:tc>
          <w:tcPr>
            <w:tcW w:w="60" w:type="dxa"/>
            <w:tcBorders/>
            <w:shd w:fill="FFFFFF" w:val="clear"/>
            <w:vAlign w:val="center"/>
          </w:tcPr>
          <w:p>
            <w:pPr>
              <w:pStyle w:val="TableContents"/>
              <w:bidi w:val="0"/>
              <w:spacing w:before="0" w:after="283"/>
              <w:jc w:val="left"/>
              <w:rPr/>
            </w:pPr>
            <w:r>
              <w:rPr/>
              <w:t> </w:t>
            </w:r>
          </w:p>
        </w:tc>
        <w:tc>
          <w:tcPr>
            <w:tcW w:w="42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229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(782</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components of the Company’s deferred tax assets are shown below (in thousands):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Deferred Tax Assets </w:t>
      </w:r>
    </w:p>
    <w:tbl>
      <w:tblPr>
        <w:tblW w:w="9522" w:type="dxa"/>
        <w:jc w:val="left"/>
        <w:tblInd w:w="0" w:type="dxa"/>
        <w:tblLayout w:type="fixed"/>
        <w:tblCellMar>
          <w:top w:w="0" w:type="dxa"/>
          <w:left w:w="0" w:type="dxa"/>
          <w:bottom w:w="0" w:type="dxa"/>
          <w:right w:w="0" w:type="dxa"/>
        </w:tblCellMar>
      </w:tblPr>
      <w:tblGrid>
        <w:gridCol w:w="6635"/>
        <w:gridCol w:w="60"/>
        <w:gridCol w:w="208"/>
        <w:gridCol w:w="946"/>
        <w:gridCol w:w="141"/>
        <w:gridCol w:w="89"/>
        <w:gridCol w:w="208"/>
        <w:gridCol w:w="1125"/>
        <w:gridCol w:w="110"/>
      </w:tblGrid>
      <w:tr>
        <w:trPr/>
        <w:tc>
          <w:tcPr>
            <w:tcW w:w="6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635" w:type="dxa"/>
            <w:tcBorders/>
            <w:shd w:fill="CCEEFF" w:val="clear"/>
            <w:vAlign w:val="center"/>
          </w:tcPr>
          <w:p>
            <w:pPr>
              <w:pStyle w:val="TableContents"/>
              <w:bidi w:val="0"/>
              <w:spacing w:before="0" w:after="283"/>
              <w:jc w:val="left"/>
              <w:rPr/>
            </w:pPr>
            <w:r>
              <w:rPr/>
              <w:t>Net operating loss and tax credit carryforwards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946" w:type="dxa"/>
            <w:tcBorders/>
            <w:shd w:fill="CCEEFF" w:val="clear"/>
            <w:vAlign w:val="center"/>
          </w:tcPr>
          <w:p>
            <w:pPr>
              <w:pStyle w:val="TableContents"/>
              <w:bidi w:val="0"/>
              <w:spacing w:before="0" w:after="283"/>
              <w:jc w:val="right"/>
              <w:rPr/>
            </w:pPr>
            <w:r>
              <w:rPr/>
              <w:t>3,203</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125" w:type="dxa"/>
            <w:tcBorders/>
            <w:shd w:fill="CCEEFF" w:val="clear"/>
            <w:vAlign w:val="center"/>
          </w:tcPr>
          <w:p>
            <w:pPr>
              <w:pStyle w:val="TableContents"/>
              <w:bidi w:val="0"/>
              <w:spacing w:before="0" w:after="283"/>
              <w:jc w:val="right"/>
              <w:rPr/>
            </w:pPr>
            <w:r>
              <w:rPr/>
              <w:t>59,417</w:t>
            </w:r>
          </w:p>
        </w:tc>
        <w:tc>
          <w:tcPr>
            <w:tcW w:w="110" w:type="dxa"/>
            <w:tcBorders/>
            <w:shd w:fill="CCEEFF" w:val="clear"/>
            <w:vAlign w:val="center"/>
          </w:tcPr>
          <w:p>
            <w:pPr>
              <w:pStyle w:val="TableContents"/>
              <w:bidi w:val="0"/>
              <w:spacing w:before="0" w:after="283"/>
              <w:jc w:val="left"/>
              <w:rPr/>
            </w:pPr>
            <w:r>
              <w:rPr/>
              <w:t> </w:t>
            </w:r>
          </w:p>
        </w:tc>
      </w:tr>
      <w:tr>
        <w:trPr/>
        <w:tc>
          <w:tcPr>
            <w:tcW w:w="6635" w:type="dxa"/>
            <w:tcBorders/>
            <w:shd w:fill="FFFFFF" w:val="clear"/>
            <w:vAlign w:val="center"/>
          </w:tcPr>
          <w:p>
            <w:pPr>
              <w:pStyle w:val="TableContents"/>
              <w:bidi w:val="0"/>
              <w:spacing w:before="0" w:after="283"/>
              <w:jc w:val="left"/>
              <w:rPr/>
            </w:pPr>
            <w:r>
              <w:rPr/>
              <w:t>Depreciation, amortization and impairment of property and equipment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39</w:t>
            </w:r>
          </w:p>
        </w:tc>
        <w:tc>
          <w:tcPr>
            <w:tcW w:w="110" w:type="dxa"/>
            <w:tcBorders/>
            <w:shd w:fill="FFFFFF" w:val="clear"/>
            <w:vAlign w:val="center"/>
          </w:tcPr>
          <w:p>
            <w:pPr>
              <w:pStyle w:val="TableContents"/>
              <w:bidi w:val="0"/>
              <w:spacing w:before="0" w:after="283"/>
              <w:jc w:val="left"/>
              <w:rPr/>
            </w:pPr>
            <w:r>
              <w:rPr/>
              <w:t> </w:t>
            </w:r>
          </w:p>
        </w:tc>
      </w:tr>
      <w:tr>
        <w:trPr/>
        <w:tc>
          <w:tcPr>
            <w:tcW w:w="6635" w:type="dxa"/>
            <w:tcBorders/>
            <w:shd w:fill="CCEEFF" w:val="clear"/>
            <w:vAlign w:val="center"/>
          </w:tcPr>
          <w:p>
            <w:pPr>
              <w:pStyle w:val="TableContents"/>
              <w:bidi w:val="0"/>
              <w:spacing w:before="0" w:after="283"/>
              <w:jc w:val="left"/>
              <w:rPr/>
            </w:pPr>
            <w:r>
              <w:rPr/>
              <w:t>Stock options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907</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250</w:t>
            </w:r>
          </w:p>
        </w:tc>
        <w:tc>
          <w:tcPr>
            <w:tcW w:w="110" w:type="dxa"/>
            <w:tcBorders/>
            <w:shd w:fill="CCEEFF" w:val="clear"/>
            <w:vAlign w:val="center"/>
          </w:tcPr>
          <w:p>
            <w:pPr>
              <w:pStyle w:val="TableContents"/>
              <w:bidi w:val="0"/>
              <w:spacing w:before="0" w:after="283"/>
              <w:jc w:val="left"/>
              <w:rPr/>
            </w:pPr>
            <w:r>
              <w:rPr/>
              <w:t> </w:t>
            </w:r>
          </w:p>
        </w:tc>
      </w:tr>
      <w:tr>
        <w:trPr/>
        <w:tc>
          <w:tcPr>
            <w:tcW w:w="6635" w:type="dxa"/>
            <w:tcBorders/>
            <w:shd w:fill="FFFFFF" w:val="clear"/>
            <w:vAlign w:val="center"/>
          </w:tcPr>
          <w:p>
            <w:pPr>
              <w:pStyle w:val="TableContents"/>
              <w:bidi w:val="0"/>
              <w:spacing w:before="0" w:after="283"/>
              <w:jc w:val="left"/>
              <w:rPr/>
            </w:pPr>
            <w:r>
              <w:rPr/>
              <w:t>Research and development credits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635" w:type="dxa"/>
            <w:tcBorders/>
            <w:shd w:fill="CCEEFF" w:val="clear"/>
            <w:vAlign w:val="center"/>
          </w:tcPr>
          <w:p>
            <w:pPr>
              <w:pStyle w:val="TableContents"/>
              <w:bidi w:val="0"/>
              <w:spacing w:before="0" w:after="283"/>
              <w:jc w:val="left"/>
              <w:rPr/>
            </w:pPr>
            <w:r>
              <w:rPr/>
              <w:t>Right of use asset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(3</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(1</w:t>
            </w:r>
          </w:p>
        </w:tc>
        <w:tc>
          <w:tcPr>
            <w:tcW w:w="110" w:type="dxa"/>
            <w:tcBorders/>
            <w:shd w:fill="CCEEFF" w:val="clear"/>
            <w:vAlign w:val="center"/>
          </w:tcPr>
          <w:p>
            <w:pPr>
              <w:pStyle w:val="TableContents"/>
              <w:bidi w:val="0"/>
              <w:spacing w:before="0" w:after="283"/>
              <w:jc w:val="left"/>
              <w:rPr/>
            </w:pPr>
            <w:r>
              <w:rPr/>
              <w:t>)</w:t>
            </w:r>
          </w:p>
        </w:tc>
      </w:tr>
      <w:tr>
        <w:trPr/>
        <w:tc>
          <w:tcPr>
            <w:tcW w:w="6635" w:type="dxa"/>
            <w:tcBorders/>
            <w:shd w:fill="FFFFFF" w:val="clear"/>
            <w:vAlign w:val="center"/>
          </w:tcPr>
          <w:p>
            <w:pPr>
              <w:pStyle w:val="TableContents"/>
              <w:bidi w:val="0"/>
              <w:spacing w:before="0" w:after="283"/>
              <w:jc w:val="left"/>
              <w:rPr/>
            </w:pPr>
            <w:r>
              <w:rPr/>
              <w:t>Lease liability</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3</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1</w:t>
            </w:r>
          </w:p>
        </w:tc>
        <w:tc>
          <w:tcPr>
            <w:tcW w:w="110" w:type="dxa"/>
            <w:tcBorders/>
            <w:shd w:fill="FFFFFF" w:val="clear"/>
            <w:vAlign w:val="center"/>
          </w:tcPr>
          <w:p>
            <w:pPr>
              <w:pStyle w:val="TableContents"/>
              <w:bidi w:val="0"/>
              <w:spacing w:before="0" w:after="283"/>
              <w:jc w:val="left"/>
              <w:rPr/>
            </w:pPr>
            <w:r>
              <w:rPr/>
              <w:t> </w:t>
            </w:r>
          </w:p>
        </w:tc>
      </w:tr>
      <w:tr>
        <w:trPr/>
        <w:tc>
          <w:tcPr>
            <w:tcW w:w="663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pPr>
            <w:r>
              <w:rPr/>
              <w:t>114</w:t>
            </w:r>
          </w:p>
        </w:tc>
        <w:tc>
          <w:tcPr>
            <w:tcW w:w="110" w:type="dxa"/>
            <w:tcBorders/>
            <w:shd w:fill="CCEEFF" w:val="clear"/>
            <w:vAlign w:val="center"/>
          </w:tcPr>
          <w:p>
            <w:pPr>
              <w:pStyle w:val="TableContents"/>
              <w:bidi w:val="0"/>
              <w:spacing w:before="0" w:after="283"/>
              <w:jc w:val="left"/>
              <w:rPr/>
            </w:pPr>
            <w:r>
              <w:rPr/>
              <w:t> </w:t>
            </w:r>
          </w:p>
        </w:tc>
      </w:tr>
      <w:tr>
        <w:trPr/>
        <w:tc>
          <w:tcPr>
            <w:tcW w:w="6635" w:type="dxa"/>
            <w:tcBorders/>
            <w:shd w:fill="FFFFFF" w:val="clear"/>
            <w:vAlign w:val="center"/>
          </w:tcPr>
          <w:p>
            <w:pPr>
              <w:pStyle w:val="TableContents"/>
              <w:bidi w:val="0"/>
              <w:spacing w:before="0" w:after="283"/>
              <w:jc w:val="left"/>
              <w:rPr/>
            </w:pPr>
            <w:r>
              <w:rPr/>
              <w:t>Total deferred tax assets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4,110</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59,820</w:t>
            </w:r>
          </w:p>
        </w:tc>
        <w:tc>
          <w:tcPr>
            <w:tcW w:w="110" w:type="dxa"/>
            <w:tcBorders/>
            <w:shd w:fill="FFFFFF" w:val="clear"/>
            <w:vAlign w:val="center"/>
          </w:tcPr>
          <w:p>
            <w:pPr>
              <w:pStyle w:val="TableContents"/>
              <w:bidi w:val="0"/>
              <w:spacing w:before="0" w:after="283"/>
              <w:jc w:val="left"/>
              <w:rPr/>
            </w:pPr>
            <w:r>
              <w:rPr/>
              <w:t> </w:t>
            </w:r>
          </w:p>
        </w:tc>
      </w:tr>
      <w:tr>
        <w:trPr/>
        <w:tc>
          <w:tcPr>
            <w:tcW w:w="6635" w:type="dxa"/>
            <w:tcBorders/>
            <w:shd w:fill="CCEEFF" w:val="clear"/>
            <w:vAlign w:val="center"/>
          </w:tcPr>
          <w:p>
            <w:pPr>
              <w:pStyle w:val="TableContents"/>
              <w:bidi w:val="0"/>
              <w:spacing w:before="0" w:after="283"/>
              <w:jc w:val="left"/>
              <w:rPr/>
            </w:pPr>
            <w:r>
              <w:rPr/>
              <w:t>Valuation allowance for deferred tax assets</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(4,110</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pPr>
            <w:r>
              <w:rPr/>
              <w:t>(59,820</w:t>
            </w:r>
          </w:p>
        </w:tc>
        <w:tc>
          <w:tcPr>
            <w:tcW w:w="110" w:type="dxa"/>
            <w:tcBorders/>
            <w:shd w:fill="CCEEFF" w:val="clear"/>
            <w:vAlign w:val="center"/>
          </w:tcPr>
          <w:p>
            <w:pPr>
              <w:pStyle w:val="TableContents"/>
              <w:bidi w:val="0"/>
              <w:spacing w:before="0" w:after="283"/>
              <w:jc w:val="left"/>
              <w:rPr/>
            </w:pPr>
            <w:r>
              <w:rPr/>
              <w:t>)</w:t>
            </w:r>
          </w:p>
        </w:tc>
      </w:tr>
      <w:tr>
        <w:trPr/>
        <w:tc>
          <w:tcPr>
            <w:tcW w:w="6635" w:type="dxa"/>
            <w:tcBorders/>
            <w:shd w:fill="FFFFFF" w:val="clear"/>
            <w:vAlign w:val="center"/>
          </w:tcPr>
          <w:p>
            <w:pPr>
              <w:pStyle w:val="TableContents"/>
              <w:bidi w:val="0"/>
              <w:spacing w:before="0" w:after="283"/>
              <w:jc w:val="left"/>
              <w:rPr/>
            </w:pPr>
            <w:r>
              <w:rPr/>
              <w:t>Net deferred tax assets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valuation allowance has been established, as realization of such assets is uncertain. The Company’s management evaluated the positive and negative evidence bearing upon the realizability of its deferred assets, and has determined that, at present, the Company may not be able to recognize the benefits of the deferred tax assets under the more likely than not criteria. Accordingly, a valuation allowance of approximately $4.1 million has been established at December 31, 2025. The valuation allowance has increased by approximately $55.7 million in 2025.</w:t>
      </w:r>
    </w:p>
    <w:p>
      <w:pPr>
        <w:pStyle w:val="TextBody"/>
        <w:bidi w:val="0"/>
        <w:spacing w:before="0" w:after="0"/>
        <w:ind w:left="20" w:right="0" w:firstLine="221"/>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p>
      <w:pPr>
        <w:pStyle w:val="TextBody"/>
        <w:bidi w:val="0"/>
        <w:spacing w:before="0" w:after="0"/>
        <w:ind w:left="0" w:right="0" w:hanging="0"/>
        <w:jc w:val="left"/>
        <w:rPr/>
      </w:pPr>
      <w:r>
        <w:rPr/>
        <w:t> </w:t>
      </w:r>
    </w:p>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specified in the Tax Reform Act of 1986, due to ownership changes, the Company’s ability to utilize its net operating loss (“NOL”) carryforwards may be limited. Utilization of the NOLs may be subject to a substantial annual limitation under Section 382 of the Internal Revenue Code of 1986 due to ownership change limitations that have occurred previously or that could occur in the future. These ownership changes may limit the amount of NOL and R&amp;D credit carryforwards that can be utilized annually to offset future taxable income and tax, respectively. The Company completed a Section 382 study and has concluded that an ownership change occurred on March 4, 2015 and July 21, 2017. As a result of the ownership changes, the NOLs are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Company has federal NOLs of $8.0 million and $3.5 million, respectively. The federal NOLs have an indefinite life. As of December 31, 2025 and 2024, the Company has state NOLs of $21.4 million and $16.8 million, respectively, which will begin to expire in 2028. As of December 31, 2025 and 2024, the Company had foreign NOLs of $0 million and $230.0 million, respectively. Following the liquidation and subsequent deconsolidation of the Company’s former UK subsidiary, the Company no longer has any foreign NOLs.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evaluated all significant tax positions at December 31, 2025 and 2024 and concluded that there are no material uncertain tax positions. The Company would recognize both interest and penalties related to unrecognized benefits in income tax expense. The Company has not recorded any interest and penalties on any unrecognized tax benefits since its inception.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years 2022 - 2024 remain open to examination by major taxing jurisdictions to which the Company is subject, which are primarily in the United States, as carryforward attributes generated in years past may still be adjusted upon examination by the Internal Revenue Service (“IRS”) or state tax authorities. The Company is currently not under examination by the IRS or any other jurisdictions for any tax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provided a deferred tax liability on the cumulative amount of unremitted foreign earnings of international subsidiaries because it is our intent to permanently reinvest such earnings outside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 aggregate deficit in foreign earnings and therefore has not provided any deferred tax liability on its outside book-tax basis difference in its foreign subsidiaries and because it is also our intent to permanently reinvest any earnings outside of the United States. We would recognize this deferred tax liability if we were to experience a change in circumstances producing a change in that intention. As a result of the repeal of Section 902 foreign tax credit under the Tax Act, future distributions would not be offset by a foreign tax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for tax years beginning after December 31, 2021, taxpayers are required to capitalize any expenses incurred that are considered incidental to research and experimentation (R&amp;E) activities under IRC Section 174. While taxpayers historically had the option of deducting these expenses under IRC Section 174, the December 2017 Tax Cuts and Jobs Act mandates capitalization and amortization of R&amp;E expenses for tax years tax years beginning after December 31, 2021. Expenses incurred in connection with R&amp;E activities in the US must be amortized over a 5-year period if incurred, and R&amp;E expenses incurred outside the US must be amortized over a 15-year period. R&amp;E activities are broader in scope than qualified research activities that are considered under IRC Section 41 (relating to the research tax credit). For the year ended December 31, 2025, the Company performed an analysis based on available guidance and determined that the company does not have any R&amp;E expenses in the US. The company will continue to monitor this issue for future developments, but it does not expect R&amp;E capitalization and amortization to require it to pay cash taxes now or in the near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Net Loss Per Share Net Loss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share attributable to common stockholders was calculated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Basic and Diluted Net Loss Per Share </w:t>
      </w:r>
    </w:p>
    <w:tbl>
      <w:tblPr>
        <w:tblW w:w="10205" w:type="dxa"/>
        <w:jc w:val="left"/>
        <w:tblInd w:w="0" w:type="dxa"/>
        <w:tblLayout w:type="fixed"/>
        <w:tblCellMar>
          <w:top w:w="0" w:type="dxa"/>
          <w:left w:w="0" w:type="dxa"/>
          <w:bottom w:w="0" w:type="dxa"/>
          <w:right w:w="0" w:type="dxa"/>
        </w:tblCellMar>
      </w:tblPr>
      <w:tblGrid>
        <w:gridCol w:w="7362"/>
        <w:gridCol w:w="60"/>
        <w:gridCol w:w="172"/>
        <w:gridCol w:w="1207"/>
        <w:gridCol w:w="116"/>
        <w:gridCol w:w="73"/>
        <w:gridCol w:w="172"/>
        <w:gridCol w:w="930"/>
        <w:gridCol w:w="113"/>
      </w:tblGrid>
      <w:tr>
        <w:trPr/>
        <w:tc>
          <w:tcPr>
            <w:tcW w:w="73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6"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1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3" w:type="dxa"/>
            <w:tcBorders/>
            <w:vAlign w:val="center"/>
          </w:tcPr>
          <w:p>
            <w:pPr>
              <w:pStyle w:val="TableContents"/>
              <w:bidi w:val="0"/>
              <w:spacing w:before="0" w:after="283"/>
              <w:jc w:val="left"/>
              <w:rPr/>
            </w:pPr>
            <w:r>
              <w:rPr/>
              <w:t> </w:t>
            </w:r>
          </w:p>
        </w:tc>
      </w:tr>
      <w:tr>
        <w:trPr/>
        <w:tc>
          <w:tcPr>
            <w:tcW w:w="73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Years ended December 31,</w:t>
            </w:r>
          </w:p>
        </w:tc>
        <w:tc>
          <w:tcPr>
            <w:tcW w:w="113" w:type="dxa"/>
            <w:tcBorders/>
            <w:vAlign w:val="center"/>
          </w:tcPr>
          <w:p>
            <w:pPr>
              <w:pStyle w:val="TableContents"/>
              <w:bidi w:val="0"/>
              <w:spacing w:before="0" w:after="283"/>
              <w:jc w:val="left"/>
              <w:rPr/>
            </w:pPr>
            <w:r>
              <w:rPr/>
              <w:t> </w:t>
            </w:r>
          </w:p>
        </w:tc>
      </w:tr>
      <w:tr>
        <w:trPr/>
        <w:tc>
          <w:tcPr>
            <w:tcW w:w="73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6"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1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3" w:type="dxa"/>
            <w:tcBorders/>
            <w:vAlign w:val="center"/>
          </w:tcPr>
          <w:p>
            <w:pPr>
              <w:pStyle w:val="TableContents"/>
              <w:bidi w:val="0"/>
              <w:spacing w:before="0" w:after="283"/>
              <w:jc w:val="left"/>
              <w:rPr/>
            </w:pPr>
            <w:r>
              <w:rPr/>
              <w:t> </w:t>
            </w:r>
          </w:p>
        </w:tc>
      </w:tr>
      <w:tr>
        <w:trPr/>
        <w:tc>
          <w:tcPr>
            <w:tcW w:w="7362" w:type="dxa"/>
            <w:tcBorders/>
            <w:shd w:fill="CCEEFF" w:val="clear"/>
            <w:vAlign w:val="center"/>
          </w:tcPr>
          <w:p>
            <w:pPr>
              <w:pStyle w:val="TableContents"/>
              <w:bidi w:val="0"/>
              <w:spacing w:before="0" w:after="283"/>
              <w:jc w:val="left"/>
              <w:rPr/>
            </w:pPr>
            <w:r>
              <w:rPr/>
              <w:t>Numerator:</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362"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w:t>
            </w:r>
          </w:p>
        </w:tc>
        <w:tc>
          <w:tcPr>
            <w:tcW w:w="1207" w:type="dxa"/>
            <w:tcBorders/>
            <w:shd w:fill="FFFFFF" w:val="clear"/>
            <w:vAlign w:val="center"/>
          </w:tcPr>
          <w:p>
            <w:pPr>
              <w:pStyle w:val="TableContents"/>
              <w:bidi w:val="0"/>
              <w:spacing w:before="0" w:after="283"/>
              <w:jc w:val="right"/>
              <w:rPr/>
            </w:pPr>
            <w:r>
              <w:rPr/>
              <w:t>(2,998</w:t>
            </w:r>
          </w:p>
        </w:tc>
        <w:tc>
          <w:tcPr>
            <w:tcW w:w="116"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w:t>
            </w:r>
          </w:p>
        </w:tc>
        <w:tc>
          <w:tcPr>
            <w:tcW w:w="930" w:type="dxa"/>
            <w:tcBorders/>
            <w:shd w:fill="FFFFFF" w:val="clear"/>
            <w:vAlign w:val="center"/>
          </w:tcPr>
          <w:p>
            <w:pPr>
              <w:pStyle w:val="TableContents"/>
              <w:bidi w:val="0"/>
              <w:spacing w:before="0" w:after="283"/>
              <w:jc w:val="right"/>
              <w:rPr/>
            </w:pPr>
            <w:r>
              <w:rPr/>
              <w:t>(11,212</w:t>
            </w:r>
          </w:p>
        </w:tc>
        <w:tc>
          <w:tcPr>
            <w:tcW w:w="113" w:type="dxa"/>
            <w:tcBorders/>
            <w:shd w:fill="FFFFFF" w:val="clear"/>
            <w:vAlign w:val="center"/>
          </w:tcPr>
          <w:p>
            <w:pPr>
              <w:pStyle w:val="TableContents"/>
              <w:bidi w:val="0"/>
              <w:spacing w:before="0" w:after="283"/>
              <w:jc w:val="left"/>
              <w:rPr/>
            </w:pPr>
            <w:r>
              <w:rPr/>
              <w:t>)</w:t>
            </w:r>
          </w:p>
        </w:tc>
      </w:tr>
      <w:tr>
        <w:trPr/>
        <w:tc>
          <w:tcPr>
            <w:tcW w:w="7362" w:type="dxa"/>
            <w:tcBorders/>
            <w:shd w:fill="CCEEFF" w:val="clear"/>
            <w:vAlign w:val="center"/>
          </w:tcPr>
          <w:p>
            <w:pPr>
              <w:pStyle w:val="TableContents"/>
              <w:bidi w:val="0"/>
              <w:spacing w:before="0" w:after="283"/>
              <w:jc w:val="left"/>
              <w:rPr/>
            </w:pPr>
            <w:r>
              <w:rPr/>
              <w:t>Dividend on convertible exchangeable preferred shares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(61</w:t>
            </w:r>
          </w:p>
        </w:tc>
        <w:tc>
          <w:tcPr>
            <w:tcW w:w="116"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362" w:type="dxa"/>
            <w:tcBorders/>
            <w:shd w:fill="FFFFFF" w:val="clear"/>
            <w:vAlign w:val="center"/>
          </w:tcPr>
          <w:p>
            <w:pPr>
              <w:pStyle w:val="TableContents"/>
              <w:bidi w:val="0"/>
              <w:spacing w:before="0" w:after="283"/>
              <w:jc w:val="left"/>
              <w:rPr/>
            </w:pPr>
            <w:r>
              <w:rPr/>
              <w:t>Deemed dividend on warrant exchange</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FFFFFF" w:val="clear"/>
            <w:tcMar>
              <w:bottom w:w="28" w:type="dxa"/>
            </w:tcMar>
            <w:vAlign w:val="center"/>
          </w:tcPr>
          <w:p>
            <w:pPr>
              <w:pStyle w:val="TableContents"/>
              <w:bidi w:val="0"/>
              <w:spacing w:before="0" w:after="283"/>
              <w:jc w:val="right"/>
              <w:rPr/>
            </w:pPr>
            <w:r>
              <w:rPr/>
              <w:t>(11,033</w:t>
            </w:r>
          </w:p>
        </w:tc>
        <w:tc>
          <w:tcPr>
            <w:tcW w:w="116"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362" w:type="dxa"/>
            <w:tcBorders/>
            <w:shd w:fill="CCEEFF" w:val="clear"/>
            <w:vAlign w:val="center"/>
          </w:tcPr>
          <w:p>
            <w:pPr>
              <w:pStyle w:val="TableContents"/>
              <w:bidi w:val="0"/>
              <w:spacing w:before="0" w:after="283"/>
              <w:jc w:val="left"/>
              <w:rPr/>
            </w:pPr>
            <w:r>
              <w:rPr/>
              <w:t>Net loss attributable to common shareholders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207" w:type="dxa"/>
            <w:tcBorders/>
            <w:shd w:fill="CCEEFF" w:val="clear"/>
            <w:vAlign w:val="center"/>
          </w:tcPr>
          <w:p>
            <w:pPr>
              <w:pStyle w:val="TableContents"/>
              <w:bidi w:val="0"/>
              <w:spacing w:before="0" w:after="283"/>
              <w:jc w:val="right"/>
              <w:rPr/>
            </w:pPr>
            <w:r>
              <w:rPr/>
              <w:t>(14,092</w:t>
            </w:r>
          </w:p>
        </w:tc>
        <w:tc>
          <w:tcPr>
            <w:tcW w:w="116"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930" w:type="dxa"/>
            <w:tcBorders/>
            <w:shd w:fill="CCEEFF" w:val="clear"/>
            <w:vAlign w:val="center"/>
          </w:tcPr>
          <w:p>
            <w:pPr>
              <w:pStyle w:val="TableContents"/>
              <w:bidi w:val="0"/>
              <w:spacing w:before="0" w:after="283"/>
              <w:jc w:val="right"/>
              <w:rPr/>
            </w:pPr>
            <w:r>
              <w:rPr/>
              <w:t>(11,212</w:t>
            </w:r>
          </w:p>
        </w:tc>
        <w:tc>
          <w:tcPr>
            <w:tcW w:w="113" w:type="dxa"/>
            <w:tcBorders/>
            <w:shd w:fill="CCEEFF" w:val="clear"/>
            <w:vAlign w:val="center"/>
          </w:tcPr>
          <w:p>
            <w:pPr>
              <w:pStyle w:val="TableContents"/>
              <w:bidi w:val="0"/>
              <w:spacing w:before="0" w:after="283"/>
              <w:jc w:val="left"/>
              <w:rPr/>
            </w:pPr>
            <w:r>
              <w:rPr/>
              <w:t>)</w:t>
            </w:r>
          </w:p>
        </w:tc>
      </w:tr>
      <w:tr>
        <w:trPr/>
        <w:tc>
          <w:tcPr>
            <w:tcW w:w="73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362" w:type="dxa"/>
            <w:tcBorders/>
            <w:shd w:fill="CCEEFF" w:val="clear"/>
            <w:vAlign w:val="center"/>
          </w:tcPr>
          <w:p>
            <w:pPr>
              <w:pStyle w:val="TableContents"/>
              <w:bidi w:val="0"/>
              <w:spacing w:before="0" w:after="283"/>
              <w:jc w:val="left"/>
              <w:rPr/>
            </w:pPr>
            <w:r>
              <w:rPr/>
              <w:t>Denominator:</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362" w:type="dxa"/>
            <w:tcBorders/>
            <w:shd w:fill="FFFFFF" w:val="clear"/>
            <w:vAlign w:val="center"/>
          </w:tcPr>
          <w:p>
            <w:pPr>
              <w:pStyle w:val="TableContents"/>
              <w:bidi w:val="0"/>
              <w:spacing w:before="0" w:after="283"/>
              <w:jc w:val="left"/>
              <w:rPr/>
            </w:pPr>
            <w:r>
              <w:rPr/>
              <w:t>Weighted-average number of common shares used in loss per share – basic and diluted</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FFFFFF" w:val="clear"/>
            <w:tcMar>
              <w:bottom w:w="28" w:type="dxa"/>
            </w:tcMar>
            <w:vAlign w:val="center"/>
          </w:tcPr>
          <w:p>
            <w:pPr>
              <w:pStyle w:val="TableContents"/>
              <w:bidi w:val="0"/>
              <w:spacing w:before="0" w:after="283"/>
              <w:jc w:val="right"/>
              <w:rPr/>
            </w:pPr>
            <w:r>
              <w:rPr/>
              <w:t>2,185,075</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pPr>
            <w:r>
              <w:rPr/>
              <w:t>22,314</w:t>
            </w:r>
          </w:p>
        </w:tc>
        <w:tc>
          <w:tcPr>
            <w:tcW w:w="113" w:type="dxa"/>
            <w:tcBorders/>
            <w:shd w:fill="FFFFFF" w:val="clear"/>
            <w:vAlign w:val="center"/>
          </w:tcPr>
          <w:p>
            <w:pPr>
              <w:pStyle w:val="TableContents"/>
              <w:bidi w:val="0"/>
              <w:spacing w:before="0" w:after="283"/>
              <w:jc w:val="left"/>
              <w:rPr/>
            </w:pPr>
            <w:r>
              <w:rPr/>
              <w:t> </w:t>
            </w:r>
          </w:p>
        </w:tc>
      </w:tr>
      <w:tr>
        <w:trPr/>
        <w:tc>
          <w:tcPr>
            <w:tcW w:w="7362" w:type="dxa"/>
            <w:tcBorders/>
            <w:shd w:fill="CCEEFF" w:val="clear"/>
            <w:vAlign w:val="center"/>
          </w:tcPr>
          <w:p>
            <w:pPr>
              <w:pStyle w:val="TableContents"/>
              <w:bidi w:val="0"/>
              <w:spacing w:before="0" w:after="283"/>
              <w:jc w:val="left"/>
              <w:rPr/>
            </w:pPr>
            <w:r>
              <w:rPr/>
              <w:t>Loss per share - basic and diluted</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07" w:type="dxa"/>
            <w:tcBorders>
              <w:bottom w:val="single" w:sz="8" w:space="0" w:color="000000"/>
            </w:tcBorders>
            <w:shd w:fill="CCEEFF" w:val="clear"/>
            <w:tcMar>
              <w:bottom w:w="28" w:type="dxa"/>
            </w:tcMar>
            <w:vAlign w:val="center"/>
          </w:tcPr>
          <w:p>
            <w:pPr>
              <w:pStyle w:val="TableContents"/>
              <w:bidi w:val="0"/>
              <w:spacing w:before="0" w:after="283"/>
              <w:jc w:val="right"/>
              <w:rPr/>
            </w:pPr>
            <w:r>
              <w:rPr/>
              <w:t>(6.45</w:t>
            </w:r>
          </w:p>
        </w:tc>
        <w:tc>
          <w:tcPr>
            <w:tcW w:w="116"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30" w:type="dxa"/>
            <w:tcBorders>
              <w:bottom w:val="single" w:sz="8" w:space="0" w:color="000000"/>
            </w:tcBorders>
            <w:shd w:fill="CCEEFF" w:val="clear"/>
            <w:tcMar>
              <w:bottom w:w="28" w:type="dxa"/>
            </w:tcMar>
            <w:vAlign w:val="center"/>
          </w:tcPr>
          <w:p>
            <w:pPr>
              <w:pStyle w:val="TableContents"/>
              <w:bidi w:val="0"/>
              <w:spacing w:before="0" w:after="283"/>
              <w:jc w:val="right"/>
              <w:rPr/>
            </w:pPr>
            <w:r>
              <w:rPr/>
              <w:t>(502.46</w:t>
            </w:r>
          </w:p>
        </w:tc>
        <w:tc>
          <w:tcPr>
            <w:tcW w:w="11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dilutive securities have been excluded from the computation of diluted net loss per share as the effect would be to reduce the net loss per share. Therefore, the weighted 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Antidilutive Securities Excluded from Computation of Earnings Per Share </w:t>
      </w:r>
    </w:p>
    <w:tbl>
      <w:tblPr>
        <w:tblW w:w="6763" w:type="dxa"/>
        <w:jc w:val="left"/>
        <w:tblInd w:w="0" w:type="dxa"/>
        <w:tblLayout w:type="fixed"/>
        <w:tblCellMar>
          <w:top w:w="0" w:type="dxa"/>
          <w:left w:w="0" w:type="dxa"/>
          <w:bottom w:w="0" w:type="dxa"/>
          <w:right w:w="0" w:type="dxa"/>
        </w:tblCellMar>
      </w:tblPr>
      <w:tblGrid>
        <w:gridCol w:w="3680"/>
        <w:gridCol w:w="60"/>
        <w:gridCol w:w="114"/>
        <w:gridCol w:w="1300"/>
        <w:gridCol w:w="60"/>
        <w:gridCol w:w="60"/>
        <w:gridCol w:w="97"/>
        <w:gridCol w:w="1317"/>
        <w:gridCol w:w="75"/>
      </w:tblGrid>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Stock options</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24,921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494</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Restricted Stock Units</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17" w:type="dxa"/>
            <w:tcBorders/>
            <w:shd w:fill="FFFFFF" w:val="clear"/>
            <w:vAlign w:val="center"/>
          </w:tcPr>
          <w:p>
            <w:pPr>
              <w:pStyle w:val="TableContents"/>
              <w:bidi w:val="0"/>
              <w:spacing w:before="0" w:after="283"/>
              <w:jc w:val="right"/>
              <w:rPr/>
            </w:pPr>
            <w:r>
              <w:rPr/>
              <w:t>164</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Series A preferred stock</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2</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Common stock warrants</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FFFFFF" w:val="clear"/>
            <w:tcMar>
              <w:bottom w:w="28" w:type="dxa"/>
            </w:tcMar>
            <w:vAlign w:val="center"/>
          </w:tcPr>
          <w:p>
            <w:pPr>
              <w:pStyle w:val="TableContents"/>
              <w:bidi w:val="0"/>
              <w:spacing w:before="0" w:after="283"/>
              <w:jc w:val="right"/>
              <w:rPr/>
            </w:pPr>
            <w:r>
              <w:rPr/>
              <w:t>3,178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7" w:type="dxa"/>
            <w:tcBorders>
              <w:bottom w:val="single" w:sz="8" w:space="0" w:color="000000"/>
            </w:tcBorders>
            <w:shd w:fill="FFFFFF" w:val="clear"/>
            <w:tcMar>
              <w:bottom w:w="28" w:type="dxa"/>
            </w:tcMar>
            <w:vAlign w:val="center"/>
          </w:tcPr>
          <w:p>
            <w:pPr>
              <w:pStyle w:val="TableContents"/>
              <w:bidi w:val="0"/>
              <w:spacing w:before="0" w:after="283"/>
              <w:jc w:val="right"/>
              <w:rPr/>
            </w:pPr>
            <w:r>
              <w:rPr/>
              <w:t>117,182</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Total shares excluded from calculation</w:t>
            </w:r>
          </w:p>
        </w:tc>
        <w:tc>
          <w:tcPr>
            <w:tcW w:w="60" w:type="dxa"/>
            <w:tcBorders/>
            <w:shd w:fill="CCEEFF" w:val="clear"/>
            <w:vAlign w:val="center"/>
          </w:tcPr>
          <w:p>
            <w:pPr>
              <w:pStyle w:val="TableContents"/>
              <w:bidi w:val="0"/>
              <w:spacing w:before="0" w:after="283"/>
              <w:jc w:val="left"/>
              <w:rPr/>
            </w:pPr>
            <w:r>
              <w:rPr/>
              <w:t> </w:t>
            </w:r>
          </w:p>
        </w:tc>
        <w:tc>
          <w:tcPr>
            <w:tcW w:w="11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double" w:sz="6" w:space="0" w:color="000000"/>
            </w:tcBorders>
            <w:shd w:fill="CCEEFF" w:val="clear"/>
            <w:tcMar>
              <w:bottom w:w="28" w:type="dxa"/>
            </w:tcMar>
            <w:vAlign w:val="center"/>
          </w:tcPr>
          <w:p>
            <w:pPr>
              <w:pStyle w:val="TableContents"/>
              <w:bidi w:val="0"/>
              <w:spacing w:before="0" w:after="283"/>
              <w:jc w:val="right"/>
              <w:rPr/>
            </w:pPr>
            <w:r>
              <w:rPr/>
              <w:t>28,111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17" w:type="dxa"/>
            <w:tcBorders>
              <w:bottom w:val="double" w:sz="6" w:space="0" w:color="000000"/>
            </w:tcBorders>
            <w:shd w:fill="CCEEFF" w:val="clear"/>
            <w:tcMar>
              <w:bottom w:w="28" w:type="dxa"/>
            </w:tcMar>
            <w:vAlign w:val="center"/>
          </w:tcPr>
          <w:p>
            <w:pPr>
              <w:pStyle w:val="TableContents"/>
              <w:bidi w:val="0"/>
              <w:spacing w:before="0" w:after="283"/>
              <w:jc w:val="right"/>
              <w:rPr/>
            </w:pPr>
            <w:r>
              <w:rPr/>
              <w:t>117,842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 Geographic and Segment Information</w:t>
      </w:r>
    </w:p>
    <w:p>
      <w:pPr>
        <w:pStyle w:val="TextBody"/>
        <w:bidi w:val="0"/>
        <w:spacing w:before="0" w:after="0"/>
        <w:ind w:left="240" w:right="0" w:hanging="21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Geographic information for the years ended December 31, 2025 and 2024 is as follows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Geographic Information </w:t>
      </w:r>
    </w:p>
    <w:tbl>
      <w:tblPr>
        <w:tblW w:w="4527" w:type="dxa"/>
        <w:jc w:val="left"/>
        <w:tblInd w:w="0" w:type="dxa"/>
        <w:tblLayout w:type="fixed"/>
        <w:tblCellMar>
          <w:top w:w="0" w:type="dxa"/>
          <w:left w:w="0" w:type="dxa"/>
          <w:bottom w:w="0" w:type="dxa"/>
          <w:right w:w="0" w:type="dxa"/>
        </w:tblCellMar>
      </w:tblPr>
      <w:tblGrid>
        <w:gridCol w:w="1640"/>
        <w:gridCol w:w="60"/>
        <w:gridCol w:w="208"/>
        <w:gridCol w:w="946"/>
        <w:gridCol w:w="141"/>
        <w:gridCol w:w="89"/>
        <w:gridCol w:w="208"/>
        <w:gridCol w:w="1125"/>
        <w:gridCol w:w="110"/>
      </w:tblGrid>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283"/>
              <w:jc w:val="left"/>
              <w:rPr/>
            </w:pPr>
            <w:r>
              <w:rPr/>
              <w:t>United Kingdom</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w:t>
            </w:r>
          </w:p>
        </w:tc>
        <w:tc>
          <w:tcPr>
            <w:tcW w:w="946" w:type="dxa"/>
            <w:tcBorders/>
            <w:shd w:fill="FFFFFF" w:val="clear"/>
            <w:vAlign w:val="center"/>
          </w:tcPr>
          <w:p>
            <w:pPr>
              <w:pStyle w:val="TableContents"/>
              <w:bidi w:val="0"/>
              <w:spacing w:before="0" w:after="283"/>
              <w:jc w:val="right"/>
              <w:rPr/>
            </w:pPr>
            <w:r>
              <w:rPr/>
              <w:t>—</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w:t>
            </w:r>
          </w:p>
        </w:tc>
        <w:tc>
          <w:tcPr>
            <w:tcW w:w="1125" w:type="dxa"/>
            <w:tcBorders/>
            <w:shd w:fill="FFFFFF" w:val="clear"/>
            <w:vAlign w:val="center"/>
          </w:tcPr>
          <w:p>
            <w:pPr>
              <w:pStyle w:val="TableContents"/>
              <w:bidi w:val="0"/>
              <w:spacing w:before="0" w:after="283"/>
              <w:jc w:val="right"/>
              <w:rPr/>
            </w:pPr>
            <w:r>
              <w:rPr/>
              <w:t>43</w:t>
            </w:r>
          </w:p>
        </w:tc>
        <w:tc>
          <w:tcPr>
            <w:tcW w:w="110" w:type="dxa"/>
            <w:tcBorders/>
            <w:shd w:fill="FFFF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Malaysia</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747</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283"/>
              <w:jc w:val="left"/>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jc w:val="right"/>
              <w:rPr/>
            </w:pPr>
            <w:r>
              <w:rPr/>
              <w:t>747</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5" w:type="dxa"/>
            <w:tcBorders>
              <w:bottom w:val="double" w:sz="6" w:space="0" w:color="000000"/>
            </w:tcBorders>
            <w:shd w:fill="FFFFFF" w:val="clear"/>
            <w:tcMar>
              <w:bottom w:w="28" w:type="dxa"/>
            </w:tcMar>
            <w:vAlign w:val="center"/>
          </w:tcPr>
          <w:p>
            <w:pPr>
              <w:pStyle w:val="TableContents"/>
              <w:bidi w:val="0"/>
              <w:spacing w:before="0" w:after="283"/>
              <w:jc w:val="right"/>
              <w:rPr/>
            </w:pPr>
            <w:r>
              <w:rPr/>
              <w:t>43</w:t>
            </w:r>
          </w:p>
        </w:tc>
        <w:tc>
          <w:tcPr>
            <w:tcW w:w="110" w:type="dxa"/>
            <w:tcBorders/>
            <w:shd w:fill="FFFF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283"/>
              <w:jc w:val="left"/>
              <w:rPr>
                <w:b/>
              </w:rPr>
            </w:pPr>
            <w:r>
              <w:rPr>
                <w:b/>
              </w:rPr>
              <w:t>Net (loss) / gain</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 </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United States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946" w:type="dxa"/>
            <w:tcBorders/>
            <w:shd w:fill="CCEEFF" w:val="clear"/>
            <w:vAlign w:val="center"/>
          </w:tcPr>
          <w:p>
            <w:pPr>
              <w:pStyle w:val="TableContents"/>
              <w:bidi w:val="0"/>
              <w:spacing w:before="0" w:after="283"/>
              <w:jc w:val="right"/>
              <w:rPr/>
            </w:pPr>
            <w:r>
              <w:rPr/>
              <w:t>(1,857</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125" w:type="dxa"/>
            <w:tcBorders/>
            <w:shd w:fill="CCEEFF" w:val="clear"/>
            <w:vAlign w:val="center"/>
          </w:tcPr>
          <w:p>
            <w:pPr>
              <w:pStyle w:val="TableContents"/>
              <w:bidi w:val="0"/>
              <w:spacing w:before="0" w:after="283"/>
              <w:jc w:val="right"/>
              <w:rPr/>
            </w:pPr>
            <w:r>
              <w:rPr/>
              <w:t>(37</w:t>
            </w:r>
          </w:p>
        </w:tc>
        <w:tc>
          <w:tcPr>
            <w:tcW w:w="110" w:type="dxa"/>
            <w:tcBorders/>
            <w:shd w:fill="CCEEFF" w:val="clear"/>
            <w:vAlign w:val="center"/>
          </w:tcPr>
          <w:p>
            <w:pPr>
              <w:pStyle w:val="TableContents"/>
              <w:bidi w:val="0"/>
              <w:spacing w:before="0" w:after="283"/>
              <w:jc w:val="left"/>
              <w:rPr/>
            </w:pPr>
            <w:r>
              <w:rPr/>
              <w:t>)</w:t>
            </w:r>
          </w:p>
        </w:tc>
      </w:tr>
      <w:tr>
        <w:trPr/>
        <w:tc>
          <w:tcPr>
            <w:tcW w:w="1640" w:type="dxa"/>
            <w:tcBorders/>
            <w:shd w:fill="FFFFFF" w:val="clear"/>
            <w:vAlign w:val="center"/>
          </w:tcPr>
          <w:p>
            <w:pPr>
              <w:pStyle w:val="TableContents"/>
              <w:bidi w:val="0"/>
              <w:spacing w:before="0" w:after="283"/>
              <w:jc w:val="left"/>
              <w:rPr/>
            </w:pPr>
            <w:r>
              <w:rPr/>
              <w:t>Malaysia</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119</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United Kingdom</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(1,260</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pPr>
            <w:r>
              <w:rPr/>
              <w:t>(11,175</w:t>
            </w:r>
          </w:p>
        </w:tc>
        <w:tc>
          <w:tcPr>
            <w:tcW w:w="110" w:type="dxa"/>
            <w:tcBorders/>
            <w:shd w:fill="CCEEFF" w:val="clear"/>
            <w:vAlign w:val="center"/>
          </w:tcPr>
          <w:p>
            <w:pPr>
              <w:pStyle w:val="TableContents"/>
              <w:bidi w:val="0"/>
              <w:spacing w:before="0" w:after="283"/>
              <w:jc w:val="left"/>
              <w:rPr/>
            </w:pPr>
            <w:r>
              <w:rPr/>
              <w:t>)</w:t>
            </w:r>
          </w:p>
        </w:tc>
      </w:tr>
      <w:tr>
        <w:trPr/>
        <w:tc>
          <w:tcPr>
            <w:tcW w:w="1640" w:type="dxa"/>
            <w:tcBorders/>
            <w:shd w:fill="FFFFFF" w:val="clear"/>
            <w:vAlign w:val="center"/>
          </w:tcPr>
          <w:p>
            <w:pPr>
              <w:pStyle w:val="TableContents"/>
              <w:bidi w:val="0"/>
              <w:spacing w:before="0" w:after="283"/>
              <w:jc w:val="left"/>
              <w:rPr>
                <w:b/>
              </w:rPr>
            </w:pPr>
            <w:r>
              <w:rPr>
                <w:b/>
              </w:rPr>
              <w:t>Total Net Loss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jc w:val="right"/>
              <w:rPr/>
            </w:pPr>
            <w:r>
              <w:rPr/>
              <w:t>(2,998</w:t>
            </w:r>
          </w:p>
        </w:tc>
        <w:tc>
          <w:tcPr>
            <w:tcW w:w="141" w:type="dxa"/>
            <w:tcBorders/>
            <w:shd w:fill="FFFFFF" w:val="clear"/>
            <w:vAlign w:val="center"/>
          </w:tcPr>
          <w:p>
            <w:pPr>
              <w:pStyle w:val="TableContents"/>
              <w:bidi w:val="0"/>
              <w:spacing w:before="0" w:after="283"/>
              <w:jc w:val="left"/>
              <w:rPr/>
            </w:pPr>
            <w:r>
              <w:rPr/>
              <w:t>)</w:t>
            </w:r>
          </w:p>
        </w:tc>
        <w:tc>
          <w:tcPr>
            <w:tcW w:w="89"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5" w:type="dxa"/>
            <w:tcBorders>
              <w:bottom w:val="double" w:sz="6" w:space="0" w:color="000000"/>
            </w:tcBorders>
            <w:shd w:fill="FFFFFF" w:val="clear"/>
            <w:tcMar>
              <w:bottom w:w="28" w:type="dxa"/>
            </w:tcMar>
            <w:vAlign w:val="center"/>
          </w:tcPr>
          <w:p>
            <w:pPr>
              <w:pStyle w:val="TableContents"/>
              <w:bidi w:val="0"/>
              <w:spacing w:before="0" w:after="283"/>
              <w:jc w:val="right"/>
              <w:rPr/>
            </w:pPr>
            <w:r>
              <w:rPr/>
              <w:t>(11,212</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4635" w:type="dxa"/>
        <w:jc w:val="left"/>
        <w:tblInd w:w="0" w:type="dxa"/>
        <w:tblLayout w:type="fixed"/>
        <w:tblCellMar>
          <w:top w:w="0" w:type="dxa"/>
          <w:left w:w="0" w:type="dxa"/>
          <w:bottom w:w="0" w:type="dxa"/>
          <w:right w:w="0" w:type="dxa"/>
        </w:tblCellMar>
      </w:tblPr>
      <w:tblGrid>
        <w:gridCol w:w="2945"/>
        <w:gridCol w:w="60"/>
        <w:gridCol w:w="140"/>
        <w:gridCol w:w="560"/>
        <w:gridCol w:w="95"/>
        <w:gridCol w:w="60"/>
        <w:gridCol w:w="140"/>
        <w:gridCol w:w="560"/>
        <w:gridCol w:w="75"/>
      </w:tblGrid>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pPr>
            <w:r>
              <w:rPr/>
              <w:t>United States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2,031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3,285</w:t>
            </w:r>
          </w:p>
        </w:tc>
        <w:tc>
          <w:tcPr>
            <w:tcW w:w="75"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pPr>
            <w:r>
              <w:rPr/>
              <w:t>Malaysia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6,154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pPr>
            <w:r>
              <w:rPr/>
              <w:t>United Kingdom</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809</w:t>
            </w:r>
          </w:p>
        </w:tc>
        <w:tc>
          <w:tcPr>
            <w:tcW w:w="75"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8,185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4,094</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b/>
              </w:rPr>
            </w:pPr>
            <w:r>
              <w:rPr>
                <w:b/>
              </w:rPr>
              <w:t>Long Lived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pPr>
            <w:r>
              <w:rPr/>
              <w:t>United States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pPr>
            <w:r>
              <w:rPr/>
              <w:t>Malaysia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pPr>
            <w:r>
              <w:rPr/>
              <w:t>United Kingdom</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b/>
              </w:rPr>
            </w:pPr>
            <w:r>
              <w:rPr>
                <w:b/>
              </w:rPr>
              <w:t>Total Long Lived Assets,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latter part of 2025, following the acquisition of our wholly owned subsidiary, Fitters Sdn. Bhd. (“Fitters”), the Company operated as a single1 segment engaged in the distribution of fire safety materials, equipment and fire prevention systems. Prior to the acquisition of Fitters, the Company operated as a single segment engaged in the development of innovative cancer medicines based on cell cycle, transcriptional regulation and mitosis control biology. Consistent with our operational structure, our Chief Executive Officer (CEO), as the chief operating decision maker, makes resource allocation and business process decisions globally across our consolidated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and allocating resources at the consolidated level enables our CEO to assess the overall level of resources available and how to best deploy these resources across functions such as production, research and development, business development, or administration and research and development projects in line with our overarching long-term corporate-wide strategic goals, rather than on a geographic or some other basis. Consistent with this decision-making process, our CEO considers consolidated net loss, which is our single segment’s principal measure of segment profit and loss, when evaluating performance and allocating company-wide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expenses are amounts that are regularly provided to the CEO and comprise the identical captions that are reported on the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our consolidated net loss for the years ended December 31, 2025 and 2024 is as follows, including the significant expenses provided to and regularly reviewed by our CEO:</w:t>
      </w:r>
    </w:p>
    <w:p>
      <w:pPr>
        <w:pStyle w:val="TextBody"/>
        <w:bidi w:val="0"/>
        <w:spacing w:before="0" w:after="0"/>
        <w:ind w:left="20" w:right="0" w:firstLine="44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Summary of Consolidated Net Loss </w:t>
      </w:r>
    </w:p>
    <w:tbl>
      <w:tblPr>
        <w:tblW w:w="5195" w:type="dxa"/>
        <w:jc w:val="left"/>
        <w:tblInd w:w="0" w:type="dxa"/>
        <w:tblLayout w:type="fixed"/>
        <w:tblCellMar>
          <w:top w:w="0" w:type="dxa"/>
          <w:left w:w="0" w:type="dxa"/>
          <w:bottom w:w="0" w:type="dxa"/>
          <w:right w:w="0" w:type="dxa"/>
        </w:tblCellMar>
      </w:tblPr>
      <w:tblGrid>
        <w:gridCol w:w="3200"/>
        <w:gridCol w:w="60"/>
        <w:gridCol w:w="140"/>
        <w:gridCol w:w="635"/>
        <w:gridCol w:w="95"/>
        <w:gridCol w:w="60"/>
        <w:gridCol w:w="140"/>
        <w:gridCol w:w="755"/>
        <w:gridCol w:w="110"/>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747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43</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6,655</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7,717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5,392</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9,174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12,047</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(8,427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(12,004</w:t>
            </w:r>
          </w:p>
        </w:tc>
        <w:tc>
          <w:tcPr>
            <w:tcW w:w="110" w:type="dxa"/>
            <w:tcBorders/>
            <w:shd w:fill="CCEEFF" w:val="clear"/>
            <w:vAlign w:val="center"/>
          </w:tcPr>
          <w:p>
            <w:pPr>
              <w:pStyle w:val="TableContents"/>
              <w:bidi w:val="0"/>
              <w:spacing w:before="0" w:after="283"/>
              <w:jc w:val="left"/>
              <w:rPr/>
            </w:pPr>
            <w:r>
              <w:rPr/>
              <w:t>)</w:t>
            </w:r>
          </w:p>
        </w:tc>
      </w:tr>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5,436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10</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b/>
              </w:rPr>
            </w:pPr>
            <w:r>
              <w:rPr>
                <w:b/>
              </w:rPr>
              <w:t>Loss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(2,991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(11,994</w:t>
            </w:r>
          </w:p>
        </w:tc>
        <w:tc>
          <w:tcPr>
            <w:tcW w:w="110" w:type="dxa"/>
            <w:tcBorders/>
            <w:shd w:fill="FFFFFF" w:val="clear"/>
            <w:vAlign w:val="center"/>
          </w:tcPr>
          <w:p>
            <w:pPr>
              <w:pStyle w:val="TableContents"/>
              <w:bidi w:val="0"/>
              <w:spacing w:before="0" w:after="283"/>
              <w:jc w:val="left"/>
              <w:rPr/>
            </w:pPr>
            <w:r>
              <w:rPr/>
              <w:t>)</w:t>
            </w:r>
          </w:p>
        </w:tc>
      </w:tr>
      <w:tr>
        <w:trPr/>
        <w:tc>
          <w:tcPr>
            <w:tcW w:w="3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Income tax benefit / (charge)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782</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(2,998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(11,212</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the Board of Directors of Bio Green Med Solution, Inc. (the “Company”) declared a quarterly cash dividend of $0.15 per share on the Company’s 6% Convertible Exchangeable Preferred Stock (the “Preferred Stock”). The dividend was paid on February 1, 2026, to Preferred Stock stockholders of record as of the close of business on January 22,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Delisting of 6% Convertible Exchangeable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to Nasdaq notices received September 11, 2025 and March 12, 2026 in connection with the Company’s failure to satisfy a continued listing rule in relation to its 6% Convertible Exchangeable Preferred Stock (listed on The Nasdaq Capital Market under the symbol “BGMSP”), trading of the Preferred Stock was suspended at the opening of business on March 23, 2026, and a Form 25-NSE was filed with the Securities and Exchange Commission, which removed the Company’s securities from listing and registration on The Nasdaq Stock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expected that the Preferred Stock will be delisted from The Nasdaq Capital Market on or after April 2, 2026. The Company believes that the Preferred Stock may be quoted and traded on the OTC Markets after April 2, 2026. The delisting does not affect the Company’s Common Stock (listed on The Nasdaq Capital Market under the symbol “BGMS”).</w:t>
      </w:r>
    </w:p>
    <w:p>
      <w:pPr>
        <w:pStyle w:val="TextBody"/>
        <w:bidi w:val="0"/>
        <w:spacing w:before="0" w:after="0"/>
        <w:ind w:left="0" w:right="0" w:firstLine="442"/>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FINANCIAL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Financial Statements</w:t>
      </w:r>
    </w:p>
    <w:p>
      <w:pPr>
        <w:pStyle w:val="TextBody"/>
        <w:bidi w:val="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1" w:name="ns_003"/>
      <w:bookmarkEnd w:id="111"/>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 except share, per share, and liquidation preference amounts)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40"/>
        <w:gridCol w:w="60"/>
        <w:gridCol w:w="140"/>
        <w:gridCol w:w="875"/>
        <w:gridCol w:w="95"/>
        <w:gridCol w:w="60"/>
        <w:gridCol w:w="154"/>
        <w:gridCol w:w="969"/>
        <w:gridCol w:w="112"/>
      </w:tblGrid>
      <w:tr>
        <w:trPr/>
        <w:tc>
          <w:tcPr>
            <w:tcW w:w="7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3" w:type="dxa"/>
            <w:gridSpan w:val="2"/>
            <w:tcBorders/>
            <w:vAlign w:val="center"/>
          </w:tcPr>
          <w:p>
            <w:pPr>
              <w:pStyle w:val="TableContents"/>
              <w:bidi w:val="0"/>
              <w:spacing w:before="0" w:after="283"/>
              <w:jc w:val="center"/>
              <w:rPr>
                <w:b/>
              </w:rPr>
            </w:pPr>
            <w:r>
              <w:rPr>
                <w:b/>
              </w:rPr>
              <w:t>December 31,</w:t>
            </w:r>
          </w:p>
        </w:tc>
        <w:tc>
          <w:tcPr>
            <w:tcW w:w="112" w:type="dxa"/>
            <w:tcBorders/>
            <w:vAlign w:val="center"/>
          </w:tcPr>
          <w:p>
            <w:pPr>
              <w:pStyle w:val="TableContents"/>
              <w:bidi w:val="0"/>
              <w:spacing w:before="0" w:after="283"/>
              <w:jc w:val="left"/>
              <w:rPr/>
            </w:pPr>
            <w:r>
              <w:rPr/>
              <w:t> </w:t>
            </w:r>
          </w:p>
        </w:tc>
      </w:tr>
      <w:tr>
        <w:trPr/>
        <w:tc>
          <w:tcPr>
            <w:tcW w:w="7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7740"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740"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74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3,790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969" w:type="dxa"/>
            <w:tcBorders/>
            <w:shd w:fill="CCEEFF" w:val="clear"/>
            <w:vAlign w:val="center"/>
          </w:tcPr>
          <w:p>
            <w:pPr>
              <w:pStyle w:val="TableContents"/>
              <w:bidi w:val="0"/>
              <w:spacing w:before="0" w:after="283"/>
              <w:jc w:val="right"/>
              <w:rPr/>
            </w:pPr>
            <w:r>
              <w:rPr/>
              <w:t>3,505</w:t>
            </w:r>
          </w:p>
        </w:tc>
        <w:tc>
          <w:tcPr>
            <w:tcW w:w="112" w:type="dxa"/>
            <w:tcBorders/>
            <w:shd w:fill="CCEEFF" w:val="clear"/>
            <w:vAlign w:val="center"/>
          </w:tcPr>
          <w:p>
            <w:pPr>
              <w:pStyle w:val="TableContents"/>
              <w:bidi w:val="0"/>
              <w:spacing w:before="0" w:after="283"/>
              <w:jc w:val="left"/>
              <w:rPr/>
            </w:pPr>
            <w:r>
              <w:rPr/>
              <w:t> </w:t>
            </w:r>
          </w:p>
        </w:tc>
      </w:tr>
      <w:tr>
        <w:trPr/>
        <w:tc>
          <w:tcPr>
            <w:tcW w:w="7740"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1,384</w:t>
            </w:r>
          </w:p>
        </w:tc>
        <w:tc>
          <w:tcPr>
            <w:tcW w:w="112" w:type="dxa"/>
            <w:tcBorders/>
            <w:shd w:fill="FFFFFF" w:val="clear"/>
            <w:vAlign w:val="center"/>
          </w:tcPr>
          <w:p>
            <w:pPr>
              <w:pStyle w:val="TableContents"/>
              <w:bidi w:val="0"/>
              <w:spacing w:before="0" w:after="283"/>
              <w:jc w:val="left"/>
              <w:rPr/>
            </w:pPr>
            <w:r>
              <w:rPr/>
              <w:t> </w:t>
            </w:r>
          </w:p>
        </w:tc>
      </w:tr>
      <w:tr>
        <w:trPr/>
        <w:tc>
          <w:tcPr>
            <w:tcW w:w="7740" w:type="dxa"/>
            <w:tcBorders/>
            <w:shd w:fill="CCEEFF" w:val="clear"/>
            <w:vAlign w:val="center"/>
          </w:tcPr>
          <w:p>
            <w:pPr>
              <w:pStyle w:val="TableContents"/>
              <w:bidi w:val="0"/>
              <w:spacing w:before="0" w:after="283"/>
              <w:jc w:val="left"/>
              <w:rPr/>
            </w:pPr>
            <w:r>
              <w:rPr/>
              <w:t>Accounts receivable (net of allowances of $540,000 and $447,000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1,257</w:t>
            </w:r>
          </w:p>
        </w:tc>
        <w:tc>
          <w:tcPr>
            <w:tcW w:w="112" w:type="dxa"/>
            <w:tcBorders/>
            <w:shd w:fill="CCEEFF" w:val="clear"/>
            <w:vAlign w:val="center"/>
          </w:tcPr>
          <w:p>
            <w:pPr>
              <w:pStyle w:val="TableContents"/>
              <w:bidi w:val="0"/>
              <w:spacing w:before="0" w:after="283"/>
              <w:jc w:val="left"/>
              <w:rPr/>
            </w:pPr>
            <w:r>
              <w:rPr/>
              <w:t> </w:t>
            </w:r>
          </w:p>
        </w:tc>
      </w:tr>
      <w:tr>
        <w:trPr/>
        <w:tc>
          <w:tcPr>
            <w:tcW w:w="7740"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9" w:type="dxa"/>
            <w:tcBorders>
              <w:bottom w:val="single" w:sz="8" w:space="0" w:color="000000"/>
            </w:tcBorders>
            <w:shd w:fill="FFFFFF" w:val="clear"/>
            <w:tcMar>
              <w:bottom w:w="28" w:type="dxa"/>
            </w:tcMar>
            <w:vAlign w:val="center"/>
          </w:tcPr>
          <w:p>
            <w:pPr>
              <w:pStyle w:val="TableContents"/>
              <w:bidi w:val="0"/>
              <w:spacing w:before="0" w:after="283"/>
              <w:jc w:val="right"/>
              <w:rPr/>
            </w:pPr>
            <w:r>
              <w:rPr/>
              <w:t>110</w:t>
            </w:r>
          </w:p>
        </w:tc>
        <w:tc>
          <w:tcPr>
            <w:tcW w:w="112" w:type="dxa"/>
            <w:tcBorders/>
            <w:shd w:fill="FFFFFF" w:val="clear"/>
            <w:vAlign w:val="center"/>
          </w:tcPr>
          <w:p>
            <w:pPr>
              <w:pStyle w:val="TableContents"/>
              <w:bidi w:val="0"/>
              <w:spacing w:before="0" w:after="283"/>
              <w:jc w:val="left"/>
              <w:rPr/>
            </w:pPr>
            <w:r>
              <w:rPr/>
              <w:t> </w:t>
            </w:r>
          </w:p>
        </w:tc>
      </w:tr>
      <w:tr>
        <w:trPr/>
        <w:tc>
          <w:tcPr>
            <w:tcW w:w="7740"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5,969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6,256</w:t>
            </w:r>
          </w:p>
        </w:tc>
        <w:tc>
          <w:tcPr>
            <w:tcW w:w="112" w:type="dxa"/>
            <w:tcBorders/>
            <w:shd w:fill="CCEEFF" w:val="clear"/>
            <w:vAlign w:val="center"/>
          </w:tcPr>
          <w:p>
            <w:pPr>
              <w:pStyle w:val="TableContents"/>
              <w:bidi w:val="0"/>
              <w:spacing w:before="0" w:after="283"/>
              <w:jc w:val="left"/>
              <w:rPr/>
            </w:pPr>
            <w:r>
              <w:rPr/>
              <w:t> </w:t>
            </w:r>
          </w:p>
        </w:tc>
      </w:tr>
      <w:tr>
        <w:trPr/>
        <w:tc>
          <w:tcPr>
            <w:tcW w:w="7740"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137</w:t>
            </w:r>
          </w:p>
        </w:tc>
        <w:tc>
          <w:tcPr>
            <w:tcW w:w="112" w:type="dxa"/>
            <w:tcBorders/>
            <w:shd w:fill="FFFFFF" w:val="clear"/>
            <w:vAlign w:val="center"/>
          </w:tcPr>
          <w:p>
            <w:pPr>
              <w:pStyle w:val="TableContents"/>
              <w:bidi w:val="0"/>
              <w:spacing w:before="0" w:after="283"/>
              <w:jc w:val="left"/>
              <w:rPr/>
            </w:pPr>
            <w:r>
              <w:rPr/>
              <w:t> </w:t>
            </w:r>
          </w:p>
        </w:tc>
      </w:tr>
      <w:tr>
        <w:trPr/>
        <w:tc>
          <w:tcPr>
            <w:tcW w:w="7740" w:type="dxa"/>
            <w:tcBorders/>
            <w:shd w:fill="CCEEFF" w:val="clear"/>
            <w:vAlign w:val="center"/>
          </w:tcPr>
          <w:p>
            <w:pPr>
              <w:pStyle w:val="TableContents"/>
              <w:bidi w:val="0"/>
              <w:spacing w:before="0" w:after="283"/>
              <w:jc w:val="left"/>
              <w:rPr/>
            </w:pPr>
            <w:r>
              <w:rPr/>
              <w:t>Right-of-use lease asset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12</w:t>
            </w:r>
          </w:p>
        </w:tc>
        <w:tc>
          <w:tcPr>
            <w:tcW w:w="112" w:type="dxa"/>
            <w:tcBorders/>
            <w:shd w:fill="CCEEFF" w:val="clear"/>
            <w:vAlign w:val="center"/>
          </w:tcPr>
          <w:p>
            <w:pPr>
              <w:pStyle w:val="TableContents"/>
              <w:bidi w:val="0"/>
              <w:spacing w:before="0" w:after="283"/>
              <w:jc w:val="left"/>
              <w:rPr/>
            </w:pPr>
            <w:r>
              <w:rPr/>
              <w:t> </w:t>
            </w:r>
          </w:p>
        </w:tc>
      </w:tr>
      <w:tr>
        <w:trPr/>
        <w:tc>
          <w:tcPr>
            <w:tcW w:w="7740"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1,570</w:t>
            </w:r>
          </w:p>
        </w:tc>
        <w:tc>
          <w:tcPr>
            <w:tcW w:w="112" w:type="dxa"/>
            <w:tcBorders/>
            <w:shd w:fill="FFFFFF" w:val="clear"/>
            <w:vAlign w:val="center"/>
          </w:tcPr>
          <w:p>
            <w:pPr>
              <w:pStyle w:val="TableContents"/>
              <w:bidi w:val="0"/>
              <w:spacing w:before="0" w:after="283"/>
              <w:jc w:val="left"/>
              <w:rPr/>
            </w:pPr>
            <w:r>
              <w:rPr/>
              <w:t> </w:t>
            </w:r>
          </w:p>
        </w:tc>
      </w:tr>
      <w:tr>
        <w:trPr/>
        <w:tc>
          <w:tcPr>
            <w:tcW w:w="7740" w:type="dxa"/>
            <w:tcBorders/>
            <w:shd w:fill="CCEEFF" w:val="clear"/>
            <w:vAlign w:val="center"/>
          </w:tcPr>
          <w:p>
            <w:pPr>
              <w:pStyle w:val="TableContents"/>
              <w:bidi w:val="0"/>
              <w:spacing w:before="0" w:after="283"/>
              <w:jc w:val="left"/>
              <w:rPr/>
            </w:pPr>
            <w:r>
              <w:rPr/>
              <w:t>Non-current deposits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9" w:type="dxa"/>
            <w:tcBorders>
              <w:bottom w:val="single" w:sz="8" w:space="0" w:color="000000"/>
            </w:tcBorders>
            <w:shd w:fill="CCEEFF" w:val="clear"/>
            <w:tcMar>
              <w:bottom w:w="28" w:type="dxa"/>
            </w:tcMar>
            <w:vAlign w:val="center"/>
          </w:tcPr>
          <w:p>
            <w:pPr>
              <w:pStyle w:val="TableContents"/>
              <w:bidi w:val="0"/>
              <w:spacing w:before="0" w:after="283"/>
              <w:jc w:val="right"/>
              <w:rPr/>
            </w:pPr>
            <w:r>
              <w:rPr/>
              <w:t>210</w:t>
            </w:r>
          </w:p>
        </w:tc>
        <w:tc>
          <w:tcPr>
            <w:tcW w:w="112" w:type="dxa"/>
            <w:tcBorders/>
            <w:shd w:fill="CCEEFF" w:val="clear"/>
            <w:vAlign w:val="center"/>
          </w:tcPr>
          <w:p>
            <w:pPr>
              <w:pStyle w:val="TableContents"/>
              <w:bidi w:val="0"/>
              <w:spacing w:before="0" w:after="283"/>
              <w:jc w:val="left"/>
              <w:rPr/>
            </w:pPr>
            <w:r>
              <w:rPr/>
              <w:t> </w:t>
            </w:r>
          </w:p>
        </w:tc>
      </w:tr>
      <w:tr>
        <w:trPr/>
        <w:tc>
          <w:tcPr>
            <w:tcW w:w="7740"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7,854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69" w:type="dxa"/>
            <w:tcBorders>
              <w:bottom w:val="double" w:sz="6" w:space="0" w:color="000000"/>
            </w:tcBorders>
            <w:shd w:fill="FFFFFF" w:val="clear"/>
            <w:tcMar>
              <w:bottom w:w="28" w:type="dxa"/>
            </w:tcMar>
            <w:vAlign w:val="center"/>
          </w:tcPr>
          <w:p>
            <w:pPr>
              <w:pStyle w:val="TableContents"/>
              <w:bidi w:val="0"/>
              <w:spacing w:before="0" w:after="283"/>
              <w:jc w:val="right"/>
              <w:rPr/>
            </w:pPr>
            <w:r>
              <w:rPr/>
              <w:t>8,185</w:t>
            </w:r>
          </w:p>
        </w:tc>
        <w:tc>
          <w:tcPr>
            <w:tcW w:w="112" w:type="dxa"/>
            <w:tcBorders/>
            <w:shd w:fill="FFFFFF" w:val="clear"/>
            <w:vAlign w:val="center"/>
          </w:tcPr>
          <w:p>
            <w:pPr>
              <w:pStyle w:val="TableContents"/>
              <w:bidi w:val="0"/>
              <w:spacing w:before="0" w:after="283"/>
              <w:jc w:val="left"/>
              <w:rPr/>
            </w:pPr>
            <w:r>
              <w:rPr/>
              <w:t> </w:t>
            </w:r>
          </w:p>
        </w:tc>
      </w:tr>
      <w:tr>
        <w:trPr/>
        <w:tc>
          <w:tcPr>
            <w:tcW w:w="7740" w:type="dxa"/>
            <w:tcBorders/>
            <w:shd w:fill="CCEEFF" w:val="clear"/>
            <w:vAlign w:val="center"/>
          </w:tcPr>
          <w:p>
            <w:pPr>
              <w:pStyle w:val="TableContents"/>
              <w:bidi w:val="0"/>
              <w:spacing w:before="0" w:after="283"/>
              <w:jc w:val="left"/>
              <w:rPr>
                <w:b/>
              </w:rPr>
            </w:pPr>
            <w:r>
              <w:rPr>
                <w:b/>
              </w:rPr>
              <w:t>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740"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74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969" w:type="dxa"/>
            <w:tcBorders/>
            <w:shd w:fill="CCEEFF" w:val="clear"/>
            <w:vAlign w:val="center"/>
          </w:tcPr>
          <w:p>
            <w:pPr>
              <w:pStyle w:val="TableContents"/>
              <w:bidi w:val="0"/>
              <w:spacing w:before="0" w:after="283"/>
              <w:jc w:val="right"/>
              <w:rPr/>
            </w:pPr>
            <w:r>
              <w:rPr/>
              <w:t>617</w:t>
            </w:r>
          </w:p>
        </w:tc>
        <w:tc>
          <w:tcPr>
            <w:tcW w:w="112" w:type="dxa"/>
            <w:tcBorders/>
            <w:shd w:fill="CCEEFF" w:val="clear"/>
            <w:vAlign w:val="center"/>
          </w:tcPr>
          <w:p>
            <w:pPr>
              <w:pStyle w:val="TableContents"/>
              <w:bidi w:val="0"/>
              <w:spacing w:before="0" w:after="283"/>
              <w:jc w:val="left"/>
              <w:rPr/>
            </w:pPr>
            <w:r>
              <w:rPr/>
              <w:t> </w:t>
            </w:r>
          </w:p>
        </w:tc>
      </w:tr>
      <w:tr>
        <w:trPr/>
        <w:tc>
          <w:tcPr>
            <w:tcW w:w="7740" w:type="dxa"/>
            <w:tcBorders/>
            <w:shd w:fill="FFFFFF" w:val="clear"/>
            <w:vAlign w:val="center"/>
          </w:tcPr>
          <w:p>
            <w:pPr>
              <w:pStyle w:val="TableContents"/>
              <w:bidi w:val="0"/>
              <w:spacing w:before="0" w:after="283"/>
              <w:jc w:val="left"/>
              <w:rPr/>
            </w:pPr>
            <w:r>
              <w:rPr/>
              <w:t>Accrued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503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9" w:type="dxa"/>
            <w:tcBorders>
              <w:bottom w:val="single" w:sz="8" w:space="0" w:color="000000"/>
            </w:tcBorders>
            <w:shd w:fill="FFFFFF" w:val="clear"/>
            <w:tcMar>
              <w:bottom w:w="28" w:type="dxa"/>
            </w:tcMar>
            <w:vAlign w:val="center"/>
          </w:tcPr>
          <w:p>
            <w:pPr>
              <w:pStyle w:val="TableContents"/>
              <w:bidi w:val="0"/>
              <w:spacing w:before="0" w:after="283"/>
              <w:jc w:val="right"/>
              <w:rPr/>
            </w:pPr>
            <w:r>
              <w:rPr/>
              <w:t>715</w:t>
            </w:r>
          </w:p>
        </w:tc>
        <w:tc>
          <w:tcPr>
            <w:tcW w:w="112" w:type="dxa"/>
            <w:tcBorders/>
            <w:shd w:fill="FFFFFF" w:val="clear"/>
            <w:vAlign w:val="center"/>
          </w:tcPr>
          <w:p>
            <w:pPr>
              <w:pStyle w:val="TableContents"/>
              <w:bidi w:val="0"/>
              <w:spacing w:before="0" w:after="283"/>
              <w:jc w:val="left"/>
              <w:rPr/>
            </w:pPr>
            <w:r>
              <w:rPr/>
              <w:t> </w:t>
            </w:r>
          </w:p>
        </w:tc>
      </w:tr>
      <w:tr>
        <w:trPr/>
        <w:tc>
          <w:tcPr>
            <w:tcW w:w="7740"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1,332</w:t>
            </w:r>
          </w:p>
        </w:tc>
        <w:tc>
          <w:tcPr>
            <w:tcW w:w="112" w:type="dxa"/>
            <w:tcBorders/>
            <w:shd w:fill="CCEEFF" w:val="clear"/>
            <w:vAlign w:val="center"/>
          </w:tcPr>
          <w:p>
            <w:pPr>
              <w:pStyle w:val="TableContents"/>
              <w:bidi w:val="0"/>
              <w:spacing w:before="0" w:after="283"/>
              <w:jc w:val="left"/>
              <w:rPr/>
            </w:pPr>
            <w:r>
              <w:rPr/>
              <w:t> </w:t>
            </w:r>
          </w:p>
        </w:tc>
      </w:tr>
      <w:tr>
        <w:trPr/>
        <w:tc>
          <w:tcPr>
            <w:tcW w:w="7740" w:type="dxa"/>
            <w:tcBorders/>
            <w:shd w:fill="FFFFFF" w:val="clear"/>
            <w:vAlign w:val="center"/>
          </w:tcPr>
          <w:p>
            <w:pPr>
              <w:pStyle w:val="TableContents"/>
              <w:bidi w:val="0"/>
              <w:spacing w:before="0" w:after="283"/>
              <w:jc w:val="left"/>
              <w:rPr/>
            </w:pPr>
            <w:r>
              <w:rPr/>
              <w:t>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2</w:t>
            </w:r>
          </w:p>
        </w:tc>
        <w:tc>
          <w:tcPr>
            <w:tcW w:w="112" w:type="dxa"/>
            <w:tcBorders/>
            <w:shd w:fill="FFFFFF" w:val="clear"/>
            <w:vAlign w:val="center"/>
          </w:tcPr>
          <w:p>
            <w:pPr>
              <w:pStyle w:val="TableContents"/>
              <w:bidi w:val="0"/>
              <w:spacing w:before="0" w:after="283"/>
              <w:jc w:val="left"/>
              <w:rPr/>
            </w:pPr>
            <w:r>
              <w:rPr/>
              <w:t> </w:t>
            </w:r>
          </w:p>
        </w:tc>
      </w:tr>
      <w:tr>
        <w:trPr/>
        <w:tc>
          <w:tcPr>
            <w:tcW w:w="7740" w:type="dxa"/>
            <w:tcBorders/>
            <w:shd w:fill="CCEEFF" w:val="clear"/>
            <w:vAlign w:val="center"/>
          </w:tcPr>
          <w:p>
            <w:pPr>
              <w:pStyle w:val="TableContents"/>
              <w:bidi w:val="0"/>
              <w:spacing w:before="0" w:after="283"/>
              <w:jc w:val="left"/>
              <w:rPr/>
            </w:pPr>
            <w:r>
              <w:rPr/>
              <w:t>Other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9" w:type="dxa"/>
            <w:tcBorders>
              <w:bottom w:val="single" w:sz="8" w:space="0" w:color="000000"/>
            </w:tcBorders>
            <w:shd w:fill="CCEEFF" w:val="clear"/>
            <w:tcMar>
              <w:bottom w:w="28" w:type="dxa"/>
            </w:tcMar>
            <w:vAlign w:val="center"/>
          </w:tcPr>
          <w:p>
            <w:pPr>
              <w:pStyle w:val="TableContents"/>
              <w:bidi w:val="0"/>
              <w:spacing w:before="0" w:after="283"/>
              <w:jc w:val="right"/>
              <w:rPr/>
            </w:pPr>
            <w:r>
              <w:rPr/>
              <w:t>9</w:t>
            </w:r>
          </w:p>
        </w:tc>
        <w:tc>
          <w:tcPr>
            <w:tcW w:w="112" w:type="dxa"/>
            <w:tcBorders/>
            <w:shd w:fill="CCEEFF" w:val="clear"/>
            <w:vAlign w:val="center"/>
          </w:tcPr>
          <w:p>
            <w:pPr>
              <w:pStyle w:val="TableContents"/>
              <w:bidi w:val="0"/>
              <w:spacing w:before="0" w:after="283"/>
              <w:jc w:val="left"/>
              <w:rPr/>
            </w:pPr>
            <w:r>
              <w:rPr/>
              <w:t> </w:t>
            </w:r>
          </w:p>
        </w:tc>
      </w:tr>
      <w:tr>
        <w:trPr/>
        <w:tc>
          <w:tcPr>
            <w:tcW w:w="7740"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1,343</w:t>
            </w:r>
          </w:p>
        </w:tc>
        <w:tc>
          <w:tcPr>
            <w:tcW w:w="112" w:type="dxa"/>
            <w:tcBorders/>
            <w:shd w:fill="FFFFFF" w:val="clear"/>
            <w:vAlign w:val="center"/>
          </w:tcPr>
          <w:p>
            <w:pPr>
              <w:pStyle w:val="TableContents"/>
              <w:bidi w:val="0"/>
              <w:spacing w:before="0" w:after="283"/>
              <w:jc w:val="left"/>
              <w:rPr/>
            </w:pPr>
            <w:r>
              <w:rPr/>
              <w:t> </w:t>
            </w:r>
          </w:p>
        </w:tc>
      </w:tr>
      <w:tr>
        <w:trPr/>
        <w:tc>
          <w:tcPr>
            <w:tcW w:w="7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740" w:type="dxa"/>
            <w:tcBorders/>
            <w:shd w:fill="FFFFFF" w:val="clear"/>
            <w:vAlign w:val="center"/>
          </w:tcPr>
          <w:p>
            <w:pPr>
              <w:pStyle w:val="TableContents"/>
              <w:bidi w:val="0"/>
              <w:spacing w:before="0" w:after="283"/>
              <w:jc w:val="left"/>
              <w:rPr/>
            </w:pPr>
            <w:r>
              <w:rPr/>
              <w:t>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740" w:type="dxa"/>
            <w:tcBorders/>
            <w:shd w:fill="CCEEFF" w:val="clear"/>
            <w:vAlign w:val="center"/>
          </w:tcPr>
          <w:p>
            <w:pPr>
              <w:pStyle w:val="TableContents"/>
              <w:bidi w:val="0"/>
              <w:spacing w:before="0" w:after="283"/>
              <w:jc w:val="left"/>
              <w:rPr/>
            </w:pPr>
            <w:r>
              <w:rPr/>
              <w:t>Preferred stock, $0.001 par value; 5,000,000 shares authorized at June 30, 2026 and December 31, 2025; 6% Convertible Exchangeable preferred stock; 135,273 shares issued and outstanding at June 30, 2026 and December 31, 2025. Aggregate preference in liquidation of $1,717,967 as of June 30, 2026 and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740" w:type="dxa"/>
            <w:tcBorders/>
            <w:shd w:fill="FFFFFF" w:val="clear"/>
            <w:vAlign w:val="center"/>
          </w:tcPr>
          <w:p>
            <w:pPr>
              <w:pStyle w:val="TableContents"/>
              <w:bidi w:val="0"/>
              <w:spacing w:before="0" w:after="283"/>
              <w:jc w:val="left"/>
              <w:rPr/>
            </w:pPr>
            <w:r>
              <w:rPr/>
              <w:t>Series A convertible preferred stock, $0.001 par value; 264 shares issued and outstanding at June 30, 2026 and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740" w:type="dxa"/>
            <w:tcBorders/>
            <w:shd w:fill="FFFFFF" w:val="clear"/>
            <w:vAlign w:val="center"/>
          </w:tcPr>
          <w:p>
            <w:pPr>
              <w:pStyle w:val="TableContents"/>
              <w:bidi w:val="0"/>
              <w:spacing w:before="0" w:after="283"/>
              <w:jc w:val="left"/>
              <w:rPr/>
            </w:pPr>
            <w:r>
              <w:rPr/>
              <w:t>Preferred stock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740" w:type="dxa"/>
            <w:tcBorders/>
            <w:shd w:fill="CCEEFF" w:val="clear"/>
            <w:vAlign w:val="center"/>
          </w:tcPr>
          <w:p>
            <w:pPr>
              <w:pStyle w:val="TableContents"/>
              <w:bidi w:val="0"/>
              <w:spacing w:before="0" w:after="283"/>
              <w:jc w:val="left"/>
              <w:rPr/>
            </w:pPr>
            <w:r>
              <w:rPr/>
              <w:t>Common stock, $0.001 par value; 600,000,000 shares authorized at June 30, 2026 and December 31, 2025; 6,622,794 shares issued and outstanding at June 30, 2026 and 5,400,320 shares issued and outstanding at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5</w:t>
            </w:r>
          </w:p>
        </w:tc>
        <w:tc>
          <w:tcPr>
            <w:tcW w:w="112" w:type="dxa"/>
            <w:tcBorders/>
            <w:shd w:fill="CCEEFF" w:val="clear"/>
            <w:vAlign w:val="center"/>
          </w:tcPr>
          <w:p>
            <w:pPr>
              <w:pStyle w:val="TableContents"/>
              <w:bidi w:val="0"/>
              <w:spacing w:before="0" w:after="283"/>
              <w:jc w:val="left"/>
              <w:rPr/>
            </w:pPr>
            <w:r>
              <w:rPr/>
              <w:t> </w:t>
            </w:r>
          </w:p>
        </w:tc>
      </w:tr>
      <w:tr>
        <w:trPr/>
        <w:tc>
          <w:tcPr>
            <w:tcW w:w="7740"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462,166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461,287</w:t>
            </w:r>
          </w:p>
        </w:tc>
        <w:tc>
          <w:tcPr>
            <w:tcW w:w="112" w:type="dxa"/>
            <w:tcBorders/>
            <w:shd w:fill="FFFFFF" w:val="clear"/>
            <w:vAlign w:val="center"/>
          </w:tcPr>
          <w:p>
            <w:pPr>
              <w:pStyle w:val="TableContents"/>
              <w:bidi w:val="0"/>
              <w:spacing w:before="0" w:after="283"/>
              <w:jc w:val="left"/>
              <w:rPr/>
            </w:pPr>
            <w:r>
              <w:rPr/>
              <w:t> </w:t>
            </w:r>
          </w:p>
        </w:tc>
      </w:tr>
      <w:tr>
        <w:trPr/>
        <w:tc>
          <w:tcPr>
            <w:tcW w:w="7740"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(39</w:t>
            </w:r>
          </w:p>
        </w:tc>
        <w:tc>
          <w:tcPr>
            <w:tcW w:w="112" w:type="dxa"/>
            <w:tcBorders/>
            <w:shd w:fill="CCEEFF" w:val="clear"/>
            <w:vAlign w:val="center"/>
          </w:tcPr>
          <w:p>
            <w:pPr>
              <w:pStyle w:val="TableContents"/>
              <w:bidi w:val="0"/>
              <w:spacing w:before="0" w:after="283"/>
              <w:jc w:val="left"/>
              <w:rPr/>
            </w:pPr>
            <w:r>
              <w:rPr/>
              <w:t>)</w:t>
            </w:r>
          </w:p>
        </w:tc>
      </w:tr>
      <w:tr>
        <w:trPr/>
        <w:tc>
          <w:tcPr>
            <w:tcW w:w="7740"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(455,013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9" w:type="dxa"/>
            <w:tcBorders>
              <w:bottom w:val="single" w:sz="8" w:space="0" w:color="000000"/>
            </w:tcBorders>
            <w:shd w:fill="FFFFFF" w:val="clear"/>
            <w:tcMar>
              <w:bottom w:w="28" w:type="dxa"/>
            </w:tcMar>
            <w:vAlign w:val="center"/>
          </w:tcPr>
          <w:p>
            <w:pPr>
              <w:pStyle w:val="TableContents"/>
              <w:bidi w:val="0"/>
              <w:spacing w:before="0" w:after="283"/>
              <w:jc w:val="right"/>
              <w:rPr/>
            </w:pPr>
            <w:r>
              <w:rPr/>
              <w:t>(454,411</w:t>
            </w:r>
          </w:p>
        </w:tc>
        <w:tc>
          <w:tcPr>
            <w:tcW w:w="112" w:type="dxa"/>
            <w:tcBorders/>
            <w:shd w:fill="FFFFFF" w:val="clear"/>
            <w:vAlign w:val="center"/>
          </w:tcPr>
          <w:p>
            <w:pPr>
              <w:pStyle w:val="TableContents"/>
              <w:bidi w:val="0"/>
              <w:spacing w:before="0" w:after="283"/>
              <w:jc w:val="left"/>
              <w:rPr/>
            </w:pPr>
            <w:r>
              <w:rPr/>
              <w:t>)</w:t>
            </w:r>
          </w:p>
        </w:tc>
      </w:tr>
      <w:tr>
        <w:trPr/>
        <w:tc>
          <w:tcPr>
            <w:tcW w:w="7740" w:type="dxa"/>
            <w:tcBorders/>
            <w:shd w:fill="CCEEFF" w:val="clear"/>
            <w:vAlign w:val="center"/>
          </w:tcPr>
          <w:p>
            <w:pPr>
              <w:pStyle w:val="TableContents"/>
              <w:bidi w:val="0"/>
              <w:spacing w:before="0" w:after="283"/>
              <w:jc w:val="left"/>
              <w:rPr/>
            </w:pPr>
            <w:r>
              <w:rPr/>
              <w:t>Total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7,160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9" w:type="dxa"/>
            <w:tcBorders>
              <w:bottom w:val="single" w:sz="8" w:space="0" w:color="000000"/>
            </w:tcBorders>
            <w:shd w:fill="CCEEFF" w:val="clear"/>
            <w:tcMar>
              <w:bottom w:w="28" w:type="dxa"/>
            </w:tcMar>
            <w:vAlign w:val="center"/>
          </w:tcPr>
          <w:p>
            <w:pPr>
              <w:pStyle w:val="TableContents"/>
              <w:bidi w:val="0"/>
              <w:spacing w:before="0" w:after="283"/>
              <w:jc w:val="right"/>
              <w:rPr/>
            </w:pPr>
            <w:r>
              <w:rPr/>
              <w:t>6,842</w:t>
            </w:r>
          </w:p>
        </w:tc>
        <w:tc>
          <w:tcPr>
            <w:tcW w:w="112" w:type="dxa"/>
            <w:tcBorders/>
            <w:shd w:fill="CCEEFF" w:val="clear"/>
            <w:vAlign w:val="center"/>
          </w:tcPr>
          <w:p>
            <w:pPr>
              <w:pStyle w:val="TableContents"/>
              <w:bidi w:val="0"/>
              <w:spacing w:before="0" w:after="283"/>
              <w:jc w:val="left"/>
              <w:rPr/>
            </w:pPr>
            <w:r>
              <w:rPr/>
              <w:t> </w:t>
            </w:r>
          </w:p>
        </w:tc>
      </w:tr>
      <w:tr>
        <w:trPr/>
        <w:tc>
          <w:tcPr>
            <w:tcW w:w="7740" w:type="dxa"/>
            <w:tcBorders/>
            <w:shd w:fill="FFFFFF" w:val="clear"/>
            <w:vAlign w:val="center"/>
          </w:tcPr>
          <w:p>
            <w:pPr>
              <w:pStyle w:val="TableContents"/>
              <w:bidi w:val="0"/>
              <w:spacing w:before="0" w:after="283"/>
              <w:jc w:val="left"/>
              <w:rPr/>
            </w:pPr>
            <w:r>
              <w:rPr/>
              <w:t>Total liabilities and 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7,854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69" w:type="dxa"/>
            <w:tcBorders>
              <w:bottom w:val="double" w:sz="6" w:space="0" w:color="000000"/>
            </w:tcBorders>
            <w:shd w:fill="FFFFFF" w:val="clear"/>
            <w:tcMar>
              <w:bottom w:w="28" w:type="dxa"/>
            </w:tcMar>
            <w:vAlign w:val="center"/>
          </w:tcPr>
          <w:p>
            <w:pPr>
              <w:pStyle w:val="TableContents"/>
              <w:bidi w:val="0"/>
              <w:spacing w:before="0" w:after="283"/>
              <w:jc w:val="right"/>
              <w:rPr/>
            </w:pPr>
            <w:r>
              <w:rPr/>
              <w:t>8,185</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2" w:name="ns_004"/>
      <w:bookmarkEnd w:id="112"/>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 except share and per share amounts)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30"/>
        <w:gridCol w:w="60"/>
        <w:gridCol w:w="140"/>
        <w:gridCol w:w="980"/>
        <w:gridCol w:w="95"/>
        <w:gridCol w:w="60"/>
        <w:gridCol w:w="140"/>
        <w:gridCol w:w="980"/>
        <w:gridCol w:w="95"/>
        <w:gridCol w:w="60"/>
        <w:gridCol w:w="60"/>
        <w:gridCol w:w="980"/>
        <w:gridCol w:w="95"/>
        <w:gridCol w:w="60"/>
        <w:gridCol w:w="60"/>
        <w:gridCol w:w="800"/>
        <w:gridCol w:w="110"/>
      </w:tblGrid>
      <w:tr>
        <w:trPr/>
        <w:tc>
          <w:tcPr>
            <w:tcW w:w="5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5" w:type="dxa"/>
            <w:gridSpan w:val="6"/>
            <w:tcBorders/>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jc w:val="left"/>
              <w:rPr/>
            </w:pPr>
            <w:r>
              <w:rPr/>
              <w:t> </w:t>
            </w:r>
          </w:p>
        </w:tc>
      </w:tr>
      <w:tr>
        <w:trPr/>
        <w:tc>
          <w:tcPr>
            <w:tcW w:w="5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5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430"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30" w:type="dxa"/>
            <w:tcBorders/>
            <w:shd w:fill="FFFFFF" w:val="clear"/>
            <w:vAlign w:val="center"/>
          </w:tcPr>
          <w:p>
            <w:pPr>
              <w:pStyle w:val="TableContents"/>
              <w:bidi w:val="0"/>
              <w:spacing w:before="0" w:after="283"/>
              <w:jc w:val="left"/>
              <w:rPr/>
            </w:pPr>
            <w:r>
              <w:rPr/>
              <w:t>Product revenue - fire safety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1,114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430"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1,114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3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30"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43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1,249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886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5,463</w:t>
            </w:r>
          </w:p>
        </w:tc>
        <w:tc>
          <w:tcPr>
            <w:tcW w:w="110" w:type="dxa"/>
            <w:tcBorders/>
            <w:shd w:fill="CCEEFF" w:val="clear"/>
            <w:vAlign w:val="center"/>
          </w:tcPr>
          <w:p>
            <w:pPr>
              <w:pStyle w:val="TableContents"/>
              <w:bidi w:val="0"/>
              <w:spacing w:before="0" w:after="283"/>
              <w:jc w:val="left"/>
              <w:rPr/>
            </w:pPr>
            <w:r>
              <w:rPr/>
              <w:t> </w:t>
            </w:r>
          </w:p>
        </w:tc>
      </w:tr>
      <w:tr>
        <w:trPr/>
        <w:tc>
          <w:tcPr>
            <w:tcW w:w="543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1,249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1,778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5,463</w:t>
            </w:r>
          </w:p>
        </w:tc>
        <w:tc>
          <w:tcPr>
            <w:tcW w:w="110" w:type="dxa"/>
            <w:tcBorders/>
            <w:shd w:fill="FFFFFF" w:val="clear"/>
            <w:vAlign w:val="center"/>
          </w:tcPr>
          <w:p>
            <w:pPr>
              <w:pStyle w:val="TableContents"/>
              <w:bidi w:val="0"/>
              <w:spacing w:before="0" w:after="283"/>
              <w:jc w:val="left"/>
              <w:rPr/>
            </w:pPr>
            <w:r>
              <w:rPr/>
              <w:t> </w:t>
            </w:r>
          </w:p>
        </w:tc>
      </w:tr>
      <w:tr>
        <w:trPr/>
        <w:tc>
          <w:tcPr>
            <w:tcW w:w="5430" w:type="dxa"/>
            <w:tcBorders/>
            <w:shd w:fill="CCEEFF" w:val="clear"/>
            <w:vAlign w:val="center"/>
          </w:tcPr>
          <w:p>
            <w:pPr>
              <w:pStyle w:val="TableContents"/>
              <w:bidi w:val="0"/>
              <w:spacing w:before="0" w:after="283"/>
              <w:jc w:val="left"/>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(5,463</w:t>
            </w:r>
          </w:p>
        </w:tc>
        <w:tc>
          <w:tcPr>
            <w:tcW w:w="110" w:type="dxa"/>
            <w:tcBorders/>
            <w:shd w:fill="CCEEFF" w:val="clear"/>
            <w:vAlign w:val="center"/>
          </w:tcPr>
          <w:p>
            <w:pPr>
              <w:pStyle w:val="TableContents"/>
              <w:bidi w:val="0"/>
              <w:spacing w:before="0" w:after="283"/>
              <w:jc w:val="left"/>
              <w:rPr/>
            </w:pPr>
            <w:r>
              <w:rPr/>
              <w:t>)</w:t>
            </w:r>
          </w:p>
        </w:tc>
      </w:tr>
      <w:tr>
        <w:trPr/>
        <w:tc>
          <w:tcPr>
            <w:tcW w:w="5430" w:type="dxa"/>
            <w:tcBorders/>
            <w:shd w:fill="FFFFFF" w:val="clear"/>
            <w:vAlign w:val="center"/>
          </w:tcPr>
          <w:p>
            <w:pPr>
              <w:pStyle w:val="TableContents"/>
              <w:bidi w:val="0"/>
              <w:spacing w:before="0" w:after="283"/>
              <w:jc w:val="left"/>
              <w:rPr/>
            </w:pPr>
            <w:r>
              <w:rPr/>
              <w:t>Other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30" w:type="dxa"/>
            <w:tcBorders/>
            <w:shd w:fill="CCEEFF" w:val="clear"/>
            <w:vAlign w:val="center"/>
          </w:tcPr>
          <w:p>
            <w:pPr>
              <w:pStyle w:val="TableContents"/>
              <w:bidi w:val="0"/>
              <w:spacing w:before="0" w:after="283"/>
              <w:jc w:val="left"/>
              <w:rPr/>
            </w:pPr>
            <w:r>
              <w:rPr/>
              <w:t>Foreign exchange gains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w:t>
            </w:r>
          </w:p>
        </w:tc>
        <w:tc>
          <w:tcPr>
            <w:tcW w:w="110" w:type="dxa"/>
            <w:tcBorders/>
            <w:shd w:fill="CCEEFF" w:val="clear"/>
            <w:vAlign w:val="center"/>
          </w:tcPr>
          <w:p>
            <w:pPr>
              <w:pStyle w:val="TableContents"/>
              <w:bidi w:val="0"/>
              <w:spacing w:before="0" w:after="283"/>
              <w:jc w:val="left"/>
              <w:rPr/>
            </w:pPr>
            <w:r>
              <w:rPr/>
              <w:t>)</w:t>
            </w:r>
          </w:p>
        </w:tc>
      </w:tr>
      <w:tr>
        <w:trPr/>
        <w:tc>
          <w:tcPr>
            <w:tcW w:w="5430" w:type="dxa"/>
            <w:tcBorders/>
            <w:shd w:fill="FFFFFF" w:val="clear"/>
            <w:vAlign w:val="center"/>
          </w:tcPr>
          <w:p>
            <w:pPr>
              <w:pStyle w:val="TableContents"/>
              <w:bidi w:val="0"/>
              <w:spacing w:before="0" w:after="283"/>
              <w:jc w:val="left"/>
              <w:rPr/>
            </w:pPr>
            <w:r>
              <w:rPr/>
              <w:t>Interest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w:t>
            </w:r>
          </w:p>
        </w:tc>
        <w:tc>
          <w:tcPr>
            <w:tcW w:w="110" w:type="dxa"/>
            <w:tcBorders/>
            <w:shd w:fill="FFFFFF" w:val="clear"/>
            <w:vAlign w:val="center"/>
          </w:tcPr>
          <w:p>
            <w:pPr>
              <w:pStyle w:val="TableContents"/>
              <w:bidi w:val="0"/>
              <w:spacing w:before="0" w:after="283"/>
              <w:jc w:val="left"/>
              <w:rPr/>
            </w:pPr>
            <w:r>
              <w:rPr/>
              <w:t> </w:t>
            </w:r>
          </w:p>
        </w:tc>
      </w:tr>
      <w:tr>
        <w:trPr/>
        <w:tc>
          <w:tcPr>
            <w:tcW w:w="5430"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12</w:t>
            </w:r>
          </w:p>
        </w:tc>
        <w:tc>
          <w:tcPr>
            <w:tcW w:w="110" w:type="dxa"/>
            <w:tcBorders/>
            <w:shd w:fill="CCEEFF" w:val="clear"/>
            <w:vAlign w:val="center"/>
          </w:tcPr>
          <w:p>
            <w:pPr>
              <w:pStyle w:val="TableContents"/>
              <w:bidi w:val="0"/>
              <w:spacing w:before="0" w:after="283"/>
              <w:jc w:val="left"/>
              <w:rPr/>
            </w:pPr>
            <w:r>
              <w:rPr/>
              <w:t> </w:t>
            </w:r>
          </w:p>
        </w:tc>
      </w:tr>
      <w:tr>
        <w:trPr/>
        <w:tc>
          <w:tcPr>
            <w:tcW w:w="5430" w:type="dxa"/>
            <w:tcBorders/>
            <w:shd w:fill="FFFFFF" w:val="clear"/>
            <w:vAlign w:val="center"/>
          </w:tcPr>
          <w:p>
            <w:pPr>
              <w:pStyle w:val="TableContents"/>
              <w:bidi w:val="0"/>
              <w:spacing w:before="0" w:after="283"/>
              <w:jc w:val="left"/>
              <w:rPr/>
            </w:pPr>
            <w:r>
              <w:rPr/>
              <w:t>Total 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9</w:t>
            </w:r>
          </w:p>
        </w:tc>
        <w:tc>
          <w:tcPr>
            <w:tcW w:w="110" w:type="dxa"/>
            <w:tcBorders/>
            <w:shd w:fill="FFFFFF" w:val="clear"/>
            <w:vAlign w:val="center"/>
          </w:tcPr>
          <w:p>
            <w:pPr>
              <w:pStyle w:val="TableContents"/>
              <w:bidi w:val="0"/>
              <w:spacing w:before="0" w:after="283"/>
              <w:jc w:val="left"/>
              <w:rPr/>
            </w:pPr>
            <w:r>
              <w:rPr/>
              <w:t> </w:t>
            </w:r>
          </w:p>
        </w:tc>
      </w:tr>
      <w:tr>
        <w:trPr/>
        <w:tc>
          <w:tcPr>
            <w:tcW w:w="5430" w:type="dxa"/>
            <w:tcBorders/>
            <w:shd w:fill="CCEEFF" w:val="clear"/>
            <w:vAlign w:val="center"/>
          </w:tcPr>
          <w:p>
            <w:pPr>
              <w:pStyle w:val="TableContents"/>
              <w:bidi w:val="0"/>
              <w:spacing w:before="0" w:after="283"/>
              <w:jc w:val="left"/>
              <w:rPr>
                <w:b/>
              </w:rPr>
            </w:pPr>
            <w:r>
              <w:rPr>
                <w:b/>
              </w:rPr>
              <w:t>Loss from continuing operations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(5,454</w:t>
            </w:r>
          </w:p>
        </w:tc>
        <w:tc>
          <w:tcPr>
            <w:tcW w:w="110" w:type="dxa"/>
            <w:tcBorders/>
            <w:shd w:fill="CCEEFF" w:val="clear"/>
            <w:vAlign w:val="center"/>
          </w:tcPr>
          <w:p>
            <w:pPr>
              <w:pStyle w:val="TableContents"/>
              <w:bidi w:val="0"/>
              <w:spacing w:before="0" w:after="283"/>
              <w:jc w:val="left"/>
              <w:rPr/>
            </w:pPr>
            <w:r>
              <w:rPr/>
              <w:t>)</w:t>
            </w:r>
          </w:p>
        </w:tc>
      </w:tr>
      <w:tr>
        <w:trPr/>
        <w:tc>
          <w:tcPr>
            <w:tcW w:w="5430" w:type="dxa"/>
            <w:tcBorders/>
            <w:shd w:fill="FFFFFF" w:val="clear"/>
            <w:vAlign w:val="center"/>
          </w:tcPr>
          <w:p>
            <w:pPr>
              <w:pStyle w:val="TableContents"/>
              <w:bidi w:val="0"/>
              <w:spacing w:before="0" w:after="283"/>
              <w:jc w:val="left"/>
              <w:rPr/>
            </w:pPr>
            <w:r>
              <w:rPr/>
              <w:t>Income tax provision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110" w:type="dxa"/>
            <w:tcBorders/>
            <w:shd w:fill="FFFFFF" w:val="clear"/>
            <w:vAlign w:val="center"/>
          </w:tcPr>
          <w:p>
            <w:pPr>
              <w:pStyle w:val="TableContents"/>
              <w:bidi w:val="0"/>
              <w:spacing w:before="0" w:after="283"/>
              <w:jc w:val="left"/>
              <w:rPr/>
            </w:pPr>
            <w:r>
              <w:rPr/>
              <w:t>)</w:t>
            </w:r>
          </w:p>
        </w:tc>
      </w:tr>
      <w:tr>
        <w:trPr/>
        <w:tc>
          <w:tcPr>
            <w:tcW w:w="5430" w:type="dxa"/>
            <w:tcBorders/>
            <w:shd w:fill="CCEEFF" w:val="clear"/>
            <w:vAlign w:val="center"/>
          </w:tcPr>
          <w:p>
            <w:pPr>
              <w:pStyle w:val="TableContents"/>
              <w:bidi w:val="0"/>
              <w:spacing w:before="0" w:after="283"/>
              <w:jc w:val="left"/>
              <w:rPr>
                <w:b/>
              </w:rPr>
            </w:pPr>
            <w:r>
              <w:rPr>
                <w:b/>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(5,456</w:t>
            </w:r>
          </w:p>
        </w:tc>
        <w:tc>
          <w:tcPr>
            <w:tcW w:w="110" w:type="dxa"/>
            <w:tcBorders/>
            <w:shd w:fill="CCEEFF" w:val="clear"/>
            <w:vAlign w:val="center"/>
          </w:tcPr>
          <w:p>
            <w:pPr>
              <w:pStyle w:val="TableContents"/>
              <w:bidi w:val="0"/>
              <w:spacing w:before="0" w:after="283"/>
              <w:jc w:val="left"/>
              <w:rPr/>
            </w:pPr>
            <w:r>
              <w:rPr/>
              <w:t>)</w:t>
            </w:r>
          </w:p>
        </w:tc>
      </w:tr>
      <w:tr>
        <w:trPr/>
        <w:tc>
          <w:tcPr>
            <w:tcW w:w="5430" w:type="dxa"/>
            <w:tcBorders/>
            <w:shd w:fill="FFFFFF" w:val="clear"/>
            <w:vAlign w:val="center"/>
          </w:tcPr>
          <w:p>
            <w:pPr>
              <w:pStyle w:val="TableContents"/>
              <w:bidi w:val="0"/>
              <w:spacing w:before="0" w:after="283"/>
              <w:jc w:val="left"/>
              <w:rPr>
                <w:b/>
              </w:rPr>
            </w:pPr>
            <w:r>
              <w:rPr>
                <w:b/>
              </w:rPr>
              <w:t>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30" w:type="dxa"/>
            <w:tcBorders/>
            <w:shd w:fill="CCEEFF" w:val="clear"/>
            <w:vAlign w:val="center"/>
          </w:tcPr>
          <w:p>
            <w:pPr>
              <w:pStyle w:val="TableContents"/>
              <w:bidi w:val="0"/>
              <w:spacing w:before="0" w:after="283"/>
              <w:jc w:val="left"/>
              <w:rPr/>
            </w:pPr>
            <w:r>
              <w:rPr/>
              <w:t>Operating losses from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(890</w:t>
            </w:r>
          </w:p>
        </w:tc>
        <w:tc>
          <w:tcPr>
            <w:tcW w:w="110" w:type="dxa"/>
            <w:tcBorders/>
            <w:shd w:fill="CCEEFF" w:val="clear"/>
            <w:vAlign w:val="center"/>
          </w:tcPr>
          <w:p>
            <w:pPr>
              <w:pStyle w:val="TableContents"/>
              <w:bidi w:val="0"/>
              <w:spacing w:before="0" w:after="283"/>
              <w:jc w:val="left"/>
              <w:rPr/>
            </w:pPr>
            <w:r>
              <w:rPr/>
              <w:t>)</w:t>
            </w:r>
          </w:p>
        </w:tc>
      </w:tr>
      <w:tr>
        <w:trPr/>
        <w:tc>
          <w:tcPr>
            <w:tcW w:w="5430" w:type="dxa"/>
            <w:tcBorders/>
            <w:shd w:fill="FFFFFF" w:val="clear"/>
            <w:vAlign w:val="center"/>
          </w:tcPr>
          <w:p>
            <w:pPr>
              <w:pStyle w:val="TableContents"/>
              <w:bidi w:val="0"/>
              <w:spacing w:before="0" w:after="283"/>
              <w:jc w:val="left"/>
              <w:rPr/>
            </w:pPr>
            <w:r>
              <w:rPr/>
              <w:t>Gain on deconsolidation of subsidiary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4,947</w:t>
            </w:r>
          </w:p>
        </w:tc>
        <w:tc>
          <w:tcPr>
            <w:tcW w:w="110" w:type="dxa"/>
            <w:tcBorders/>
            <w:shd w:fill="FFFFFF" w:val="clear"/>
            <w:vAlign w:val="center"/>
          </w:tcPr>
          <w:p>
            <w:pPr>
              <w:pStyle w:val="TableContents"/>
              <w:bidi w:val="0"/>
              <w:spacing w:before="0" w:after="283"/>
              <w:jc w:val="left"/>
              <w:rPr/>
            </w:pPr>
            <w:r>
              <w:rPr/>
              <w:t> </w:t>
            </w:r>
          </w:p>
        </w:tc>
      </w:tr>
      <w:tr>
        <w:trPr/>
        <w:tc>
          <w:tcPr>
            <w:tcW w:w="5430" w:type="dxa"/>
            <w:tcBorders/>
            <w:shd w:fill="CCEEFF" w:val="clear"/>
            <w:vAlign w:val="center"/>
          </w:tcPr>
          <w:p>
            <w:pPr>
              <w:pStyle w:val="TableContents"/>
              <w:bidi w:val="0"/>
              <w:spacing w:before="0" w:after="283"/>
              <w:jc w:val="left"/>
              <w:rPr>
                <w:b/>
              </w:rPr>
            </w:pPr>
            <w:r>
              <w:rPr>
                <w:b/>
              </w:rPr>
              <w:t>Net income from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4,057</w:t>
            </w:r>
          </w:p>
        </w:tc>
        <w:tc>
          <w:tcPr>
            <w:tcW w:w="110" w:type="dxa"/>
            <w:tcBorders/>
            <w:shd w:fill="CCEEFF" w:val="clear"/>
            <w:vAlign w:val="center"/>
          </w:tcPr>
          <w:p>
            <w:pPr>
              <w:pStyle w:val="TableContents"/>
              <w:bidi w:val="0"/>
              <w:spacing w:before="0" w:after="283"/>
              <w:jc w:val="left"/>
              <w:rPr/>
            </w:pPr>
            <w:r>
              <w:rPr/>
              <w:t> </w:t>
            </w:r>
          </w:p>
        </w:tc>
      </w:tr>
      <w:tr>
        <w:trPr/>
        <w:tc>
          <w:tcPr>
            <w:tcW w:w="543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(1,399</w:t>
            </w:r>
          </w:p>
        </w:tc>
        <w:tc>
          <w:tcPr>
            <w:tcW w:w="110" w:type="dxa"/>
            <w:tcBorders/>
            <w:shd w:fill="FFFFFF" w:val="clear"/>
            <w:vAlign w:val="center"/>
          </w:tcPr>
          <w:p>
            <w:pPr>
              <w:pStyle w:val="TableContents"/>
              <w:bidi w:val="0"/>
              <w:spacing w:before="0" w:after="283"/>
              <w:jc w:val="left"/>
              <w:rPr/>
            </w:pPr>
            <w:r>
              <w:rPr/>
              <w:t>)</w:t>
            </w:r>
          </w:p>
        </w:tc>
      </w:tr>
      <w:tr>
        <w:trPr/>
        <w:tc>
          <w:tcPr>
            <w:tcW w:w="5430" w:type="dxa"/>
            <w:tcBorders/>
            <w:shd w:fill="CCEEFF" w:val="clear"/>
            <w:vAlign w:val="center"/>
          </w:tcPr>
          <w:p>
            <w:pPr>
              <w:pStyle w:val="TableContents"/>
              <w:bidi w:val="0"/>
              <w:spacing w:before="0" w:after="283"/>
              <w:jc w:val="left"/>
              <w:rPr/>
            </w:pPr>
            <w:r>
              <w:rPr/>
              <w:t>Dividend on convertible exchangeable preferred shares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(20</w:t>
            </w:r>
          </w:p>
        </w:tc>
        <w:tc>
          <w:tcPr>
            <w:tcW w:w="110" w:type="dxa"/>
            <w:tcBorders/>
            <w:shd w:fill="CCEEFF" w:val="clear"/>
            <w:vAlign w:val="center"/>
          </w:tcPr>
          <w:p>
            <w:pPr>
              <w:pStyle w:val="TableContents"/>
              <w:bidi w:val="0"/>
              <w:spacing w:before="0" w:after="283"/>
              <w:jc w:val="left"/>
              <w:rPr/>
            </w:pPr>
            <w:r>
              <w:rPr/>
              <w:t>)</w:t>
            </w:r>
          </w:p>
        </w:tc>
      </w:tr>
      <w:tr>
        <w:trPr/>
        <w:tc>
          <w:tcPr>
            <w:tcW w:w="5430" w:type="dxa"/>
            <w:tcBorders/>
            <w:shd w:fill="FFFFFF" w:val="clear"/>
            <w:vAlign w:val="center"/>
          </w:tcPr>
          <w:p>
            <w:pPr>
              <w:pStyle w:val="TableContents"/>
              <w:bidi w:val="0"/>
              <w:spacing w:before="0" w:after="283"/>
              <w:jc w:val="left"/>
              <w:rPr>
                <w:b/>
              </w:rPr>
            </w:pPr>
            <w:r>
              <w:rPr>
                <w:b/>
              </w:rPr>
              <w:t>Net loss applicable to common shareholders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(425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(1,338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(642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(1,419</w:t>
            </w:r>
          </w:p>
        </w:tc>
        <w:tc>
          <w:tcPr>
            <w:tcW w:w="110" w:type="dxa"/>
            <w:tcBorders/>
            <w:shd w:fill="FFFFFF" w:val="clear"/>
            <w:vAlign w:val="center"/>
          </w:tcPr>
          <w:p>
            <w:pPr>
              <w:pStyle w:val="TableContents"/>
              <w:bidi w:val="0"/>
              <w:spacing w:before="0" w:after="283"/>
              <w:jc w:val="left"/>
              <w:rPr/>
            </w:pPr>
            <w:r>
              <w:rPr/>
              <w:t>)</w:t>
            </w:r>
          </w:p>
        </w:tc>
      </w:tr>
      <w:tr>
        <w:trPr/>
        <w:tc>
          <w:tcPr>
            <w:tcW w:w="5430" w:type="dxa"/>
            <w:tcBorders/>
            <w:shd w:fill="CCEEFF" w:val="clear"/>
            <w:vAlign w:val="center"/>
          </w:tcPr>
          <w:p>
            <w:pPr>
              <w:pStyle w:val="TableContents"/>
              <w:bidi w:val="0"/>
              <w:spacing w:before="0" w:after="283"/>
              <w:jc w:val="left"/>
              <w:rPr>
                <w:b/>
              </w:rPr>
            </w:pPr>
            <w:r>
              <w:rPr>
                <w:b/>
              </w:rPr>
              <w:t>Basic and diluted earnings per common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30" w:type="dxa"/>
            <w:tcBorders/>
            <w:shd w:fill="FFFFFF" w:val="clear"/>
            <w:vAlign w:val="center"/>
          </w:tcPr>
          <w:p>
            <w:pPr>
              <w:pStyle w:val="TableContents"/>
              <w:bidi w:val="0"/>
              <w:spacing w:before="0" w:after="283"/>
              <w:jc w:val="left"/>
              <w:rPr/>
            </w:pPr>
            <w:r>
              <w:rPr/>
              <w:t>Net loss per share, continuing operations – basic and diluted (common shareholders)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(0.08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(0.93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(0.12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(1.62</w:t>
            </w:r>
          </w:p>
        </w:tc>
        <w:tc>
          <w:tcPr>
            <w:tcW w:w="110" w:type="dxa"/>
            <w:tcBorders/>
            <w:shd w:fill="FFFFFF" w:val="clear"/>
            <w:vAlign w:val="center"/>
          </w:tcPr>
          <w:p>
            <w:pPr>
              <w:pStyle w:val="TableContents"/>
              <w:bidi w:val="0"/>
              <w:spacing w:before="0" w:after="283"/>
              <w:jc w:val="left"/>
              <w:rPr/>
            </w:pPr>
            <w:r>
              <w:rPr/>
              <w:t>)</w:t>
            </w:r>
          </w:p>
        </w:tc>
      </w:tr>
      <w:tr>
        <w:trPr/>
        <w:tc>
          <w:tcPr>
            <w:tcW w:w="5430" w:type="dxa"/>
            <w:tcBorders/>
            <w:shd w:fill="CCEEFF" w:val="clear"/>
            <w:vAlign w:val="center"/>
          </w:tcPr>
          <w:p>
            <w:pPr>
              <w:pStyle w:val="TableContents"/>
              <w:bidi w:val="0"/>
              <w:spacing w:before="0" w:after="283"/>
              <w:jc w:val="left"/>
              <w:rPr/>
            </w:pPr>
            <w:r>
              <w:rPr/>
              <w:t>Net loss per share, discontinued operations – basic and diluted (common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(0.05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4.62</w:t>
            </w:r>
          </w:p>
        </w:tc>
        <w:tc>
          <w:tcPr>
            <w:tcW w:w="110" w:type="dxa"/>
            <w:tcBorders/>
            <w:shd w:fill="CCEEFF" w:val="clear"/>
            <w:vAlign w:val="center"/>
          </w:tcPr>
          <w:p>
            <w:pPr>
              <w:pStyle w:val="TableContents"/>
              <w:bidi w:val="0"/>
              <w:spacing w:before="0" w:after="283"/>
              <w:jc w:val="left"/>
              <w:rPr/>
            </w:pPr>
            <w:r>
              <w:rPr/>
              <w:t> </w:t>
            </w:r>
          </w:p>
        </w:tc>
      </w:tr>
      <w:tr>
        <w:trPr/>
        <w:tc>
          <w:tcPr>
            <w:tcW w:w="5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30" w:type="dxa"/>
            <w:tcBorders/>
            <w:shd w:fill="CCEEFF" w:val="clear"/>
            <w:vAlign w:val="center"/>
          </w:tcPr>
          <w:p>
            <w:pPr>
              <w:pStyle w:val="TableContents"/>
              <w:bidi w:val="0"/>
              <w:spacing w:before="0" w:after="283"/>
              <w:jc w:val="left"/>
              <w:rPr/>
            </w:pPr>
            <w:r>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5,598,701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1,360,626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5,568,424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878,095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3" w:name="ns_005"/>
      <w:bookmarkEnd w:id="113"/>
      <w:r>
        <w:rPr>
          <w:rFonts w:ascii="Times New Roman;Times;Serif" w:hAnsi="Times New Roman;Times;Serif"/>
          <w:b/>
          <w:i w:val="false"/>
          <w:caps w:val="false"/>
          <w:smallCaps w:val="false"/>
          <w:sz w:val="20"/>
        </w:rPr>
        <w:t>CONSOLIDATED STATEMENTS OF COMPREHENSIVE LOSS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20"/>
        <w:gridCol w:w="60"/>
        <w:gridCol w:w="199"/>
        <w:gridCol w:w="650"/>
        <w:gridCol w:w="135"/>
        <w:gridCol w:w="84"/>
        <w:gridCol w:w="199"/>
        <w:gridCol w:w="907"/>
        <w:gridCol w:w="95"/>
        <w:gridCol w:w="60"/>
        <w:gridCol w:w="82"/>
        <w:gridCol w:w="628"/>
        <w:gridCol w:w="130"/>
        <w:gridCol w:w="82"/>
        <w:gridCol w:w="82"/>
        <w:gridCol w:w="877"/>
        <w:gridCol w:w="115"/>
      </w:tblGrid>
      <w:tr>
        <w:trPr/>
        <w:tc>
          <w:tcPr>
            <w:tcW w:w="5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5"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9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p>
        </w:tc>
      </w:tr>
      <w:tr>
        <w:trPr/>
        <w:tc>
          <w:tcPr>
            <w:tcW w:w="5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4"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1" w:type="dxa"/>
            <w:gridSpan w:val="6"/>
            <w:tcBorders/>
            <w:vAlign w:val="center"/>
          </w:tcPr>
          <w:p>
            <w:pPr>
              <w:pStyle w:val="TableContents"/>
              <w:bidi w:val="0"/>
              <w:spacing w:before="0" w:after="283"/>
              <w:jc w:val="center"/>
              <w:rPr>
                <w:b/>
              </w:rPr>
            </w:pPr>
            <w:r>
              <w:rPr>
                <w:b/>
              </w:rPr>
              <w:t>Six Months Ended</w:t>
            </w:r>
          </w:p>
        </w:tc>
        <w:tc>
          <w:tcPr>
            <w:tcW w:w="115" w:type="dxa"/>
            <w:tcBorders/>
            <w:vAlign w:val="center"/>
          </w:tcPr>
          <w:p>
            <w:pPr>
              <w:pStyle w:val="TableContents"/>
              <w:bidi w:val="0"/>
              <w:spacing w:before="0" w:after="283"/>
              <w:jc w:val="left"/>
              <w:rPr/>
            </w:pPr>
            <w:r>
              <w:rPr/>
              <w:t> </w:t>
            </w:r>
          </w:p>
        </w:tc>
      </w:tr>
      <w:tr>
        <w:trPr/>
        <w:tc>
          <w:tcPr>
            <w:tcW w:w="5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15" w:type="dxa"/>
            <w:tcBorders/>
            <w:vAlign w:val="center"/>
          </w:tcPr>
          <w:p>
            <w:pPr>
              <w:pStyle w:val="TableContents"/>
              <w:bidi w:val="0"/>
              <w:spacing w:before="0" w:after="283"/>
              <w:jc w:val="left"/>
              <w:rPr/>
            </w:pPr>
            <w:r>
              <w:rPr/>
              <w:t> </w:t>
            </w:r>
          </w:p>
        </w:tc>
      </w:tr>
      <w:tr>
        <w:trPr/>
        <w:tc>
          <w:tcPr>
            <w:tcW w:w="5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5"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9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p>
        </w:tc>
      </w:tr>
      <w:tr>
        <w:trPr/>
        <w:tc>
          <w:tcPr>
            <w:tcW w:w="582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650" w:type="dxa"/>
            <w:tcBorders/>
            <w:shd w:fill="CCEEFF" w:val="clear"/>
            <w:vAlign w:val="center"/>
          </w:tcPr>
          <w:p>
            <w:pPr>
              <w:pStyle w:val="TableContents"/>
              <w:bidi w:val="0"/>
              <w:spacing w:before="0" w:after="283"/>
              <w:jc w:val="right"/>
              <w:rPr/>
            </w:pPr>
            <w:r>
              <w:rPr/>
              <w:t>(405</w:t>
            </w:r>
          </w:p>
        </w:tc>
        <w:tc>
          <w:tcPr>
            <w:tcW w:w="135" w:type="dxa"/>
            <w:tcBorders/>
            <w:shd w:fill="CCEEFF" w:val="clear"/>
            <w:vAlign w:val="center"/>
          </w:tcPr>
          <w:p>
            <w:pPr>
              <w:pStyle w:val="TableContents"/>
              <w:bidi w:val="0"/>
              <w:spacing w:before="0" w:after="283"/>
              <w:jc w:val="left"/>
              <w:rPr/>
            </w:pPr>
            <w:r>
              <w:rPr/>
              <w:t>)</w:t>
            </w:r>
          </w:p>
        </w:tc>
        <w:tc>
          <w:tcPr>
            <w:tcW w:w="84"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907" w:type="dxa"/>
            <w:tcBorders/>
            <w:shd w:fill="CCEEFF" w:val="clear"/>
            <w:vAlign w:val="center"/>
          </w:tcPr>
          <w:p>
            <w:pPr>
              <w:pStyle w:val="TableContents"/>
              <w:bidi w:val="0"/>
              <w:spacing w:before="0" w:after="283"/>
              <w:jc w:val="right"/>
              <w:rPr/>
            </w:pPr>
            <w:r>
              <w:rPr/>
              <w:t>(1,318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(602</w:t>
            </w:r>
          </w:p>
        </w:tc>
        <w:tc>
          <w:tcPr>
            <w:tcW w:w="130" w:type="dxa"/>
            <w:tcBorders/>
            <w:shd w:fill="CCEEFF" w:val="clear"/>
            <w:vAlign w:val="center"/>
          </w:tcPr>
          <w:p>
            <w:pPr>
              <w:pStyle w:val="TableContents"/>
              <w:bidi w:val="0"/>
              <w:spacing w:before="0" w:after="283"/>
              <w:jc w:val="lef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(1,399</w:t>
            </w:r>
          </w:p>
        </w:tc>
        <w:tc>
          <w:tcPr>
            <w:tcW w:w="115" w:type="dxa"/>
            <w:tcBorders/>
            <w:shd w:fill="CCEEFF" w:val="clear"/>
            <w:vAlign w:val="center"/>
          </w:tcPr>
          <w:p>
            <w:pPr>
              <w:pStyle w:val="TableContents"/>
              <w:bidi w:val="0"/>
              <w:spacing w:before="0" w:after="283"/>
              <w:jc w:val="left"/>
              <w:rPr/>
            </w:pPr>
            <w:r>
              <w:rPr/>
              <w:t>)</w:t>
            </w:r>
          </w:p>
        </w:tc>
      </w:tr>
      <w:tr>
        <w:trPr/>
        <w:tc>
          <w:tcPr>
            <w:tcW w:w="5820" w:type="dxa"/>
            <w:tcBorders/>
            <w:shd w:fill="FFFFFF" w:val="clear"/>
            <w:vAlign w:val="center"/>
          </w:tcPr>
          <w:p>
            <w:pPr>
              <w:pStyle w:val="TableContents"/>
              <w:bidi w:val="0"/>
              <w:spacing w:before="0" w:after="283"/>
              <w:jc w:val="left"/>
              <w:rPr/>
            </w:pPr>
            <w:r>
              <w:rPr/>
              <w:t>Translation adjustment</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30</w:t>
            </w:r>
          </w:p>
        </w:tc>
        <w:tc>
          <w:tcPr>
            <w:tcW w:w="13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pPr>
            <w:r>
              <w:rPr/>
              <w:t>39</w:t>
            </w:r>
          </w:p>
        </w:tc>
        <w:tc>
          <w:tcPr>
            <w:tcW w:w="13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3,271</w:t>
            </w:r>
          </w:p>
        </w:tc>
        <w:tc>
          <w:tcPr>
            <w:tcW w:w="115" w:type="dxa"/>
            <w:tcBorders/>
            <w:shd w:fill="FFFFFF" w:val="clear"/>
            <w:vAlign w:val="center"/>
          </w:tcPr>
          <w:p>
            <w:pPr>
              <w:pStyle w:val="TableContents"/>
              <w:bidi w:val="0"/>
              <w:spacing w:before="0" w:after="283"/>
              <w:jc w:val="left"/>
              <w:rPr/>
            </w:pPr>
            <w:r>
              <w:rPr/>
              <w:t> </w:t>
            </w:r>
          </w:p>
        </w:tc>
      </w:tr>
      <w:tr>
        <w:trPr/>
        <w:tc>
          <w:tcPr>
            <w:tcW w:w="5820" w:type="dxa"/>
            <w:tcBorders/>
            <w:shd w:fill="CCEEFF" w:val="clear"/>
            <w:vAlign w:val="center"/>
          </w:tcPr>
          <w:p>
            <w:pPr>
              <w:pStyle w:val="TableContents"/>
              <w:bidi w:val="0"/>
              <w:spacing w:before="0" w:after="283"/>
              <w:jc w:val="left"/>
              <w:rPr/>
            </w:pPr>
            <w:r>
              <w:rPr/>
              <w:t>Unrealized foreign exchange gain (loss) on intercompany loans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 </w:t>
            </w:r>
          </w:p>
        </w:tc>
        <w:tc>
          <w:tcPr>
            <w:tcW w:w="1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(2,380</w:t>
            </w:r>
          </w:p>
        </w:tc>
        <w:tc>
          <w:tcPr>
            <w:tcW w:w="115" w:type="dxa"/>
            <w:tcBorders/>
            <w:shd w:fill="CCEEFF" w:val="clear"/>
            <w:vAlign w:val="center"/>
          </w:tcPr>
          <w:p>
            <w:pPr>
              <w:pStyle w:val="TableContents"/>
              <w:bidi w:val="0"/>
              <w:spacing w:before="0" w:after="283"/>
              <w:jc w:val="left"/>
              <w:rPr/>
            </w:pPr>
            <w:r>
              <w:rPr/>
              <w:t>)</w:t>
            </w:r>
          </w:p>
        </w:tc>
      </w:tr>
      <w:tr>
        <w:trPr/>
        <w:tc>
          <w:tcPr>
            <w:tcW w:w="5820" w:type="dxa"/>
            <w:tcBorders/>
            <w:shd w:fill="FFFFFF" w:val="clear"/>
            <w:vAlign w:val="center"/>
          </w:tcPr>
          <w:p>
            <w:pPr>
              <w:pStyle w:val="TableContents"/>
              <w:bidi w:val="0"/>
              <w:spacing w:before="0" w:after="283"/>
              <w:jc w:val="left"/>
              <w:rPr>
                <w:b/>
              </w:rPr>
            </w:pPr>
            <w:r>
              <w:rPr>
                <w:b/>
              </w:rPr>
              <w:t>Comprehensive loss</w:t>
            </w:r>
          </w:p>
        </w:tc>
        <w:tc>
          <w:tcPr>
            <w:tcW w:w="60"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pPr>
            <w:r>
              <w:rPr/>
              <w:t>(375</w:t>
            </w:r>
          </w:p>
        </w:tc>
        <w:tc>
          <w:tcPr>
            <w:tcW w:w="135" w:type="dxa"/>
            <w:tcBorders/>
            <w:shd w:fill="FFFFFF" w:val="clear"/>
            <w:vAlign w:val="center"/>
          </w:tcPr>
          <w:p>
            <w:pPr>
              <w:pStyle w:val="TableContents"/>
              <w:bidi w:val="0"/>
              <w:spacing w:before="0" w:after="283"/>
              <w:jc w:val="left"/>
              <w:rPr/>
            </w:pPr>
            <w:r>
              <w:rPr/>
              <w:t>)</w:t>
            </w:r>
          </w:p>
        </w:tc>
        <w:tc>
          <w:tcPr>
            <w:tcW w:w="84"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07" w:type="dxa"/>
            <w:tcBorders>
              <w:bottom w:val="double" w:sz="6" w:space="0" w:color="000000"/>
            </w:tcBorders>
            <w:shd w:fill="FFFFFF" w:val="clear"/>
            <w:tcMar>
              <w:bottom w:w="28" w:type="dxa"/>
            </w:tcMar>
            <w:vAlign w:val="center"/>
          </w:tcPr>
          <w:p>
            <w:pPr>
              <w:pStyle w:val="TableContents"/>
              <w:bidi w:val="0"/>
              <w:spacing w:before="0" w:after="283"/>
              <w:jc w:val="right"/>
              <w:rPr/>
            </w:pPr>
            <w:r>
              <w:rPr/>
              <w:t>(1,318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28" w:type="dxa"/>
            <w:tcBorders>
              <w:bottom w:val="double" w:sz="6" w:space="0" w:color="000000"/>
            </w:tcBorders>
            <w:shd w:fill="FFFFFF" w:val="clear"/>
            <w:tcMar>
              <w:bottom w:w="28" w:type="dxa"/>
            </w:tcMar>
            <w:vAlign w:val="center"/>
          </w:tcPr>
          <w:p>
            <w:pPr>
              <w:pStyle w:val="TableContents"/>
              <w:bidi w:val="0"/>
              <w:spacing w:before="0" w:after="283"/>
              <w:jc w:val="right"/>
              <w:rPr/>
            </w:pPr>
            <w:r>
              <w:rPr/>
              <w:t>(563</w:t>
            </w:r>
          </w:p>
        </w:tc>
        <w:tc>
          <w:tcPr>
            <w:tcW w:w="130" w:type="dxa"/>
            <w:tcBorders/>
            <w:shd w:fill="FFFFFF" w:val="clear"/>
            <w:vAlign w:val="center"/>
          </w:tcPr>
          <w:p>
            <w:pPr>
              <w:pStyle w:val="TableContents"/>
              <w:bidi w:val="0"/>
              <w:spacing w:before="0" w:after="283"/>
              <w:jc w:val="left"/>
              <w:rPr/>
            </w:pPr>
            <w:r>
              <w:rPr/>
              <w:t>)</w:t>
            </w:r>
          </w:p>
        </w:tc>
        <w:tc>
          <w:tcPr>
            <w:tcW w:w="82" w:type="dxa"/>
            <w:tcBorders/>
            <w:shd w:fill="FFFFFF" w:val="clear"/>
            <w:vAlign w:val="center"/>
          </w:tcPr>
          <w:p>
            <w:pPr>
              <w:pStyle w:val="TableContents"/>
              <w:bidi w:val="0"/>
              <w:spacing w:before="0" w:after="283"/>
              <w:jc w:val="left"/>
              <w:rPr/>
            </w:pPr>
            <w:r>
              <w:rPr/>
              <w:t> </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77" w:type="dxa"/>
            <w:tcBorders>
              <w:bottom w:val="double" w:sz="6" w:space="0" w:color="000000"/>
            </w:tcBorders>
            <w:shd w:fill="FFFFFF" w:val="clear"/>
            <w:tcMar>
              <w:bottom w:w="28" w:type="dxa"/>
            </w:tcMar>
            <w:vAlign w:val="center"/>
          </w:tcPr>
          <w:p>
            <w:pPr>
              <w:pStyle w:val="TableContents"/>
              <w:bidi w:val="0"/>
              <w:spacing w:before="0" w:after="283"/>
              <w:jc w:val="right"/>
              <w:rPr/>
            </w:pPr>
            <w:r>
              <w:rPr/>
              <w:t>(508</w:t>
            </w:r>
          </w:p>
        </w:tc>
        <w:tc>
          <w:tcPr>
            <w:tcW w:w="11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4" w:name="ns_006"/>
      <w:bookmarkEnd w:id="114"/>
      <w:r>
        <w:rPr>
          <w:rFonts w:ascii="Times New Roman;Times;Serif" w:hAnsi="Times New Roman;Times;Serif"/>
          <w:b/>
          <w:i w:val="false"/>
          <w:caps w:val="false"/>
          <w:smallCaps w:val="false"/>
          <w:sz w:val="20"/>
        </w:rPr>
        <w:t>CONSOLIDATED STATEMENTS OF STOCKHOLDERS’ EQUITY (DEFICIT)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 except share amounts)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2275" w:type="dxa"/>
        <w:jc w:val="left"/>
        <w:tblInd w:w="0" w:type="dxa"/>
        <w:tblLayout w:type="fixed"/>
        <w:tblCellMar>
          <w:top w:w="0" w:type="dxa"/>
          <w:left w:w="0" w:type="dxa"/>
          <w:bottom w:w="0" w:type="dxa"/>
          <w:right w:w="0" w:type="dxa"/>
        </w:tblCellMar>
      </w:tblPr>
      <w:tblGrid>
        <w:gridCol w:w="1580"/>
        <w:gridCol w:w="60"/>
        <w:gridCol w:w="60"/>
        <w:gridCol w:w="1055"/>
        <w:gridCol w:w="95"/>
        <w:gridCol w:w="60"/>
        <w:gridCol w:w="301"/>
        <w:gridCol w:w="559"/>
        <w:gridCol w:w="95"/>
        <w:gridCol w:w="60"/>
        <w:gridCol w:w="60"/>
        <w:gridCol w:w="980"/>
        <w:gridCol w:w="60"/>
        <w:gridCol w:w="60"/>
        <w:gridCol w:w="301"/>
        <w:gridCol w:w="559"/>
        <w:gridCol w:w="60"/>
        <w:gridCol w:w="60"/>
        <w:gridCol w:w="163"/>
        <w:gridCol w:w="937"/>
        <w:gridCol w:w="95"/>
        <w:gridCol w:w="60"/>
        <w:gridCol w:w="290"/>
        <w:gridCol w:w="1320"/>
        <w:gridCol w:w="95"/>
        <w:gridCol w:w="60"/>
        <w:gridCol w:w="188"/>
        <w:gridCol w:w="1182"/>
        <w:gridCol w:w="95"/>
        <w:gridCol w:w="60"/>
        <w:gridCol w:w="140"/>
        <w:gridCol w:w="1415"/>
        <w:gridCol w:w="110"/>
      </w:tblGrid>
      <w:tr>
        <w:trPr/>
        <w:tc>
          <w:tcPr>
            <w:tcW w:w="15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b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w:t>
              <w:br/>
              <w:t>Other</w:t>
              <w:b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5" w:type="dxa"/>
            <w:gridSpan w:val="2"/>
            <w:tcBorders/>
            <w:vAlign w:val="center"/>
          </w:tcPr>
          <w:p>
            <w:pPr>
              <w:pStyle w:val="TableContents"/>
              <w:bidi w:val="0"/>
              <w:spacing w:before="0" w:after="283"/>
              <w:jc w:val="center"/>
              <w:rPr>
                <w:b/>
              </w:rPr>
            </w:pPr>
            <w:r>
              <w:rPr>
                <w:b/>
              </w:rPr>
              <w:t xml:space="preserve">Total </w:t>
              <w:br/>
              <w:t>Stockholders’</w:t>
              <w:br/>
              <w:t>Equity</w:t>
            </w:r>
          </w:p>
        </w:tc>
        <w:tc>
          <w:tcPr>
            <w:tcW w:w="110"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b/>
              </w:rPr>
            </w:pPr>
            <w:r>
              <w:rPr>
                <w:b/>
              </w:rPr>
              <w:t>Balances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135,537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36,913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438,211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b/>
              </w:rPr>
            </w:pPr>
            <w:r>
              <w:rPr>
                <w:b/>
              </w:rPr>
              <w:t>$</w:t>
            </w:r>
          </w:p>
        </w:tc>
        <w:tc>
          <w:tcPr>
            <w:tcW w:w="1320" w:type="dxa"/>
            <w:tcBorders/>
            <w:shd w:fill="CCEEFF" w:val="clear"/>
            <w:vAlign w:val="center"/>
          </w:tcPr>
          <w:p>
            <w:pPr>
              <w:pStyle w:val="TableContents"/>
              <w:bidi w:val="0"/>
              <w:spacing w:before="0" w:after="283"/>
              <w:jc w:val="right"/>
              <w:rPr>
                <w:b/>
              </w:rPr>
            </w:pPr>
            <w:r>
              <w:rPr>
                <w:b/>
              </w:rPr>
              <w:t>(891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(439,494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415" w:type="dxa"/>
            <w:tcBorders/>
            <w:shd w:fill="CCEEFF" w:val="clear"/>
            <w:vAlign w:val="center"/>
          </w:tcPr>
          <w:p>
            <w:pPr>
              <w:pStyle w:val="TableContents"/>
              <w:bidi w:val="0"/>
              <w:spacing w:before="0" w:after="283"/>
              <w:jc w:val="right"/>
              <w:rPr/>
            </w:pPr>
            <w:r>
              <w:rPr/>
              <w:t>             </w:t>
            </w:r>
            <w:r>
              <w:rPr>
                <w:b/>
              </w:rPr>
              <w:t>(2,174</w:t>
            </w:r>
          </w:p>
        </w:tc>
        <w:tc>
          <w:tcPr>
            <w:tcW w:w="110" w:type="dxa"/>
            <w:tcBorders/>
            <w:shd w:fill="CCEEFF" w:val="clear"/>
            <w:vAlign w:val="center"/>
          </w:tcPr>
          <w:p>
            <w:pPr>
              <w:pStyle w:val="TableContents"/>
              <w:bidi w:val="0"/>
              <w:spacing w:before="0" w:after="283"/>
              <w:jc w:val="left"/>
              <w:rPr>
                <w:b/>
              </w:rPr>
            </w:pPr>
            <w:r>
              <w:rPr>
                <w:b/>
              </w:rPr>
              <w:t>)</w:t>
            </w:r>
          </w:p>
        </w:tc>
      </w:tr>
      <w:tr>
        <w:trPr/>
        <w:tc>
          <w:tcPr>
            <w:tcW w:w="1580" w:type="dxa"/>
            <w:tcBorders/>
            <w:shd w:fill="FFFFFF" w:val="clear"/>
            <w:vAlign w:val="center"/>
          </w:tcPr>
          <w:p>
            <w:pPr>
              <w:pStyle w:val="TableContents"/>
              <w:bidi w:val="0"/>
              <w:spacing w:before="0" w:after="283"/>
              <w:jc w:val="left"/>
              <w:rPr/>
            </w:pPr>
            <w:r>
              <w:rPr/>
              <w:t>Issue costs on issuance of common stock, preferred stock and associated warrants on underwritten offering, net of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(248</w:t>
            </w:r>
          </w:p>
        </w:tc>
        <w:tc>
          <w:tcPr>
            <w:tcW w:w="110" w:type="dxa"/>
            <w:tcBorders/>
            <w:shd w:fill="FFFFFF" w:val="clear"/>
            <w:vAlign w:val="center"/>
          </w:tcPr>
          <w:p>
            <w:pPr>
              <w:pStyle w:val="TableContents"/>
              <w:bidi w:val="0"/>
              <w:spacing w:before="0" w:after="283"/>
              <w:jc w:val="left"/>
              <w:rPr/>
            </w:pPr>
            <w:r>
              <w:rPr/>
              <w:t>)</w:t>
            </w:r>
          </w:p>
        </w:tc>
      </w:tr>
      <w:tr>
        <w:trPr/>
        <w:tc>
          <w:tcPr>
            <w:tcW w:w="1580" w:type="dxa"/>
            <w:tcBorders/>
            <w:shd w:fill="CCEEFF" w:val="clear"/>
            <w:vAlign w:val="center"/>
          </w:tcPr>
          <w:p>
            <w:pPr>
              <w:pStyle w:val="TableContents"/>
              <w:bidi w:val="0"/>
              <w:spacing w:before="0" w:after="283"/>
              <w:jc w:val="left"/>
              <w:rPr/>
            </w:pPr>
            <w:r>
              <w:rPr/>
              <w:t>Exercise of Pre-Funded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Issue of common stock on Securities Purchase Agreement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1,666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1,666</w:t>
            </w:r>
          </w:p>
        </w:tc>
        <w:tc>
          <w:tcPr>
            <w:tcW w:w="11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Issue of Series C preferred stock in Securities Purchase Agreement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999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1,000</w:t>
            </w:r>
          </w:p>
        </w:tc>
        <w:tc>
          <w:tcPr>
            <w:tcW w:w="11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pPr>
            <w:r>
              <w:rPr/>
              <w:t>Series C Preferred stock conversions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11,042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Issue of Series D preferred stock in Securities Purchase Agreement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2,100,000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1,892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1,894</w:t>
            </w:r>
          </w:p>
        </w:tc>
        <w:tc>
          <w:tcPr>
            <w:tcW w:w="11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pPr>
            <w:r>
              <w:rPr/>
              <w:t>Series D Preferred stock conversions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(1,745,262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799,912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Issue of Series E preferred stock in Securities Purchase Agreement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999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1,000</w:t>
            </w:r>
          </w:p>
        </w:tc>
        <w:tc>
          <w:tcPr>
            <w:tcW w:w="11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pPr>
            <w:r>
              <w:rPr/>
              <w:t>Unrealized foreign exchange on intercompany loans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(2,380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(2,380</w:t>
            </w:r>
          </w:p>
        </w:tc>
        <w:tc>
          <w:tcPr>
            <w:tcW w:w="110" w:type="dxa"/>
            <w:tcBorders/>
            <w:shd w:fill="CCEEFF" w:val="clear"/>
            <w:vAlign w:val="center"/>
          </w:tcPr>
          <w:p>
            <w:pPr>
              <w:pStyle w:val="TableContents"/>
              <w:bidi w:val="0"/>
              <w:spacing w:before="0" w:after="283"/>
              <w:jc w:val="left"/>
              <w:rPr/>
            </w:pPr>
            <w:r>
              <w:rPr/>
              <w:t>)</w:t>
            </w:r>
          </w:p>
        </w:tc>
      </w:tr>
      <w:tr>
        <w:trPr/>
        <w:tc>
          <w:tcPr>
            <w:tcW w:w="1580" w:type="dxa"/>
            <w:tcBorders/>
            <w:shd w:fill="FFFFFF" w:val="clear"/>
            <w:vAlign w:val="center"/>
          </w:tcPr>
          <w:p>
            <w:pPr>
              <w:pStyle w:val="TableContents"/>
              <w:bidi w:val="0"/>
              <w:spacing w:before="0" w:after="283"/>
              <w:jc w:val="left"/>
              <w:rPr/>
            </w:pPr>
            <w:r>
              <w:rPr/>
              <w:t>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2,385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2,385</w:t>
            </w:r>
          </w:p>
        </w:tc>
        <w:tc>
          <w:tcPr>
            <w:tcW w:w="11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pPr>
            <w:r>
              <w:rPr/>
              <w:t>Deconsolidation of wholly-owned foreign operation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886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(886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15" w:type="dxa"/>
            <w:tcBorders>
              <w:bottom w:val="single" w:sz="8" w:space="0" w:color="000000"/>
            </w:tcBorders>
            <w:shd w:fill="FFFFFF" w:val="clear"/>
            <w:tcMar>
              <w:bottom w:w="28" w:type="dxa"/>
            </w:tcMar>
            <w:vAlign w:val="center"/>
          </w:tcPr>
          <w:p>
            <w:pPr>
              <w:pStyle w:val="TableContents"/>
              <w:bidi w:val="0"/>
              <w:spacing w:before="0" w:after="283"/>
              <w:jc w:val="right"/>
              <w:rPr/>
            </w:pPr>
            <w:r>
              <w:rPr/>
              <w:t>(81</w:t>
            </w:r>
          </w:p>
        </w:tc>
        <w:tc>
          <w:tcPr>
            <w:tcW w:w="110" w:type="dxa"/>
            <w:tcBorders/>
            <w:shd w:fill="FFFFFF" w:val="clear"/>
            <w:vAlign w:val="center"/>
          </w:tcPr>
          <w:p>
            <w:pPr>
              <w:pStyle w:val="TableContents"/>
              <w:bidi w:val="0"/>
              <w:spacing w:before="0" w:after="283"/>
              <w:jc w:val="left"/>
              <w:rPr/>
            </w:pPr>
            <w:r>
              <w:rPr/>
              <w:t>)</w:t>
            </w:r>
          </w:p>
        </w:tc>
      </w:tr>
      <w:tr>
        <w:trPr/>
        <w:tc>
          <w:tcPr>
            <w:tcW w:w="1580" w:type="dxa"/>
            <w:tcBorders/>
            <w:shd w:fill="CCEEFF" w:val="clear"/>
            <w:vAlign w:val="center"/>
          </w:tcPr>
          <w:p>
            <w:pPr>
              <w:pStyle w:val="TableContents"/>
              <w:bidi w:val="0"/>
              <w:spacing w:before="0" w:after="283"/>
              <w:jc w:val="left"/>
              <w:rPr>
                <w:b/>
              </w:rPr>
            </w:pPr>
            <w:r>
              <w:rPr>
                <w:b/>
              </w:rPr>
              <w:t>Balances at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1,490,275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863,902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443,521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2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(440,461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41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3,062</w:t>
            </w:r>
          </w:p>
        </w:tc>
        <w:tc>
          <w:tcPr>
            <w:tcW w:w="11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pPr>
            <w:r>
              <w:rPr/>
              <w:t>Issue of common stock and pre-funded warrants in Securities Purchase Agreement In Private Placement, net of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Issue costs on issuance of common stock, preferred stock and associated warrants on underwritten offering, net of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21</w:t>
            </w:r>
          </w:p>
        </w:tc>
        <w:tc>
          <w:tcPr>
            <w:tcW w:w="11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pPr>
            <w:r>
              <w:rPr/>
              <w:t>Issue of Series F preferred stock in Securities Purchase Agreement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2,997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3,000</w:t>
            </w:r>
          </w:p>
        </w:tc>
        <w:tc>
          <w:tcPr>
            <w:tcW w:w="11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Series D Preferred stock conversions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(354,738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162,588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pPr>
            <w:r>
              <w:rPr/>
              <w:t>Series E Preferred stock conversions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458,333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Exercise of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98,202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(1,100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(1,100</w:t>
            </w:r>
          </w:p>
        </w:tc>
        <w:tc>
          <w:tcPr>
            <w:tcW w:w="110" w:type="dxa"/>
            <w:tcBorders/>
            <w:shd w:fill="FFFFFF" w:val="clear"/>
            <w:vAlign w:val="center"/>
          </w:tcPr>
          <w:p>
            <w:pPr>
              <w:pStyle w:val="TableContents"/>
              <w:bidi w:val="0"/>
              <w:spacing w:before="0" w:after="283"/>
              <w:jc w:val="left"/>
              <w:rPr/>
            </w:pPr>
            <w:r>
              <w:rPr/>
              <w:t>)</w:t>
            </w:r>
          </w:p>
        </w:tc>
      </w:tr>
      <w:tr>
        <w:trPr/>
        <w:tc>
          <w:tcPr>
            <w:tcW w:w="158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7</w:t>
            </w:r>
          </w:p>
        </w:tc>
        <w:tc>
          <w:tcPr>
            <w:tcW w:w="11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Preferred stock dividends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(41</w:t>
            </w:r>
          </w:p>
        </w:tc>
        <w:tc>
          <w:tcPr>
            <w:tcW w:w="110" w:type="dxa"/>
            <w:tcBorders/>
            <w:shd w:fill="FFFFFF" w:val="clear"/>
            <w:vAlign w:val="center"/>
          </w:tcPr>
          <w:p>
            <w:pPr>
              <w:pStyle w:val="TableContents"/>
              <w:bidi w:val="0"/>
              <w:spacing w:before="0" w:after="283"/>
              <w:jc w:val="left"/>
              <w:rPr/>
            </w:pPr>
            <w:r>
              <w:rPr/>
              <w:t>)</w:t>
            </w:r>
          </w:p>
        </w:tc>
      </w:tr>
      <w:tr>
        <w:trPr/>
        <w:tc>
          <w:tcPr>
            <w:tcW w:w="1580" w:type="dxa"/>
            <w:tcBorders/>
            <w:shd w:fill="CCEEFF" w:val="clear"/>
            <w:vAlign w:val="center"/>
          </w:tcPr>
          <w:p>
            <w:pPr>
              <w:pStyle w:val="TableContents"/>
              <w:bidi w:val="0"/>
              <w:spacing w:before="0" w:after="283"/>
              <w:jc w:val="left"/>
              <w:rPr/>
            </w:pPr>
            <w:r>
              <w:rPr/>
              <w:t>Loss for the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(1,318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15" w:type="dxa"/>
            <w:tcBorders>
              <w:bottom w:val="single" w:sz="8" w:space="0" w:color="000000"/>
            </w:tcBorders>
            <w:shd w:fill="CCEEFF" w:val="clear"/>
            <w:tcMar>
              <w:bottom w:w="28" w:type="dxa"/>
            </w:tcMar>
            <w:vAlign w:val="center"/>
          </w:tcPr>
          <w:p>
            <w:pPr>
              <w:pStyle w:val="TableContents"/>
              <w:bidi w:val="0"/>
              <w:spacing w:before="0" w:after="283"/>
              <w:jc w:val="right"/>
              <w:rPr/>
            </w:pPr>
            <w:r>
              <w:rPr/>
              <w:t>(1,318</w:t>
            </w:r>
          </w:p>
        </w:tc>
        <w:tc>
          <w:tcPr>
            <w:tcW w:w="110" w:type="dxa"/>
            <w:tcBorders/>
            <w:shd w:fill="CCEEFF" w:val="clear"/>
            <w:vAlign w:val="center"/>
          </w:tcPr>
          <w:p>
            <w:pPr>
              <w:pStyle w:val="TableContents"/>
              <w:bidi w:val="0"/>
              <w:spacing w:before="0" w:after="283"/>
              <w:jc w:val="left"/>
              <w:rPr/>
            </w:pPr>
            <w:r>
              <w:rPr/>
              <w:t>)</w:t>
            </w:r>
          </w:p>
        </w:tc>
      </w:tr>
      <w:tr>
        <w:trPr/>
        <w:tc>
          <w:tcPr>
            <w:tcW w:w="1580" w:type="dxa"/>
            <w:tcBorders/>
            <w:shd w:fill="FFFFFF" w:val="clear"/>
            <w:vAlign w:val="center"/>
          </w:tcPr>
          <w:p>
            <w:pPr>
              <w:pStyle w:val="TableContents"/>
              <w:bidi w:val="0"/>
              <w:spacing w:before="0" w:after="283"/>
              <w:jc w:val="left"/>
              <w:rPr>
                <w:b/>
              </w:rPr>
            </w:pPr>
            <w:r>
              <w:rPr>
                <w:b/>
              </w:rPr>
              <w:t>Balances at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3,135,537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b/>
              </w:rPr>
            </w:pPr>
            <w:r>
              <w:rPr>
                <w:b/>
              </w:rPr>
              <w:t>$</w:t>
            </w:r>
          </w:p>
        </w:tc>
        <w:tc>
          <w:tcPr>
            <w:tcW w:w="559" w:type="dxa"/>
            <w:tcBorders/>
            <w:shd w:fill="FFFFFF" w:val="clear"/>
            <w:vAlign w:val="center"/>
          </w:tcPr>
          <w:p>
            <w:pPr>
              <w:pStyle w:val="TableContents"/>
              <w:bidi w:val="0"/>
              <w:spacing w:before="0" w:after="283"/>
              <w:jc w:val="right"/>
              <w:rPr>
                <w:b/>
              </w:rPr>
            </w:pPr>
            <w:r>
              <w:rPr>
                <w:b/>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1,583,965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b/>
              </w:rPr>
            </w:pPr>
            <w:r>
              <w:rPr>
                <w:b/>
              </w:rPr>
              <w:t>$</w:t>
            </w:r>
          </w:p>
        </w:tc>
        <w:tc>
          <w:tcPr>
            <w:tcW w:w="559" w:type="dxa"/>
            <w:tcBorders/>
            <w:shd w:fill="FFFFFF" w:val="clear"/>
            <w:vAlign w:val="center"/>
          </w:tcPr>
          <w:p>
            <w:pPr>
              <w:pStyle w:val="TableContents"/>
              <w:bidi w:val="0"/>
              <w:spacing w:before="0" w:after="283"/>
              <w:jc w:val="right"/>
              <w:rPr>
                <w:b/>
              </w:rPr>
            </w:pPr>
            <w:r>
              <w:rPr>
                <w:b/>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b/>
              </w:rPr>
            </w:pPr>
            <w:r>
              <w:rPr>
                <w:b/>
              </w:rPr>
              <w:t>$</w:t>
            </w:r>
          </w:p>
        </w:tc>
        <w:tc>
          <w:tcPr>
            <w:tcW w:w="937" w:type="dxa"/>
            <w:tcBorders/>
            <w:shd w:fill="FFFFFF" w:val="clear"/>
            <w:vAlign w:val="center"/>
          </w:tcPr>
          <w:p>
            <w:pPr>
              <w:pStyle w:val="TableContents"/>
              <w:bidi w:val="0"/>
              <w:spacing w:before="0" w:after="283"/>
              <w:jc w:val="right"/>
              <w:rPr>
                <w:b/>
              </w:rPr>
            </w:pPr>
            <w:r>
              <w:rPr>
                <w:b/>
              </w:rPr>
              <w:t>445,405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b/>
              </w:rPr>
            </w:pPr>
            <w:r>
              <w:rPr>
                <w:b/>
              </w:rPr>
              <w:t>$</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b/>
              </w:rPr>
            </w:pPr>
            <w:r>
              <w:rPr>
                <w:b/>
              </w:rPr>
              <w:t>$</w:t>
            </w:r>
          </w:p>
        </w:tc>
        <w:tc>
          <w:tcPr>
            <w:tcW w:w="1182" w:type="dxa"/>
            <w:tcBorders/>
            <w:shd w:fill="FFFFFF" w:val="clear"/>
            <w:vAlign w:val="center"/>
          </w:tcPr>
          <w:p>
            <w:pPr>
              <w:pStyle w:val="TableContents"/>
              <w:bidi w:val="0"/>
              <w:spacing w:before="0" w:after="283"/>
              <w:jc w:val="right"/>
              <w:rPr>
                <w:b/>
              </w:rPr>
            </w:pPr>
            <w:r>
              <w:rPr>
                <w:b/>
              </w:rPr>
              <w:t>(441,779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1415" w:type="dxa"/>
            <w:tcBorders/>
            <w:shd w:fill="FFFFFF" w:val="clear"/>
            <w:vAlign w:val="center"/>
          </w:tcPr>
          <w:p>
            <w:pPr>
              <w:pStyle w:val="TableContents"/>
              <w:bidi w:val="0"/>
              <w:spacing w:before="0" w:after="283"/>
              <w:jc w:val="right"/>
              <w:rPr>
                <w:b/>
              </w:rPr>
            </w:pPr>
            <w:r>
              <w:rPr>
                <w:b/>
              </w:rPr>
              <w:t>3,631</w:t>
            </w:r>
          </w:p>
        </w:tc>
        <w:tc>
          <w:tcPr>
            <w:tcW w:w="11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b/>
              </w:rPr>
            </w:pPr>
            <w:r>
              <w:rPr>
                <w:b/>
              </w:rPr>
              <w:t>Balances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135,537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b/>
              </w:rPr>
            </w:pPr>
            <w:r>
              <w:rPr>
                <w:b/>
              </w:rPr>
              <w:t>$</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5,400,320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b/>
              </w:rPr>
            </w:pPr>
            <w:r>
              <w:rPr>
                <w:b/>
              </w:rPr>
              <w:t>$</w:t>
            </w:r>
          </w:p>
        </w:tc>
        <w:tc>
          <w:tcPr>
            <w:tcW w:w="559" w:type="dxa"/>
            <w:tcBorders/>
            <w:shd w:fill="FFFFFF" w:val="clear"/>
            <w:vAlign w:val="center"/>
          </w:tcPr>
          <w:p>
            <w:pPr>
              <w:pStyle w:val="TableContents"/>
              <w:bidi w:val="0"/>
              <w:spacing w:before="0" w:after="283"/>
              <w:jc w:val="right"/>
              <w:rPr>
                <w:b/>
              </w:rPr>
            </w:pPr>
            <w:r>
              <w:rPr>
                <w:b/>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b/>
              </w:rPr>
            </w:pPr>
            <w:r>
              <w:rPr>
                <w:b/>
              </w:rPr>
              <w:t>$</w:t>
            </w:r>
          </w:p>
        </w:tc>
        <w:tc>
          <w:tcPr>
            <w:tcW w:w="937" w:type="dxa"/>
            <w:tcBorders/>
            <w:shd w:fill="FFFFFF" w:val="clear"/>
            <w:vAlign w:val="center"/>
          </w:tcPr>
          <w:p>
            <w:pPr>
              <w:pStyle w:val="TableContents"/>
              <w:bidi w:val="0"/>
              <w:spacing w:before="0" w:after="283"/>
              <w:jc w:val="right"/>
              <w:rPr>
                <w:b/>
              </w:rPr>
            </w:pPr>
            <w:r>
              <w:rPr>
                <w:b/>
              </w:rPr>
              <w:t>461,287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b/>
              </w:rPr>
            </w:pPr>
            <w:r>
              <w:rPr>
                <w:b/>
              </w:rPr>
              <w:t>$</w:t>
            </w:r>
          </w:p>
        </w:tc>
        <w:tc>
          <w:tcPr>
            <w:tcW w:w="1320" w:type="dxa"/>
            <w:tcBorders/>
            <w:shd w:fill="FFFFFF" w:val="clear"/>
            <w:vAlign w:val="center"/>
          </w:tcPr>
          <w:p>
            <w:pPr>
              <w:pStyle w:val="TableContents"/>
              <w:bidi w:val="0"/>
              <w:spacing w:before="0" w:after="283"/>
              <w:jc w:val="right"/>
              <w:rPr>
                <w:b/>
              </w:rPr>
            </w:pPr>
            <w:r>
              <w:rPr>
                <w:b/>
              </w:rPr>
              <w:t>(39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b/>
              </w:rPr>
            </w:pPr>
            <w:r>
              <w:rPr>
                <w:b/>
              </w:rPr>
              <w:t>$</w:t>
            </w:r>
          </w:p>
        </w:tc>
        <w:tc>
          <w:tcPr>
            <w:tcW w:w="1182" w:type="dxa"/>
            <w:tcBorders/>
            <w:shd w:fill="FFFFFF" w:val="clear"/>
            <w:vAlign w:val="center"/>
          </w:tcPr>
          <w:p>
            <w:pPr>
              <w:pStyle w:val="TableContents"/>
              <w:bidi w:val="0"/>
              <w:spacing w:before="0" w:after="283"/>
              <w:jc w:val="right"/>
              <w:rPr>
                <w:b/>
              </w:rPr>
            </w:pPr>
            <w:r>
              <w:rPr>
                <w:b/>
              </w:rPr>
              <w:t>(454,411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1415" w:type="dxa"/>
            <w:tcBorders/>
            <w:shd w:fill="FFFFFF" w:val="clear"/>
            <w:vAlign w:val="center"/>
          </w:tcPr>
          <w:p>
            <w:pPr>
              <w:pStyle w:val="TableContents"/>
              <w:bidi w:val="0"/>
              <w:spacing w:before="0" w:after="283"/>
              <w:jc w:val="right"/>
              <w:rPr>
                <w:b/>
              </w:rPr>
            </w:pPr>
            <w:r>
              <w:rPr>
                <w:b/>
              </w:rPr>
              <w:t>6,842</w:t>
            </w:r>
          </w:p>
        </w:tc>
        <w:tc>
          <w:tcPr>
            <w:tcW w:w="11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Issue of common stock on warrant exchange agreement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119,136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125</w:t>
            </w:r>
          </w:p>
        </w:tc>
        <w:tc>
          <w:tcPr>
            <w:tcW w:w="11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1</w:t>
            </w:r>
          </w:p>
        </w:tc>
        <w:tc>
          <w:tcPr>
            <w:tcW w:w="11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Preferred stock dividends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(20</w:t>
            </w:r>
          </w:p>
        </w:tc>
        <w:tc>
          <w:tcPr>
            <w:tcW w:w="110" w:type="dxa"/>
            <w:tcBorders/>
            <w:shd w:fill="FFFFFF" w:val="clear"/>
            <w:vAlign w:val="center"/>
          </w:tcPr>
          <w:p>
            <w:pPr>
              <w:pStyle w:val="TableContents"/>
              <w:bidi w:val="0"/>
              <w:spacing w:before="0" w:after="283"/>
              <w:jc w:val="left"/>
              <w:rPr/>
            </w:pPr>
            <w:r>
              <w:rPr/>
              <w:t>)</w:t>
            </w:r>
          </w:p>
        </w:tc>
      </w:tr>
      <w:tr>
        <w:trPr/>
        <w:tc>
          <w:tcPr>
            <w:tcW w:w="1580" w:type="dxa"/>
            <w:tcBorders/>
            <w:shd w:fill="CCEEFF" w:val="clear"/>
            <w:vAlign w:val="center"/>
          </w:tcPr>
          <w:p>
            <w:pPr>
              <w:pStyle w:val="TableContents"/>
              <w:bidi w:val="0"/>
              <w:spacing w:before="0" w:after="283"/>
              <w:jc w:val="left"/>
              <w:rPr/>
            </w:pPr>
            <w:r>
              <w:rPr/>
              <w:t>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9</w:t>
            </w:r>
          </w:p>
        </w:tc>
        <w:tc>
          <w:tcPr>
            <w:tcW w:w="11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(197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15" w:type="dxa"/>
            <w:tcBorders>
              <w:bottom w:val="single" w:sz="8" w:space="0" w:color="000000"/>
            </w:tcBorders>
            <w:shd w:fill="FFFFFF" w:val="clear"/>
            <w:tcMar>
              <w:bottom w:w="28" w:type="dxa"/>
            </w:tcMar>
            <w:vAlign w:val="center"/>
          </w:tcPr>
          <w:p>
            <w:pPr>
              <w:pStyle w:val="TableContents"/>
              <w:bidi w:val="0"/>
              <w:spacing w:before="0" w:after="283"/>
              <w:jc w:val="right"/>
              <w:rPr/>
            </w:pPr>
            <w:r>
              <w:rPr/>
              <w:t>(197</w:t>
            </w:r>
          </w:p>
        </w:tc>
        <w:tc>
          <w:tcPr>
            <w:tcW w:w="110" w:type="dxa"/>
            <w:tcBorders/>
            <w:shd w:fill="FFFFFF" w:val="clear"/>
            <w:vAlign w:val="center"/>
          </w:tcPr>
          <w:p>
            <w:pPr>
              <w:pStyle w:val="TableContents"/>
              <w:bidi w:val="0"/>
              <w:spacing w:before="0" w:after="283"/>
              <w:jc w:val="left"/>
              <w:rPr/>
            </w:pPr>
            <w:r>
              <w:rPr/>
              <w:t>)</w:t>
            </w:r>
          </w:p>
        </w:tc>
      </w:tr>
      <w:tr>
        <w:trPr/>
        <w:tc>
          <w:tcPr>
            <w:tcW w:w="1580" w:type="dxa"/>
            <w:tcBorders/>
            <w:shd w:fill="CCEEFF" w:val="clear"/>
            <w:vAlign w:val="center"/>
          </w:tcPr>
          <w:p>
            <w:pPr>
              <w:pStyle w:val="TableContents"/>
              <w:bidi w:val="0"/>
              <w:spacing w:before="0" w:after="283"/>
              <w:jc w:val="left"/>
              <w:rPr>
                <w:b/>
              </w:rPr>
            </w:pPr>
            <w:r>
              <w:rPr>
                <w:b/>
              </w:rPr>
              <w:t>Balances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135,537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5,519,456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461,393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(454,608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41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6,760</w:t>
            </w:r>
          </w:p>
        </w:tc>
        <w:tc>
          <w:tcPr>
            <w:tcW w:w="110" w:type="dxa"/>
            <w:tcBorders/>
            <w:shd w:fill="CCEE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b/>
              </w:rPr>
            </w:pPr>
            <w:r>
              <w:rPr>
                <w:b/>
              </w:rPr>
              <w:t>Balances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135,537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5,519,456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461,393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(454,608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41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6,760</w:t>
            </w:r>
          </w:p>
        </w:tc>
        <w:tc>
          <w:tcPr>
            <w:tcW w:w="11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pPr>
            <w:r>
              <w:rPr/>
              <w:t>Issue of common stock in Securities Purchase Agreement In Private Placement, net of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1,103,338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792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794</w:t>
            </w:r>
          </w:p>
        </w:tc>
        <w:tc>
          <w:tcPr>
            <w:tcW w:w="11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1</w:t>
            </w:r>
          </w:p>
        </w:tc>
        <w:tc>
          <w:tcPr>
            <w:tcW w:w="11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pPr>
            <w:r>
              <w:rPr/>
              <w:t>Preferred stock dividends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(20</w:t>
            </w:r>
          </w:p>
        </w:tc>
        <w:tc>
          <w:tcPr>
            <w:tcW w:w="110" w:type="dxa"/>
            <w:tcBorders/>
            <w:shd w:fill="CCEEFF" w:val="clear"/>
            <w:vAlign w:val="center"/>
          </w:tcPr>
          <w:p>
            <w:pPr>
              <w:pStyle w:val="TableContents"/>
              <w:bidi w:val="0"/>
              <w:spacing w:before="0" w:after="283"/>
              <w:jc w:val="left"/>
              <w:rPr/>
            </w:pPr>
            <w:r>
              <w:rPr/>
              <w:t>)</w:t>
            </w:r>
          </w:p>
        </w:tc>
      </w:tr>
      <w:tr>
        <w:trPr/>
        <w:tc>
          <w:tcPr>
            <w:tcW w:w="1580" w:type="dxa"/>
            <w:tcBorders/>
            <w:shd w:fill="FFFFFF" w:val="clear"/>
            <w:vAlign w:val="center"/>
          </w:tcPr>
          <w:p>
            <w:pPr>
              <w:pStyle w:val="TableContents"/>
              <w:bidi w:val="0"/>
              <w:spacing w:before="0" w:after="283"/>
              <w:jc w:val="left"/>
              <w:rPr/>
            </w:pPr>
            <w:r>
              <w:rPr/>
              <w:t>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30</w:t>
            </w:r>
          </w:p>
        </w:tc>
        <w:tc>
          <w:tcPr>
            <w:tcW w:w="11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pPr>
            <w:r>
              <w:rPr/>
              <w:t>Loss for the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(405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15" w:type="dxa"/>
            <w:tcBorders>
              <w:bottom w:val="single" w:sz="8" w:space="0" w:color="000000"/>
            </w:tcBorders>
            <w:shd w:fill="CCEEFF" w:val="clear"/>
            <w:tcMar>
              <w:bottom w:w="28" w:type="dxa"/>
            </w:tcMar>
            <w:vAlign w:val="center"/>
          </w:tcPr>
          <w:p>
            <w:pPr>
              <w:pStyle w:val="TableContents"/>
              <w:bidi w:val="0"/>
              <w:spacing w:before="0" w:after="283"/>
              <w:jc w:val="right"/>
              <w:rPr/>
            </w:pPr>
            <w:r>
              <w:rPr/>
              <w:t>(405</w:t>
            </w:r>
          </w:p>
        </w:tc>
        <w:tc>
          <w:tcPr>
            <w:tcW w:w="110" w:type="dxa"/>
            <w:tcBorders/>
            <w:shd w:fill="CCEEFF" w:val="clear"/>
            <w:vAlign w:val="center"/>
          </w:tcPr>
          <w:p>
            <w:pPr>
              <w:pStyle w:val="TableContents"/>
              <w:bidi w:val="0"/>
              <w:spacing w:before="0" w:after="283"/>
              <w:jc w:val="left"/>
              <w:rPr/>
            </w:pPr>
            <w:r>
              <w:rPr/>
              <w:t>)</w:t>
            </w:r>
          </w:p>
        </w:tc>
      </w:tr>
      <w:tr>
        <w:trPr/>
        <w:tc>
          <w:tcPr>
            <w:tcW w:w="1580" w:type="dxa"/>
            <w:tcBorders/>
            <w:shd w:fill="FFFFFF" w:val="clear"/>
            <w:vAlign w:val="center"/>
          </w:tcPr>
          <w:p>
            <w:pPr>
              <w:pStyle w:val="TableContents"/>
              <w:bidi w:val="0"/>
              <w:spacing w:before="0" w:after="283"/>
              <w:jc w:val="left"/>
              <w:rPr>
                <w:b/>
              </w:rPr>
            </w:pPr>
            <w:r>
              <w:rPr>
                <w:b/>
              </w:rPr>
              <w:t>Balances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135,537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6,622,794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462,166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2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(455,013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41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7,160</w:t>
            </w:r>
          </w:p>
        </w:tc>
        <w:tc>
          <w:tcPr>
            <w:tcW w:w="110" w:type="dxa"/>
            <w:tcBorders/>
            <w:shd w:fill="FFFF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b/>
              </w:rPr>
            </w:pPr>
            <w:r>
              <w:rPr>
                <w:b/>
              </w:rPr>
              <w:t>Balances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135,537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6,622,794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462,166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2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(455,013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41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7,160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5" w:name="ns_007"/>
      <w:bookmarkEnd w:id="115"/>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34"/>
        <w:gridCol w:w="60"/>
        <w:gridCol w:w="151"/>
        <w:gridCol w:w="608"/>
        <w:gridCol w:w="102"/>
        <w:gridCol w:w="64"/>
        <w:gridCol w:w="151"/>
        <w:gridCol w:w="820"/>
        <w:gridCol w:w="115"/>
      </w:tblGrid>
      <w:tr>
        <w:trPr/>
        <w:tc>
          <w:tcPr>
            <w:tcW w:w="81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p>
        </w:tc>
      </w:tr>
      <w:tr>
        <w:trPr/>
        <w:tc>
          <w:tcPr>
            <w:tcW w:w="81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6" w:type="dxa"/>
            <w:gridSpan w:val="6"/>
            <w:tcBorders/>
            <w:vAlign w:val="center"/>
          </w:tcPr>
          <w:p>
            <w:pPr>
              <w:pStyle w:val="TableContents"/>
              <w:bidi w:val="0"/>
              <w:spacing w:before="0" w:after="283"/>
              <w:jc w:val="center"/>
              <w:rPr>
                <w:b/>
              </w:rPr>
            </w:pPr>
            <w:r>
              <w:rPr>
                <w:b/>
              </w:rPr>
              <w:t>Six Months Ended</w:t>
            </w:r>
          </w:p>
        </w:tc>
        <w:tc>
          <w:tcPr>
            <w:tcW w:w="115" w:type="dxa"/>
            <w:tcBorders/>
            <w:vAlign w:val="center"/>
          </w:tcPr>
          <w:p>
            <w:pPr>
              <w:pStyle w:val="TableContents"/>
              <w:bidi w:val="0"/>
              <w:spacing w:before="0" w:after="283"/>
              <w:jc w:val="left"/>
              <w:rPr/>
            </w:pPr>
            <w:r>
              <w:rPr/>
              <w:t> </w:t>
            </w:r>
          </w:p>
        </w:tc>
      </w:tr>
      <w:tr>
        <w:trPr/>
        <w:tc>
          <w:tcPr>
            <w:tcW w:w="81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15" w:type="dxa"/>
            <w:tcBorders/>
            <w:vAlign w:val="center"/>
          </w:tcPr>
          <w:p>
            <w:pPr>
              <w:pStyle w:val="TableContents"/>
              <w:bidi w:val="0"/>
              <w:spacing w:before="0" w:after="283"/>
              <w:jc w:val="left"/>
              <w:rPr/>
            </w:pPr>
            <w:r>
              <w:rPr/>
              <w:t> </w:t>
            </w:r>
          </w:p>
        </w:tc>
      </w:tr>
      <w:tr>
        <w:trPr/>
        <w:tc>
          <w:tcPr>
            <w:tcW w:w="81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p>
        </w:tc>
      </w:tr>
      <w:tr>
        <w:trPr/>
        <w:tc>
          <w:tcPr>
            <w:tcW w:w="8134" w:type="dxa"/>
            <w:tcBorders/>
            <w:shd w:fill="CCEEFF" w:val="clear"/>
            <w:vAlign w:val="center"/>
          </w:tcPr>
          <w:p>
            <w:pPr>
              <w:pStyle w:val="TableContents"/>
              <w:bidi w:val="0"/>
              <w:spacing w:before="0" w:after="283"/>
              <w:jc w:val="left"/>
              <w:rPr>
                <w:b/>
              </w:rPr>
            </w:pPr>
            <w:r>
              <w:rPr>
                <w:b/>
              </w:rPr>
              <w:t>Operating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8134"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608" w:type="dxa"/>
            <w:tcBorders/>
            <w:shd w:fill="FFFFFF" w:val="clear"/>
            <w:vAlign w:val="center"/>
          </w:tcPr>
          <w:p>
            <w:pPr>
              <w:pStyle w:val="TableContents"/>
              <w:bidi w:val="0"/>
              <w:spacing w:before="0" w:after="283"/>
              <w:jc w:val="right"/>
              <w:rPr/>
            </w:pPr>
            <w:r>
              <w:rPr/>
              <w:t>(602</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820" w:type="dxa"/>
            <w:tcBorders/>
            <w:shd w:fill="FFFFFF" w:val="clear"/>
            <w:vAlign w:val="center"/>
          </w:tcPr>
          <w:p>
            <w:pPr>
              <w:pStyle w:val="TableContents"/>
              <w:bidi w:val="0"/>
              <w:spacing w:before="0" w:after="283"/>
              <w:jc w:val="right"/>
              <w:rPr/>
            </w:pPr>
            <w:r>
              <w:rPr/>
              <w:t>(1,399</w:t>
            </w:r>
          </w:p>
        </w:tc>
        <w:tc>
          <w:tcPr>
            <w:tcW w:w="115" w:type="dxa"/>
            <w:tcBorders/>
            <w:shd w:fill="FFFFFF" w:val="clear"/>
            <w:vAlign w:val="center"/>
          </w:tcPr>
          <w:p>
            <w:pPr>
              <w:pStyle w:val="TableContents"/>
              <w:bidi w:val="0"/>
              <w:spacing w:before="0" w:after="283"/>
              <w:jc w:val="left"/>
              <w:rPr/>
            </w:pPr>
            <w:r>
              <w:rPr/>
              <w:t>)</w:t>
            </w:r>
          </w:p>
        </w:tc>
      </w:tr>
      <w:tr>
        <w:trPr/>
        <w:tc>
          <w:tcPr>
            <w:tcW w:w="8134"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8134"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1</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1</w:t>
            </w:r>
          </w:p>
        </w:tc>
        <w:tc>
          <w:tcPr>
            <w:tcW w:w="115" w:type="dxa"/>
            <w:tcBorders/>
            <w:shd w:fill="FFFFFF" w:val="clear"/>
            <w:vAlign w:val="center"/>
          </w:tcPr>
          <w:p>
            <w:pPr>
              <w:pStyle w:val="TableContents"/>
              <w:bidi w:val="0"/>
              <w:spacing w:before="0" w:after="283"/>
              <w:jc w:val="left"/>
              <w:rPr/>
            </w:pPr>
            <w:r>
              <w:rPr/>
              <w:t> </w:t>
            </w:r>
          </w:p>
        </w:tc>
      </w:tr>
      <w:tr>
        <w:trPr/>
        <w:tc>
          <w:tcPr>
            <w:tcW w:w="8134"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1</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1,673</w:t>
            </w:r>
          </w:p>
        </w:tc>
        <w:tc>
          <w:tcPr>
            <w:tcW w:w="115" w:type="dxa"/>
            <w:tcBorders/>
            <w:shd w:fill="CCEEFF" w:val="clear"/>
            <w:vAlign w:val="center"/>
          </w:tcPr>
          <w:p>
            <w:pPr>
              <w:pStyle w:val="TableContents"/>
              <w:bidi w:val="0"/>
              <w:spacing w:before="0" w:after="283"/>
              <w:jc w:val="left"/>
              <w:rPr/>
            </w:pPr>
            <w:r>
              <w:rPr/>
              <w:t> </w:t>
            </w:r>
          </w:p>
        </w:tc>
      </w:tr>
      <w:tr>
        <w:trPr/>
        <w:tc>
          <w:tcPr>
            <w:tcW w:w="8134" w:type="dxa"/>
            <w:tcBorders/>
            <w:shd w:fill="FFFFFF" w:val="clear"/>
            <w:vAlign w:val="center"/>
          </w:tcPr>
          <w:p>
            <w:pPr>
              <w:pStyle w:val="TableContents"/>
              <w:bidi w:val="0"/>
              <w:spacing w:before="0" w:after="283"/>
              <w:jc w:val="left"/>
              <w:rPr/>
            </w:pPr>
            <w:r>
              <w:rPr/>
              <w:t>Deconsolidation of subsidiary</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4,947</w:t>
            </w:r>
          </w:p>
        </w:tc>
        <w:tc>
          <w:tcPr>
            <w:tcW w:w="115" w:type="dxa"/>
            <w:tcBorders/>
            <w:shd w:fill="FFFFFF" w:val="clear"/>
            <w:vAlign w:val="center"/>
          </w:tcPr>
          <w:p>
            <w:pPr>
              <w:pStyle w:val="TableContents"/>
              <w:bidi w:val="0"/>
              <w:spacing w:before="0" w:after="283"/>
              <w:jc w:val="left"/>
              <w:rPr/>
            </w:pPr>
            <w:r>
              <w:rPr/>
              <w:t> </w:t>
            </w:r>
          </w:p>
        </w:tc>
      </w:tr>
      <w:tr>
        <w:trPr/>
        <w:tc>
          <w:tcPr>
            <w:tcW w:w="8134" w:type="dxa"/>
            <w:tcBorders/>
            <w:shd w:fill="CCEEFF" w:val="clear"/>
            <w:vAlign w:val="center"/>
          </w:tcPr>
          <w:p>
            <w:pPr>
              <w:pStyle w:val="TableContents"/>
              <w:bidi w:val="0"/>
              <w:spacing w:before="0" w:after="283"/>
              <w:jc w:val="left"/>
              <w:rPr/>
            </w:pPr>
            <w:r>
              <w:rPr/>
              <w:t>Changes in lease liability</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(2</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10</w:t>
            </w:r>
          </w:p>
        </w:tc>
        <w:tc>
          <w:tcPr>
            <w:tcW w:w="115" w:type="dxa"/>
            <w:tcBorders/>
            <w:shd w:fill="CCEEFF" w:val="clear"/>
            <w:vAlign w:val="center"/>
          </w:tcPr>
          <w:p>
            <w:pPr>
              <w:pStyle w:val="TableContents"/>
              <w:bidi w:val="0"/>
              <w:spacing w:before="0" w:after="283"/>
              <w:jc w:val="left"/>
              <w:rPr/>
            </w:pPr>
            <w:r>
              <w:rPr/>
              <w:t> </w:t>
            </w:r>
          </w:p>
        </w:tc>
      </w:tr>
      <w:tr>
        <w:trPr/>
        <w:tc>
          <w:tcPr>
            <w:tcW w:w="8134"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8134"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183</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8134"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412</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8134"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15</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1,544</w:t>
            </w:r>
          </w:p>
        </w:tc>
        <w:tc>
          <w:tcPr>
            <w:tcW w:w="115" w:type="dxa"/>
            <w:tcBorders/>
            <w:shd w:fill="CCEEFF" w:val="clear"/>
            <w:vAlign w:val="center"/>
          </w:tcPr>
          <w:p>
            <w:pPr>
              <w:pStyle w:val="TableContents"/>
              <w:bidi w:val="0"/>
              <w:spacing w:before="0" w:after="283"/>
              <w:jc w:val="left"/>
              <w:rPr/>
            </w:pPr>
            <w:r>
              <w:rPr/>
              <w:t> </w:t>
            </w:r>
          </w:p>
        </w:tc>
      </w:tr>
      <w:tr>
        <w:trPr/>
        <w:tc>
          <w:tcPr>
            <w:tcW w:w="8134" w:type="dxa"/>
            <w:tcBorders/>
            <w:shd w:fill="FFFFFF" w:val="clear"/>
            <w:vAlign w:val="center"/>
          </w:tcPr>
          <w:p>
            <w:pPr>
              <w:pStyle w:val="TableContents"/>
              <w:bidi w:val="0"/>
              <w:spacing w:before="0" w:after="283"/>
              <w:jc w:val="left"/>
              <w:rPr/>
            </w:pPr>
            <w:r>
              <w:rPr/>
              <w:t>Accounts payable, accrued and other current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8" w:type="dxa"/>
            <w:tcBorders>
              <w:bottom w:val="single" w:sz="8" w:space="0" w:color="000000"/>
            </w:tcBorders>
            <w:shd w:fill="FFFFFF" w:val="clear"/>
            <w:tcMar>
              <w:bottom w:w="28" w:type="dxa"/>
            </w:tcMar>
            <w:vAlign w:val="center"/>
          </w:tcPr>
          <w:p>
            <w:pPr>
              <w:pStyle w:val="TableContents"/>
              <w:bidi w:val="0"/>
              <w:spacing w:before="0" w:after="283"/>
              <w:jc w:val="right"/>
              <w:rPr/>
            </w:pPr>
            <w:r>
              <w:rPr/>
              <w:t>(638</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(11,079</w:t>
            </w:r>
          </w:p>
        </w:tc>
        <w:tc>
          <w:tcPr>
            <w:tcW w:w="115" w:type="dxa"/>
            <w:tcBorders/>
            <w:shd w:fill="FFFFFF" w:val="clear"/>
            <w:vAlign w:val="center"/>
          </w:tcPr>
          <w:p>
            <w:pPr>
              <w:pStyle w:val="TableContents"/>
              <w:bidi w:val="0"/>
              <w:spacing w:before="0" w:after="283"/>
              <w:jc w:val="left"/>
              <w:rPr/>
            </w:pPr>
            <w:r>
              <w:rPr/>
              <w:t>)</w:t>
            </w:r>
          </w:p>
        </w:tc>
      </w:tr>
      <w:tr>
        <w:trPr/>
        <w:tc>
          <w:tcPr>
            <w:tcW w:w="8134"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8" w:type="dxa"/>
            <w:tcBorders>
              <w:bottom w:val="single" w:sz="8" w:space="0" w:color="000000"/>
            </w:tcBorders>
            <w:shd w:fill="CCEEFF" w:val="clear"/>
            <w:tcMar>
              <w:bottom w:w="28" w:type="dxa"/>
            </w:tcMar>
            <w:vAlign w:val="center"/>
          </w:tcPr>
          <w:p>
            <w:pPr>
              <w:pStyle w:val="TableContents"/>
              <w:bidi w:val="0"/>
              <w:spacing w:before="0" w:after="283"/>
              <w:jc w:val="right"/>
              <w:rPr/>
            </w:pPr>
            <w:r>
              <w:rPr/>
              <w:t>(630</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(4,303</w:t>
            </w:r>
          </w:p>
        </w:tc>
        <w:tc>
          <w:tcPr>
            <w:tcW w:w="115" w:type="dxa"/>
            <w:tcBorders/>
            <w:shd w:fill="CCEEFF" w:val="clear"/>
            <w:vAlign w:val="center"/>
          </w:tcPr>
          <w:p>
            <w:pPr>
              <w:pStyle w:val="TableContents"/>
              <w:bidi w:val="0"/>
              <w:spacing w:before="0" w:after="283"/>
              <w:jc w:val="left"/>
              <w:rPr/>
            </w:pPr>
            <w:r>
              <w:rPr/>
              <w:t>)</w:t>
            </w:r>
          </w:p>
        </w:tc>
      </w:tr>
      <w:tr>
        <w:trPr/>
        <w:tc>
          <w:tcPr>
            <w:tcW w:w="8134" w:type="dxa"/>
            <w:tcBorders/>
            <w:shd w:fill="FFFFFF" w:val="clear"/>
            <w:vAlign w:val="center"/>
          </w:tcPr>
          <w:p>
            <w:pPr>
              <w:pStyle w:val="TableContents"/>
              <w:bidi w:val="0"/>
              <w:spacing w:before="0" w:after="283"/>
              <w:jc w:val="left"/>
              <w:rPr>
                <w:b/>
              </w:rPr>
            </w:pPr>
            <w:r>
              <w:rPr>
                <w:b/>
              </w:rPr>
              <w:t>Investing activities: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8134" w:type="dxa"/>
            <w:tcBorders/>
            <w:shd w:fill="CCEEFF" w:val="clear"/>
            <w:vAlign w:val="center"/>
          </w:tcPr>
          <w:p>
            <w:pPr>
              <w:pStyle w:val="TableContents"/>
              <w:bidi w:val="0"/>
              <w:spacing w:before="0" w:after="283"/>
              <w:jc w:val="left"/>
              <w:rPr/>
            </w:pPr>
            <w:r>
              <w:rPr/>
              <w:t>Purchase of property, plant and equipment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8" w:type="dxa"/>
            <w:tcBorders>
              <w:bottom w:val="single" w:sz="8" w:space="0" w:color="000000"/>
            </w:tcBorders>
            <w:shd w:fill="CCEEFF" w:val="clear"/>
            <w:tcMar>
              <w:bottom w:w="28" w:type="dxa"/>
            </w:tcMar>
            <w:vAlign w:val="center"/>
          </w:tcPr>
          <w:p>
            <w:pPr>
              <w:pStyle w:val="TableContents"/>
              <w:bidi w:val="0"/>
              <w:spacing w:before="0" w:after="283"/>
              <w:jc w:val="right"/>
              <w:rPr/>
            </w:pPr>
            <w:r>
              <w:rPr/>
              <w:t>(1</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8134"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8"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8134" w:type="dxa"/>
            <w:tcBorders/>
            <w:shd w:fill="CCEEFF" w:val="clear"/>
            <w:vAlign w:val="center"/>
          </w:tcPr>
          <w:p>
            <w:pPr>
              <w:pStyle w:val="TableContents"/>
              <w:bidi w:val="0"/>
              <w:spacing w:before="0" w:after="283"/>
              <w:jc w:val="left"/>
              <w:rPr>
                <w:b/>
              </w:rPr>
            </w:pPr>
            <w:r>
              <w:rPr>
                <w:b/>
              </w:rPr>
              <w:t>Financing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8134" w:type="dxa"/>
            <w:tcBorders/>
            <w:shd w:fill="FFFFFF" w:val="clear"/>
            <w:vAlign w:val="center"/>
          </w:tcPr>
          <w:p>
            <w:pPr>
              <w:pStyle w:val="TableContents"/>
              <w:bidi w:val="0"/>
              <w:spacing w:before="0" w:after="283"/>
              <w:jc w:val="left"/>
              <w:rPr/>
            </w:pPr>
            <w:r>
              <w:rPr/>
              <w:t>Proceeds, net of issuance costs, from issuing common stock and pre-funded warrants, net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919</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5,567</w:t>
            </w:r>
          </w:p>
        </w:tc>
        <w:tc>
          <w:tcPr>
            <w:tcW w:w="115" w:type="dxa"/>
            <w:tcBorders/>
            <w:shd w:fill="FFFFFF" w:val="clear"/>
            <w:vAlign w:val="center"/>
          </w:tcPr>
          <w:p>
            <w:pPr>
              <w:pStyle w:val="TableContents"/>
              <w:bidi w:val="0"/>
              <w:spacing w:before="0" w:after="283"/>
              <w:jc w:val="left"/>
              <w:rPr/>
            </w:pPr>
            <w:r>
              <w:rPr/>
              <w:t> </w:t>
            </w:r>
          </w:p>
        </w:tc>
      </w:tr>
      <w:tr>
        <w:trPr/>
        <w:tc>
          <w:tcPr>
            <w:tcW w:w="8134" w:type="dxa"/>
            <w:tcBorders/>
            <w:shd w:fill="CCEEFF" w:val="clear"/>
            <w:vAlign w:val="center"/>
          </w:tcPr>
          <w:p>
            <w:pPr>
              <w:pStyle w:val="TableContents"/>
              <w:bidi w:val="0"/>
              <w:spacing w:before="0" w:after="283"/>
              <w:jc w:val="left"/>
              <w:rPr/>
            </w:pPr>
            <w:r>
              <w:rPr/>
              <w:t>Costs from issuing common stock and pre-funded warrants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left"/>
              <w:rPr>
                <w:sz w:val="4"/>
                <w:szCs w:val="4"/>
              </w:rPr>
            </w:pPr>
            <w:r>
              <w:rPr>
                <w:sz w:val="4"/>
                <w:szCs w:val="4"/>
              </w:rPr>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left"/>
              <w:rPr>
                <w:sz w:val="4"/>
                <w:szCs w:val="4"/>
              </w:rPr>
            </w:pPr>
            <w:r>
              <w:rPr>
                <w:sz w:val="4"/>
                <w:szCs w:val="4"/>
              </w:rPr>
            </w:r>
          </w:p>
        </w:tc>
        <w:tc>
          <w:tcPr>
            <w:tcW w:w="115" w:type="dxa"/>
            <w:tcBorders/>
            <w:shd w:fill="CCEEFF" w:val="clear"/>
            <w:vAlign w:val="center"/>
          </w:tcPr>
          <w:p>
            <w:pPr>
              <w:pStyle w:val="TableContents"/>
              <w:bidi w:val="0"/>
              <w:spacing w:before="0" w:after="283"/>
              <w:jc w:val="left"/>
              <w:rPr>
                <w:sz w:val="4"/>
                <w:szCs w:val="4"/>
              </w:rPr>
            </w:pPr>
            <w:r>
              <w:rPr>
                <w:sz w:val="4"/>
                <w:szCs w:val="4"/>
              </w:rPr>
            </w:r>
          </w:p>
        </w:tc>
      </w:tr>
      <w:tr>
        <w:trPr/>
        <w:tc>
          <w:tcPr>
            <w:tcW w:w="8134" w:type="dxa"/>
            <w:tcBorders/>
            <w:shd w:fill="FFFFFF" w:val="clear"/>
            <w:vAlign w:val="center"/>
          </w:tcPr>
          <w:p>
            <w:pPr>
              <w:pStyle w:val="TableContents"/>
              <w:bidi w:val="0"/>
              <w:spacing w:before="0" w:after="283"/>
              <w:jc w:val="left"/>
              <w:rPr/>
            </w:pPr>
            <w:r>
              <w:rPr/>
              <w:t>Payment of preferred stock dividend</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8" w:type="dxa"/>
            <w:tcBorders>
              <w:bottom w:val="single" w:sz="8" w:space="0" w:color="000000"/>
            </w:tcBorders>
            <w:shd w:fill="FFFFFF" w:val="clear"/>
            <w:tcMar>
              <w:bottom w:w="28" w:type="dxa"/>
            </w:tcMar>
            <w:vAlign w:val="center"/>
          </w:tcPr>
          <w:p>
            <w:pPr>
              <w:pStyle w:val="TableContents"/>
              <w:bidi w:val="0"/>
              <w:spacing w:before="0" w:after="283"/>
              <w:jc w:val="right"/>
              <w:rPr/>
            </w:pPr>
            <w:r>
              <w:rPr/>
              <w:t>(41</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(41</w:t>
            </w:r>
          </w:p>
        </w:tc>
        <w:tc>
          <w:tcPr>
            <w:tcW w:w="115" w:type="dxa"/>
            <w:tcBorders/>
            <w:shd w:fill="FFFFFF" w:val="clear"/>
            <w:vAlign w:val="center"/>
          </w:tcPr>
          <w:p>
            <w:pPr>
              <w:pStyle w:val="TableContents"/>
              <w:bidi w:val="0"/>
              <w:spacing w:before="0" w:after="283"/>
              <w:jc w:val="left"/>
              <w:rPr/>
            </w:pPr>
            <w:r>
              <w:rPr/>
              <w:t>)</w:t>
            </w:r>
          </w:p>
        </w:tc>
      </w:tr>
      <w:tr>
        <w:trPr/>
        <w:tc>
          <w:tcPr>
            <w:tcW w:w="8134"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8" w:type="dxa"/>
            <w:tcBorders>
              <w:bottom w:val="single" w:sz="8" w:space="0" w:color="000000"/>
            </w:tcBorders>
            <w:shd w:fill="CCEEFF" w:val="clear"/>
            <w:tcMar>
              <w:bottom w:w="28" w:type="dxa"/>
            </w:tcMar>
            <w:vAlign w:val="center"/>
          </w:tcPr>
          <w:p>
            <w:pPr>
              <w:pStyle w:val="TableContents"/>
              <w:bidi w:val="0"/>
              <w:spacing w:before="0" w:after="283"/>
              <w:jc w:val="right"/>
              <w:rPr/>
            </w:pPr>
            <w:r>
              <w:rPr/>
              <w:t>878</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5,526</w:t>
            </w:r>
          </w:p>
        </w:tc>
        <w:tc>
          <w:tcPr>
            <w:tcW w:w="115" w:type="dxa"/>
            <w:tcBorders/>
            <w:shd w:fill="CCEEFF" w:val="clear"/>
            <w:vAlign w:val="center"/>
          </w:tcPr>
          <w:p>
            <w:pPr>
              <w:pStyle w:val="TableContents"/>
              <w:bidi w:val="0"/>
              <w:spacing w:before="0" w:after="283"/>
              <w:jc w:val="left"/>
              <w:rPr/>
            </w:pPr>
            <w:r>
              <w:rPr/>
              <w:t> </w:t>
            </w:r>
          </w:p>
        </w:tc>
      </w:tr>
      <w:tr>
        <w:trPr/>
        <w:tc>
          <w:tcPr>
            <w:tcW w:w="81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8134" w:type="dxa"/>
            <w:tcBorders/>
            <w:shd w:fill="CCEEFF" w:val="clear"/>
            <w:vAlign w:val="center"/>
          </w:tcPr>
          <w:p>
            <w:pPr>
              <w:pStyle w:val="TableContents"/>
              <w:bidi w:val="0"/>
              <w:spacing w:before="0" w:after="283"/>
              <w:jc w:val="left"/>
              <w:rPr/>
            </w:pPr>
            <w:r>
              <w:rPr/>
              <w:t>Effect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8" w:type="dxa"/>
            <w:tcBorders>
              <w:bottom w:val="single" w:sz="8" w:space="0" w:color="000000"/>
            </w:tcBorders>
            <w:shd w:fill="CCEEFF" w:val="clear"/>
            <w:tcMar>
              <w:bottom w:w="28" w:type="dxa"/>
            </w:tcMar>
            <w:vAlign w:val="center"/>
          </w:tcPr>
          <w:p>
            <w:pPr>
              <w:pStyle w:val="TableContents"/>
              <w:bidi w:val="0"/>
              <w:spacing w:before="0" w:after="283"/>
              <w:jc w:val="right"/>
              <w:rPr/>
            </w:pPr>
            <w:r>
              <w:rPr/>
              <w:t>38</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(85</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r>
        <w:trPr/>
        <w:tc>
          <w:tcPr>
            <w:tcW w:w="8134" w:type="dxa"/>
            <w:tcBorders/>
            <w:shd w:fill="FFFFFF" w:val="clear"/>
            <w:vAlign w:val="center"/>
          </w:tcPr>
          <w:p>
            <w:pPr>
              <w:pStyle w:val="TableContents"/>
              <w:bidi w:val="0"/>
              <w:spacing w:before="0" w:after="283"/>
              <w:jc w:val="left"/>
              <w:rPr/>
            </w:pPr>
            <w:r>
              <w:rPr/>
              <w:t>Net (decrease)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285</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1,138</w:t>
            </w:r>
          </w:p>
        </w:tc>
        <w:tc>
          <w:tcPr>
            <w:tcW w:w="115" w:type="dxa"/>
            <w:tcBorders/>
            <w:shd w:fill="FFFFFF" w:val="clear"/>
            <w:vAlign w:val="center"/>
          </w:tcPr>
          <w:p>
            <w:pPr>
              <w:pStyle w:val="TableContents"/>
              <w:bidi w:val="0"/>
              <w:spacing w:before="0" w:after="283"/>
              <w:jc w:val="left"/>
              <w:rPr/>
            </w:pPr>
            <w:r>
              <w:rPr/>
              <w:t> </w:t>
            </w:r>
          </w:p>
        </w:tc>
      </w:tr>
      <w:tr>
        <w:trPr/>
        <w:tc>
          <w:tcPr>
            <w:tcW w:w="8134" w:type="dxa"/>
            <w:tcBorders/>
            <w:shd w:fill="CCEEFF" w:val="clear"/>
            <w:vAlign w:val="center"/>
          </w:tcPr>
          <w:p>
            <w:pPr>
              <w:pStyle w:val="TableContents"/>
              <w:bidi w:val="0"/>
              <w:spacing w:before="0" w:after="283"/>
              <w:jc w:val="left"/>
              <w:rPr/>
            </w:pPr>
            <w:r>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8" w:type="dxa"/>
            <w:tcBorders>
              <w:bottom w:val="single" w:sz="8" w:space="0" w:color="000000"/>
            </w:tcBorders>
            <w:shd w:fill="CCEEFF" w:val="clear"/>
            <w:tcMar>
              <w:bottom w:w="28" w:type="dxa"/>
            </w:tcMar>
            <w:vAlign w:val="center"/>
          </w:tcPr>
          <w:p>
            <w:pPr>
              <w:pStyle w:val="TableContents"/>
              <w:bidi w:val="0"/>
              <w:spacing w:before="0" w:after="283"/>
              <w:jc w:val="right"/>
              <w:rPr/>
            </w:pPr>
            <w:r>
              <w:rPr/>
              <w:t>3,505</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3,137</w:t>
            </w:r>
          </w:p>
        </w:tc>
        <w:tc>
          <w:tcPr>
            <w:tcW w:w="115" w:type="dxa"/>
            <w:tcBorders/>
            <w:shd w:fill="CCEEFF" w:val="clear"/>
            <w:vAlign w:val="center"/>
          </w:tcPr>
          <w:p>
            <w:pPr>
              <w:pStyle w:val="TableContents"/>
              <w:bidi w:val="0"/>
              <w:spacing w:before="0" w:after="283"/>
              <w:jc w:val="left"/>
              <w:rPr/>
            </w:pPr>
            <w:r>
              <w:rPr/>
              <w:t> </w:t>
            </w:r>
          </w:p>
        </w:tc>
      </w:tr>
      <w:tr>
        <w:trPr/>
        <w:tc>
          <w:tcPr>
            <w:tcW w:w="8134" w:type="dxa"/>
            <w:tcBorders/>
            <w:shd w:fill="FFFFFF" w:val="clear"/>
            <w:vAlign w:val="center"/>
          </w:tcPr>
          <w:p>
            <w:pPr>
              <w:pStyle w:val="TableContents"/>
              <w:bidi w:val="0"/>
              <w:spacing w:before="0" w:after="283"/>
              <w:jc w:val="left"/>
              <w:rPr/>
            </w:pPr>
            <w:r>
              <w:rPr/>
              <w:t>Cash and cash equivalents, end of period</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08" w:type="dxa"/>
            <w:tcBorders>
              <w:bottom w:val="double" w:sz="6" w:space="0" w:color="000000"/>
            </w:tcBorders>
            <w:shd w:fill="FFFFFF" w:val="clear"/>
            <w:tcMar>
              <w:bottom w:w="28" w:type="dxa"/>
            </w:tcMar>
            <w:vAlign w:val="center"/>
          </w:tcPr>
          <w:p>
            <w:pPr>
              <w:pStyle w:val="TableContents"/>
              <w:bidi w:val="0"/>
              <w:spacing w:before="0" w:after="283"/>
              <w:jc w:val="right"/>
              <w:rPr/>
            </w:pPr>
            <w:r>
              <w:rPr/>
              <w:t>3,790</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20" w:type="dxa"/>
            <w:tcBorders>
              <w:bottom w:val="double" w:sz="6" w:space="0" w:color="000000"/>
            </w:tcBorders>
            <w:shd w:fill="FFFFFF" w:val="clear"/>
            <w:tcMar>
              <w:bottom w:w="28" w:type="dxa"/>
            </w:tcMar>
            <w:vAlign w:val="center"/>
          </w:tcPr>
          <w:p>
            <w:pPr>
              <w:pStyle w:val="TableContents"/>
              <w:bidi w:val="0"/>
              <w:spacing w:before="0" w:after="283"/>
              <w:jc w:val="right"/>
              <w:rPr/>
            </w:pPr>
            <w:r>
              <w:rPr/>
              <w:t>4,275</w:t>
            </w:r>
          </w:p>
        </w:tc>
        <w:tc>
          <w:tcPr>
            <w:tcW w:w="115" w:type="dxa"/>
            <w:tcBorders/>
            <w:shd w:fill="FFFFFF" w:val="clear"/>
            <w:vAlign w:val="center"/>
          </w:tcPr>
          <w:p>
            <w:pPr>
              <w:pStyle w:val="TableContents"/>
              <w:bidi w:val="0"/>
              <w:spacing w:before="0" w:after="283"/>
              <w:jc w:val="left"/>
              <w:rPr/>
            </w:pPr>
            <w:r>
              <w:rPr/>
              <w:t> </w:t>
            </w:r>
          </w:p>
        </w:tc>
      </w:tr>
      <w:tr>
        <w:trPr/>
        <w:tc>
          <w:tcPr>
            <w:tcW w:w="8134" w:type="dxa"/>
            <w:tcBorders/>
            <w:shd w:fill="CCEEFF" w:val="clear"/>
            <w:vAlign w:val="center"/>
          </w:tcPr>
          <w:p>
            <w:pPr>
              <w:pStyle w:val="TableContents"/>
              <w:bidi w:val="0"/>
              <w:spacing w:before="0" w:after="283"/>
              <w:jc w:val="left"/>
              <w:rPr>
                <w:b/>
              </w:rPr>
            </w:pPr>
            <w:r>
              <w:rPr>
                <w:b/>
              </w:rPr>
              <w:t>Supplemental cash flow information:</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8134" w:type="dxa"/>
            <w:tcBorders/>
            <w:shd w:fill="FFFFFF" w:val="clear"/>
            <w:vAlign w:val="center"/>
          </w:tcPr>
          <w:p>
            <w:pPr>
              <w:pStyle w:val="TableContents"/>
              <w:bidi w:val="0"/>
              <w:spacing w:before="0" w:after="283"/>
              <w:jc w:val="left"/>
              <w:rPr/>
            </w:pPr>
            <w:r>
              <w:rPr/>
              <w:t> </w:t>
            </w:r>
            <w:r>
              <w:rPr/>
              <w:t>Non cash financing activities: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81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8134" w:type="dxa"/>
            <w:tcBorders/>
            <w:shd w:fill="FFFFFF" w:val="clear"/>
            <w:vAlign w:val="center"/>
          </w:tcPr>
          <w:p>
            <w:pPr>
              <w:pStyle w:val="TableContents"/>
              <w:bidi w:val="0"/>
              <w:spacing w:before="0" w:after="283"/>
              <w:jc w:val="left"/>
              <w:rPr/>
            </w:pPr>
            <w:r>
              <w:rPr/>
              <w:t>Cash received during the period for:</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8134" w:type="dxa"/>
            <w:tcBorders/>
            <w:shd w:fill="CCEEFF" w:val="clear"/>
            <w:vAlign w:val="center"/>
          </w:tcPr>
          <w:p>
            <w:pPr>
              <w:pStyle w:val="TableContents"/>
              <w:bidi w:val="0"/>
              <w:spacing w:before="0" w:after="283"/>
              <w:jc w:val="left"/>
              <w:rPr/>
            </w:pPr>
            <w:r>
              <w:rPr/>
              <w:t>Interest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608" w:type="dxa"/>
            <w:tcBorders/>
            <w:shd w:fill="CCEEFF" w:val="clear"/>
            <w:vAlign w:val="center"/>
          </w:tcPr>
          <w:p>
            <w:pPr>
              <w:pStyle w:val="TableContents"/>
              <w:bidi w:val="0"/>
              <w:spacing w:before="0" w:after="283"/>
              <w:jc w:val="right"/>
              <w:rPr/>
            </w:pPr>
            <w:r>
              <w:rPr/>
              <w:t>18</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r>
              <w:rPr/>
              <w:t>12</w:t>
            </w:r>
          </w:p>
        </w:tc>
        <w:tc>
          <w:tcPr>
            <w:tcW w:w="115" w:type="dxa"/>
            <w:tcBorders/>
            <w:shd w:fill="CCEEFF" w:val="clear"/>
            <w:vAlign w:val="center"/>
          </w:tcPr>
          <w:p>
            <w:pPr>
              <w:pStyle w:val="TableContents"/>
              <w:bidi w:val="0"/>
              <w:spacing w:before="0" w:after="283"/>
              <w:jc w:val="left"/>
              <w:rPr/>
            </w:pPr>
            <w:r>
              <w:rPr/>
              <w:t> </w:t>
            </w:r>
          </w:p>
        </w:tc>
      </w:tr>
      <w:tr>
        <w:trPr/>
        <w:tc>
          <w:tcPr>
            <w:tcW w:w="81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8134" w:type="dxa"/>
            <w:tcBorders/>
            <w:shd w:fill="CCEEFF" w:val="clear"/>
            <w:vAlign w:val="center"/>
          </w:tcPr>
          <w:p>
            <w:pPr>
              <w:pStyle w:val="TableContents"/>
              <w:bidi w:val="0"/>
              <w:spacing w:before="0" w:after="283"/>
              <w:jc w:val="left"/>
              <w:rPr/>
            </w:pPr>
            <w:r>
              <w:rPr/>
              <w:t>Cash paid during the period for:</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8134" w:type="dxa"/>
            <w:tcBorders/>
            <w:shd w:fill="FFFFFF" w:val="clear"/>
            <w:vAlign w:val="center"/>
          </w:tcPr>
          <w:p>
            <w:pPr>
              <w:pStyle w:val="TableContents"/>
              <w:bidi w:val="0"/>
              <w:spacing w:before="0" w:after="283"/>
              <w:jc w:val="left"/>
              <w:rPr/>
            </w:pPr>
            <w:r>
              <w:rPr/>
              <w:t>Interest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5</w:t>
            </w:r>
          </w:p>
        </w:tc>
        <w:tc>
          <w:tcPr>
            <w:tcW w:w="11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6" w:name="ns_008"/>
      <w:bookmarkEnd w:id="116"/>
      <w:r>
        <w:rPr>
          <w:rFonts w:ascii="Times New Roman;Times;Serif" w:hAnsi="Times New Roman;Times;Serif"/>
          <w:b/>
          <w:i w:val="false"/>
          <w:caps w:val="false"/>
          <w:smallCaps w:val="false"/>
          <w:sz w:val="20"/>
        </w:rPr>
        <w:t>NOTES TO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Company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Nature of Operations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(the “Company”) (formerly Cyclacel Pharmaceuticals, Inc.) is a diversified company that was formerly engaged in the biopharmaceutical industry but as of September 2025 has shifted its operations to focus on provision of fire safety protection and distribution activities. Specifically, on September 12, 2025, the Company completed its acquisition of Fitters Sdn. Bhd., a Malaysia-based company specializing in fire protection products and services. Headquartered in Malaysia, the Company is now focused on advancing opportunities across these distinct sectors whilst maintaining its commitment to driving long-term value creation for stockholders. Since that time, substantially all efforts of the Company have been focused on the supply and trading of protective and fire safety equipment providing a wide range of fire safety products, including fire extinguishers, foam systems, fire-resistant doors, personal protective equipment, and fire safety apparel. Our mission is to deliver high-quality, certified safety solutions that enhance protection across commercial, industrial, healthcare, and residential sectors with a focus on trading and distribution to position us as a key player in Malaysia’s fire safety market, with a reputation for reliability and compliance with stringent regulatory standards.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24, 2025, the Company’s previous wholly owned United Kingdom subsidiary, Cyclacel Limited, entered into a creditors voluntary liquidation. Upon the commencement of the liquidation of Cyclacel Limited, the Company lost operational and strategic control over Cyclacel Limited and the financial results of Cyclacel Limited have been deconsolidated from the Company as of January 24, 2025. The deconsolidation of the subsidiary resulted in a gain on deconsolidation of approximately $5.0 million shown as a component of gain from discontinued operations within the income statement for the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balance sheet as of June 30, 2026, the consolidated statements of operations, comprehensive loss, and stockholders’ equity for the six months ended June 30, 2026, and 2025 and the consolidated statements of cash flows for six months ended June 30, 2026, and 2025, and all related disclosures contained in the accompanying notes, are unaudited. The consolidated balance sheet as of December 31, 2025 is derived from the audited consolidated financial statements included in the Annual Report on Form 10-K for the fiscal year ended December 31, 2025 filed with the Securities and Exchange Commission (the “SEC”) on March 30, 2026. The consolidated financial statements are presented on the basis of accounting principles that are generally accepted in the United States (“GAAP”) for interim financial information and in accordance with the rules and regulations of the SEC. Accordingly, they do not include all the information and footnotes required by accounting principles generally accepted in the United States for a complete set of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all adjustments, which include only normal recurring adjustments necessary to present fairly the consolidated balance sheet as of June 30, 2026, and the results of operations, comprehensive loss, and changes in stockholders’ equity for the six months ended June 30, 2026, and cash flows for the six months ended June 30, 2026, have been made. The interim results for six months ended June 30, 2026 are not necessarily indicative of the results to be expected for the year ending December 31, 2026 or for any other reporting period. The consolidated financial statements should be read in conjunction with the audited consolidated financial statements and the accompanying notes for the year ended December 31, 2025, that are included in the Company’s Annual Report on Form 10-K filed with the SEC on March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operations, comprehensive loss, and stockholders’ equity for the six months ended June 30, 2026 include Fitters Sdn. Bhd.</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Reverse Stock Splits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2025, the Company completed a one-for-sixteen reverse stock split, which reduced the number of shares of the Company’s common stock that were issued and outstanding immediately prior to the effectiveness of the reverse stock split. On July 7, 2025, the Company completed a one-for-fifteen reverse stock split, which reduced the number of shares of the Company’s common stock that were issued and outstanding immediately prior to the effectiveness of the reverse stock split. The number of shares of the Company’s authorized common stock was not affected by the reverse stock splits and the par value of the Company’s common stock remained unchanged at $0.001 per share. In addition, the number of shares or other equity instruments issuable under the Company’s equity incentive plans were not adjusted in connection with the May or July 2025 reverse stock splits. No fractional shares were issued in connection with the reverse stock splits. Stockholders who otherwise held fractional shares of the Company’s common stock as a result of the reverse stock split received a cash payment in lieu of such fractional shares. All amounts related to number of shares and per share amounts have been retroactively restated in these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Accounting Standard Codification (ASC) 205-40, </w:t>
      </w:r>
      <w:r>
        <w:rPr>
          <w:rFonts w:ascii="Times New Roman;Times;Serif" w:hAnsi="Times New Roman;Times;Serif"/>
          <w:b w:val="false"/>
          <w:i/>
          <w:caps w:val="false"/>
          <w:smallCaps w:val="false"/>
          <w:sz w:val="20"/>
        </w:rPr>
        <w:t>Presentation of Financial Statements-Going Concern</w:t>
      </w:r>
      <w:r>
        <w:rPr>
          <w:rFonts w:ascii="Times New Roman;Times;Serif" w:hAnsi="Times New Roman;Times;Serif"/>
          <w:b w:val="false"/>
          <w:i w:val="false"/>
          <w:caps w:val="false"/>
          <w:smallCaps w:val="false"/>
          <w:sz w:val="20"/>
        </w:rPr>
        <w:t>, management is required at each reporting period to evaluate whether there are conditions or events, considered in the aggregate, that raise substantial doubt about an entity’s ability to continue as a going concern within one year after the date that the financial statements are issued. 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effects of its plans sufficiently alleviate the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for one year after the date that these financial statements are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its analysis, management excluded certain elements of its operating plan that cannot be considered probable. Under ASC 205-40, the future receipts of potential funding from future equity or debt issuances or by entering into partnership agreements cannot be considered probable at this time because these plans are not entirely within the Company’s control nor have they been approved by the Board of Directors as of the date of these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Company’s current operating plan, it is anticipated that cash and cash equivalents of $3.8 million as of June 30, 2026, will allow it to meet its liquidity requirements into the first quarter of 2027. The Company’s history of losses, negative cash flows from operations, liquidity resources currently on hand, and its dependence on the ability to obtain additional financing to fund its operations after the current resources are exhausted, about which there can be no certainty, have resulted in the assessment that there is substantial doubt about the Company’s ability to continue as a going concern for a period of at least twelve months from the issuance date of these financial statements. While the Company has plans in place to mitigate this risk, which primarily consist of raising additional capital through equity financing or by entering into a strategic transaction, there is no guarantee that it will be successful in these mitigation efforts. In the event that we are not able to secure funding, we may be forced to curtail operations, delay or stop ongoing development activities, cease operations altogether, and/or file for bankruptcy.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on a going concern basis, which contemplates realization of assets and the satisfaction of liabilities in the normal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Newly Adopted Accounting Pronouncements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2025, the Company adopted Accounting Standards Update (“ASU”)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This standard requires all entities to include specified captions when reconciling the statutory income tax rate to the effective tax rate, on both a percentage and absolute dollar basis, in the annual financial statements. ASU 2023-09 also requires entities to disclose the amount of income taxes paid (net of refunds received) disaggregated by federal (national), state, and foreign for each annual reporting period, with separate disclosure of individual jurisdictions for which tax payments to, or receipts from, exceed a defined threshold. The Company does not anticipate the adoption of ASU 2023-09 will require significant adjustments to the presentation of that information in the Company’s annual financial statements.</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Issued Accounting Pronouncements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FASB has issued ASU 2024-03, “</w:t>
      </w:r>
      <w:r>
        <w:rPr>
          <w:rFonts w:ascii="Times New Roman;Times;Serif" w:hAnsi="Times New Roman;Times;Serif"/>
          <w:b w:val="false"/>
          <w:i/>
          <w:caps w:val="false"/>
          <w:smallCaps w:val="false"/>
          <w:sz w:val="20"/>
        </w:rPr>
        <w:t>Income Statement—Reporting Comprehensive Income—Expense Disaggregation Disclosures (Subtopic 220-40): Disaggregation of Income Statement Expenses</w:t>
      </w:r>
      <w:r>
        <w:rPr>
          <w:rFonts w:ascii="Times New Roman;Times;Serif" w:hAnsi="Times New Roman;Times;Serif"/>
          <w:b w:val="false"/>
          <w:i w:val="false"/>
          <w:caps w:val="false"/>
          <w:smallCaps w:val="false"/>
          <w:sz w:val="20"/>
        </w:rPr>
        <w:t>”. This standard will require all public entities to disclose additional information about specific expense categories in the notes to financial statements at interim and annual reporting periods. The amendments in ASU 2024-03 are effective for annual reporting periods beginning after December 15, 2026, and interim reporting periods beginning after December 15, 2027. ASU 2024-03 will not change the way in which expenses are recognized or measured. However, the Company is currently evaluating the effects of ASU 2024-03 on its financial statement presentation and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of Financial Instruments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consist of cash equivalents, accounts payable and accrued liabilities. The carrying amounts of cash equivalents, accounts payable and accrued liabilities approximate their respective fair values due to the nature of the accounts and their short maturities.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Segments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managed and operated as one business which is currently focused on the sale and distribution of fire safety materials, equipment and fire prevention systems. The entire business is managed by a single management team that reports to the Chief Executive Officer. Similarly, the Company’s legacy operations within the biotechnology industry was also managed entirely by a single management team that reported into the Chief Executive Officer. The Company has not operated separate lines of business with respect to any of its operations and the Company did not prepare discrete financial information with respect to separate products or product candidates or by location through June 30, 2026. Accordingly, the Company views its current business as one reportable operating segment with operations in one geographic area, namely Malaysia.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Comprehensive Income (Loss)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components of comprehensive income (loss), including net income (loss), are reported in the financial statements in the period in which they are recognized. Comprehensive income (loss) is defined as the change in equity during a period from transactions and other events and circumstances from non-owner sources. Net income (loss) and other comprehensive income (loss), including foreign currency translation adjustments, are reported, net of any related tax effect, to arrive at comprehensive income (loss). No taxes were recorded on items of other comprehensive income (loss). There were no reclassifications out of other comprehensive income (loss) during the six months ended June 30, 2026, and 2025 except that upon deconsolidation of the Company’s formerly wholly-owned United Kingdom based subsidiary on January 24, 2025, $0.9 million of accumulated comprehensive income (loss) was reclassified into earnings as part of the gain on deconsolidation, which is presented as a component of discontinued operations in the consolidated statements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and Currency Translation</w:t>
      </w:r>
    </w:p>
    <w:p>
      <w:pPr>
        <w:pStyle w:val="TextBody"/>
        <w:bidi w:val="0"/>
        <w:spacing w:before="0" w:after="0"/>
        <w:ind w:left="16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that are denominated in a foreign currency are remeasured into the functional currency at the current exchange rate on the date of the transaction. Any foreign currency-denominated monetary assets and liabilities are subsequently remeasured at current exchange rates, with gains or losses recognized as foreign exchange (losses) gains in the statement of operations. This accounting policy is also applied to foreign currency denominated intercompany payables or receivables for which settlement is planned or anticipated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January 24, 2025, the assets and liabilities of the Company’s international subsidiary Cyclacel Limited were translated from its functional currency into United States dollars at exchange rates prevailing at the balance sheet date. Average rates of exchange during the period are used to translate the statement of operations, while historical rates of exchange are used to translate any equity transactions. Translation adjustments arising on consolidation due to differences between average rates and balance sheet rates, as well as unrealized foreign exchange gains or losses arising from translation of intercompany loans for which settlement is not planned or anticipated in the foreseeable future and that are of a long-term-investment nature, were recorded in other comprehensive loss.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acquisition of Fitters Sdn. Bhd, the assets and liabilities this subsidiary have been translated from its functional currency into United States dollars at exchange rates prevailing at the balance sheet date. Average rates of exchange during the period are used to translate the statement of operations, while historical rates of exchange are used to translate any equity transactions. Translation adjustments arising on consolidation due to differences between average rates and balance sheet rates, as well as unrealized foreign exchange gains or losses arising from translation were recorded in other comprehensive loss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lease contracts in accordance with ASC 842. As of June 30, 2026, the Company’s outstanding leases are classified as operating leases.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an asset for the right to use an underlying leased asset for the lease term and records lease liabilities based on the present value of the Company’s obligation to make lease payments under the lease. As the Company’s leases do not indicate an implicit rate, the Company uses a best estimate of its incremental borrowing rate to discount the future lease payments. The Company estimates its incremental borrowing rate based on observable information about risk-free interest rates that are the same tenure as the lease term, adjusted for various factors, including the effects of assumed collateral, the nature of how the loan is repaid (e.g., amortizing versus bullet), and the Company’s credit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lessee-controlled options included in its lease agreements to extend or terminate the lease. The Company will reflect the effects of exercising those options in the lease term when it is reasonably certain that the Company will exercise that option. In assessing whether it is reasonably certain that the Company will exercise an option, the Company considers factors such as:</w:t>
      </w:r>
    </w:p>
    <w:p>
      <w:pPr>
        <w:pStyle w:val="TextBody"/>
        <w:bidi w:val="0"/>
        <w:spacing w:before="0" w:after="0"/>
        <w:ind w:left="0" w:right="0" w:firstLine="720"/>
        <w:jc w:val="both"/>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5"/>
        <w:gridCol w:w="170"/>
        <w:gridCol w:w="76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payments due in any optional period;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6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Penalties for failure to exercise (or not exercise) the option;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6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factors, such as the availability of similar assets and current rental rates for such assets;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6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underlying leased asset and its importance to the Company’s operations;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6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useful lives of any related leasehold improvements.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expense for operating leases is recognized on a straight-line basis over the lease term. Variable lease payments, if any, are recognized in the period when the obligation to make those payments is incurred. Lease incentives received prior to lease commencement are recorded as a reduction in the right-of-use asset. Fixed lease incentives received after lease commencement reduce both the lease liability and the right-of-use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an accounting policy to account for the lease and non-lease components as a single lease component.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Discontinued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losses for the three and six months ended June 30, 2025 from discontinued operations related wholly to research and development expenditures during the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cash flows for the six months ended June 30, 2025 from discontinued operations amounted to $4.1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Accounting Standards Codification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The Company derives revenue primarily from the sale of various protective and fire safety equipment.</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Nature of Goods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is generated from the sale of tangible products, including:</w:t>
      </w:r>
    </w:p>
    <w:p>
      <w:pPr>
        <w:pStyle w:val="TextBody"/>
        <w:bidi w:val="0"/>
        <w:spacing w:before="0" w:after="0"/>
        <w:ind w:left="720" w:right="0" w:hanging="36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Fire safety equipment and extinguishers;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0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Foam system;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0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Fire resistant doors;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0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 Protective Equipment (PPE) and Fire Safety Apparel.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products are sold directly to customers (e.g., municipalities, fire contractors, distributors and individuals).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Disaggregation of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disaggregates revenue by product category, which the Company believes best depicts how the nature, amount, timing, and uncertainty of revenue and cash flows are affected by economic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total revenue by product for the six months ended June 30, 2026 and 2025 (in thousands):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Disaggregation of Revenue </w:t>
      </w:r>
    </w:p>
    <w:tbl>
      <w:tblPr>
        <w:tblW w:w="6441" w:type="dxa"/>
        <w:jc w:val="left"/>
        <w:tblInd w:w="0" w:type="dxa"/>
        <w:tblLayout w:type="fixed"/>
        <w:tblCellMar>
          <w:top w:w="0" w:type="dxa"/>
          <w:left w:w="0" w:type="dxa"/>
          <w:bottom w:w="28" w:type="dxa"/>
          <w:right w:w="0" w:type="dxa"/>
        </w:tblCellMar>
      </w:tblPr>
      <w:tblGrid>
        <w:gridCol w:w="2840"/>
        <w:gridCol w:w="60"/>
        <w:gridCol w:w="332"/>
        <w:gridCol w:w="1331"/>
        <w:gridCol w:w="70"/>
        <w:gridCol w:w="70"/>
        <w:gridCol w:w="988"/>
        <w:gridCol w:w="675"/>
        <w:gridCol w:w="75"/>
      </w:tblGrid>
      <w:tr>
        <w:trPr/>
        <w:tc>
          <w:tcPr>
            <w:tcW w:w="2840" w:type="dxa"/>
            <w:tcBorders>
              <w:bottom w:val="single" w:sz="8" w:space="0" w:color="000000"/>
            </w:tcBorders>
            <w:vAlign w:val="center"/>
          </w:tcPr>
          <w:p>
            <w:pPr>
              <w:pStyle w:val="TableContents"/>
              <w:bidi w:val="0"/>
              <w:spacing w:before="0" w:after="283"/>
              <w:jc w:val="center"/>
              <w:rPr>
                <w:b/>
              </w:rPr>
            </w:pPr>
            <w:r>
              <w:rPr>
                <w:b/>
              </w:rPr>
              <w:t>Product</w:t>
            </w:r>
          </w:p>
        </w:tc>
        <w:tc>
          <w:tcPr>
            <w:tcW w:w="60" w:type="dxa"/>
            <w:tcBorders/>
            <w:tcMar>
              <w:bottom w:w="0" w:type="dxa"/>
            </w:tcMar>
            <w:vAlign w:val="center"/>
          </w:tcPr>
          <w:p>
            <w:pPr>
              <w:pStyle w:val="TableContents"/>
              <w:bidi w:val="0"/>
              <w:spacing w:before="0" w:after="283"/>
              <w:jc w:val="left"/>
              <w:rPr/>
            </w:pPr>
            <w:r>
              <w:rPr/>
              <w:t> </w:t>
            </w:r>
          </w:p>
        </w:tc>
        <w:tc>
          <w:tcPr>
            <w:tcW w:w="1663" w:type="dxa"/>
            <w:gridSpan w:val="2"/>
            <w:tcBorders>
              <w:bottom w:val="single" w:sz="8" w:space="0" w:color="000000"/>
            </w:tcBorders>
            <w:vAlign w:val="center"/>
          </w:tcPr>
          <w:p>
            <w:pPr>
              <w:pStyle w:val="TableContents"/>
              <w:bidi w:val="0"/>
              <w:spacing w:before="0" w:after="283"/>
              <w:jc w:val="center"/>
              <w:rPr>
                <w:b/>
              </w:rPr>
            </w:pPr>
            <w:r>
              <w:rPr>
                <w:b/>
              </w:rPr>
              <w:t>June 30, 2026</w:t>
            </w:r>
          </w:p>
        </w:tc>
        <w:tc>
          <w:tcPr>
            <w:tcW w:w="70" w:type="dxa"/>
            <w:tcBorders/>
            <w:tcMar>
              <w:bottom w:w="0" w:type="dxa"/>
            </w:tcMar>
            <w:vAlign w:val="center"/>
          </w:tcPr>
          <w:p>
            <w:pPr>
              <w:pStyle w:val="TableContents"/>
              <w:bidi w:val="0"/>
              <w:spacing w:before="0" w:after="283"/>
              <w:jc w:val="left"/>
              <w:rPr/>
            </w:pPr>
            <w:r>
              <w:rPr/>
              <w:t> </w:t>
            </w:r>
          </w:p>
        </w:tc>
        <w:tc>
          <w:tcPr>
            <w:tcW w:w="70" w:type="dxa"/>
            <w:tcBorders/>
            <w:tcMar>
              <w:bottom w:w="0" w:type="dxa"/>
            </w:tcMar>
            <w:vAlign w:val="center"/>
          </w:tcPr>
          <w:p>
            <w:pPr>
              <w:pStyle w:val="TableContents"/>
              <w:bidi w:val="0"/>
              <w:spacing w:before="0" w:after="283"/>
              <w:jc w:val="left"/>
              <w:rPr/>
            </w:pPr>
            <w:r>
              <w:rPr/>
              <w:t> </w:t>
            </w:r>
          </w:p>
        </w:tc>
        <w:tc>
          <w:tcPr>
            <w:tcW w:w="1663" w:type="dxa"/>
            <w:gridSpan w:val="2"/>
            <w:tcBorders>
              <w:bottom w:val="single" w:sz="8" w:space="0" w:color="000000"/>
            </w:tcBorders>
            <w:vAlign w:val="center"/>
          </w:tcPr>
          <w:p>
            <w:pPr>
              <w:pStyle w:val="TableContents"/>
              <w:bidi w:val="0"/>
              <w:spacing w:before="0" w:after="283"/>
              <w:jc w:val="center"/>
              <w:rPr>
                <w:b/>
              </w:rPr>
            </w:pPr>
            <w:r>
              <w:rPr>
                <w:b/>
              </w:rPr>
              <w:t>June 30, 2025</w:t>
            </w:r>
          </w:p>
        </w:tc>
        <w:tc>
          <w:tcPr>
            <w:tcW w:w="75" w:type="dxa"/>
            <w:tcBorders/>
            <w:tcMar>
              <w:bottom w:w="0" w:type="dxa"/>
            </w:tcMar>
            <w:vAlign w:val="center"/>
          </w:tcPr>
          <w:p>
            <w:pPr>
              <w:pStyle w:val="TableContents"/>
              <w:bidi w:val="0"/>
              <w:spacing w:before="0" w:after="283"/>
              <w:jc w:val="left"/>
              <w:rPr/>
            </w:pPr>
            <w:r>
              <w:rPr/>
              <w:t> </w:t>
            </w:r>
          </w:p>
        </w:tc>
      </w:tr>
      <w:tr>
        <w:trPr/>
        <w:tc>
          <w:tcPr>
            <w:tcW w:w="284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3466" w:type="dxa"/>
            <w:gridSpan w:val="6"/>
            <w:tcBorders>
              <w:bottom w:val="single" w:sz="8" w:space="0" w:color="000000"/>
            </w:tcBorders>
            <w:vAlign w:val="center"/>
          </w:tcPr>
          <w:p>
            <w:pPr>
              <w:pStyle w:val="TableContents"/>
              <w:bidi w:val="0"/>
              <w:spacing w:before="0" w:after="283"/>
              <w:jc w:val="center"/>
              <w:rPr>
                <w:b/>
              </w:rPr>
            </w:pPr>
            <w:r>
              <w:rPr>
                <w:b/>
              </w:rPr>
              <w:t xml:space="preserve">Product revenue in $000’s for the </w:t>
              <w:br/>
              <w:t>six months ended:</w:t>
            </w:r>
          </w:p>
        </w:tc>
        <w:tc>
          <w:tcPr>
            <w:tcW w:w="75" w:type="dxa"/>
            <w:tcBorders/>
            <w:tcMar>
              <w:bottom w:w="0" w:type="dxa"/>
            </w:tcMar>
            <w:vAlign w:val="center"/>
          </w:tcPr>
          <w:p>
            <w:pPr>
              <w:pStyle w:val="TableContents"/>
              <w:bidi w:val="0"/>
              <w:spacing w:before="0" w:after="283"/>
              <w:jc w:val="left"/>
              <w:rPr/>
            </w:pPr>
            <w:r>
              <w:rPr/>
              <w:t> </w:t>
            </w:r>
          </w:p>
        </w:tc>
      </w:tr>
      <w:tr>
        <w:trPr/>
        <w:tc>
          <w:tcPr>
            <w:tcW w:w="2840" w:type="dxa"/>
            <w:tcBorders>
              <w:bottom w:val="single" w:sz="8" w:space="0" w:color="000000"/>
            </w:tcBorders>
            <w:vAlign w:val="center"/>
          </w:tcPr>
          <w:p>
            <w:pPr>
              <w:pStyle w:val="TableContents"/>
              <w:bidi w:val="0"/>
              <w:spacing w:before="0" w:after="283"/>
              <w:jc w:val="center"/>
              <w:rPr>
                <w:b/>
              </w:rPr>
            </w:pPr>
            <w:r>
              <w:rPr>
                <w:b/>
              </w:rPr>
              <w:t>Product</w:t>
            </w:r>
          </w:p>
        </w:tc>
        <w:tc>
          <w:tcPr>
            <w:tcW w:w="60" w:type="dxa"/>
            <w:tcBorders/>
            <w:tcMar>
              <w:bottom w:w="0" w:type="dxa"/>
            </w:tcMar>
            <w:vAlign w:val="center"/>
          </w:tcPr>
          <w:p>
            <w:pPr>
              <w:pStyle w:val="TableContents"/>
              <w:bidi w:val="0"/>
              <w:spacing w:before="0" w:after="283"/>
              <w:jc w:val="left"/>
              <w:rPr/>
            </w:pPr>
            <w:r>
              <w:rPr/>
              <w:t> </w:t>
            </w:r>
          </w:p>
        </w:tc>
        <w:tc>
          <w:tcPr>
            <w:tcW w:w="1663" w:type="dxa"/>
            <w:gridSpan w:val="2"/>
            <w:tcBorders>
              <w:bottom w:val="single" w:sz="8" w:space="0" w:color="000000"/>
            </w:tcBorders>
            <w:vAlign w:val="center"/>
          </w:tcPr>
          <w:p>
            <w:pPr>
              <w:pStyle w:val="TableContents"/>
              <w:bidi w:val="0"/>
              <w:spacing w:before="0" w:after="283"/>
              <w:jc w:val="center"/>
              <w:rPr>
                <w:b/>
              </w:rPr>
            </w:pPr>
            <w:r>
              <w:rPr>
                <w:b/>
              </w:rPr>
              <w:t>June 30, 2026</w:t>
            </w:r>
          </w:p>
        </w:tc>
        <w:tc>
          <w:tcPr>
            <w:tcW w:w="70" w:type="dxa"/>
            <w:tcBorders/>
            <w:tcMar>
              <w:bottom w:w="0" w:type="dxa"/>
            </w:tcMar>
            <w:vAlign w:val="center"/>
          </w:tcPr>
          <w:p>
            <w:pPr>
              <w:pStyle w:val="TableContents"/>
              <w:bidi w:val="0"/>
              <w:spacing w:before="0" w:after="283"/>
              <w:jc w:val="left"/>
              <w:rPr/>
            </w:pPr>
            <w:r>
              <w:rPr/>
              <w:t> </w:t>
            </w:r>
          </w:p>
        </w:tc>
        <w:tc>
          <w:tcPr>
            <w:tcW w:w="70" w:type="dxa"/>
            <w:tcBorders/>
            <w:tcMar>
              <w:bottom w:w="0" w:type="dxa"/>
            </w:tcMar>
            <w:vAlign w:val="center"/>
          </w:tcPr>
          <w:p>
            <w:pPr>
              <w:pStyle w:val="TableContents"/>
              <w:bidi w:val="0"/>
              <w:spacing w:before="0" w:after="283"/>
              <w:jc w:val="left"/>
              <w:rPr/>
            </w:pPr>
            <w:r>
              <w:rPr/>
              <w:t> </w:t>
            </w:r>
          </w:p>
        </w:tc>
        <w:tc>
          <w:tcPr>
            <w:tcW w:w="1663" w:type="dxa"/>
            <w:gridSpan w:val="2"/>
            <w:tcBorders>
              <w:bottom w:val="single" w:sz="8" w:space="0" w:color="000000"/>
            </w:tcBorders>
            <w:vAlign w:val="center"/>
          </w:tcPr>
          <w:p>
            <w:pPr>
              <w:pStyle w:val="TableContents"/>
              <w:bidi w:val="0"/>
              <w:spacing w:before="0" w:after="283"/>
              <w:jc w:val="center"/>
              <w:rPr>
                <w:b/>
              </w:rPr>
            </w:pPr>
            <w:r>
              <w:rPr>
                <w:b/>
              </w:rPr>
              <w:t>June 30, 2025</w:t>
            </w:r>
          </w:p>
        </w:tc>
        <w:tc>
          <w:tcPr>
            <w:tcW w:w="75" w:type="dxa"/>
            <w:tcBorders/>
            <w:tcMar>
              <w:bottom w:w="0" w:type="dxa"/>
            </w:tcMar>
            <w:vAlign w:val="center"/>
          </w:tcPr>
          <w:p>
            <w:pPr>
              <w:pStyle w:val="TableContents"/>
              <w:bidi w:val="0"/>
              <w:spacing w:before="0" w:after="283"/>
              <w:jc w:val="left"/>
              <w:rPr/>
            </w:pPr>
            <w:r>
              <w:rPr/>
              <w:t> </w:t>
            </w:r>
          </w:p>
        </w:tc>
      </w:tr>
      <w:tr>
        <w:trPr/>
        <w:tc>
          <w:tcPr>
            <w:tcW w:w="28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63" w:type="dxa"/>
            <w:gridSpan w:val="2"/>
            <w:tcBorders/>
            <w:tcMar>
              <w:bottom w:w="0" w:type="dxa"/>
            </w:tcMar>
            <w:vAlign w:val="center"/>
          </w:tcPr>
          <w:p>
            <w:pPr>
              <w:pStyle w:val="TableContents"/>
              <w:bidi w:val="0"/>
              <w:spacing w:before="0" w:after="283"/>
              <w:jc w:val="center"/>
              <w:rPr/>
            </w:pPr>
            <w:r>
              <w:rPr/>
              <w:t> </w:t>
            </w:r>
          </w:p>
        </w:tc>
        <w:tc>
          <w:tcPr>
            <w:tcW w:w="70" w:type="dxa"/>
            <w:tcBorders/>
            <w:tcMar>
              <w:bottom w:w="0" w:type="dxa"/>
            </w:tcMar>
            <w:vAlign w:val="center"/>
          </w:tcPr>
          <w:p>
            <w:pPr>
              <w:pStyle w:val="TableContents"/>
              <w:bidi w:val="0"/>
              <w:spacing w:before="0" w:after="283"/>
              <w:jc w:val="left"/>
              <w:rPr/>
            </w:pPr>
            <w:r>
              <w:rPr/>
              <w:t> </w:t>
            </w:r>
          </w:p>
        </w:tc>
        <w:tc>
          <w:tcPr>
            <w:tcW w:w="70" w:type="dxa"/>
            <w:tcBorders/>
            <w:tcMar>
              <w:bottom w:w="0" w:type="dxa"/>
            </w:tcMar>
            <w:vAlign w:val="center"/>
          </w:tcPr>
          <w:p>
            <w:pPr>
              <w:pStyle w:val="TableContents"/>
              <w:bidi w:val="0"/>
              <w:spacing w:before="0" w:after="283"/>
              <w:jc w:val="left"/>
              <w:rPr/>
            </w:pPr>
            <w:r>
              <w:rPr/>
              <w:t> </w:t>
            </w:r>
          </w:p>
        </w:tc>
        <w:tc>
          <w:tcPr>
            <w:tcW w:w="1663"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840" w:type="dxa"/>
            <w:tcBorders/>
            <w:shd w:fill="CCEEFF" w:val="clear"/>
            <w:tcMar>
              <w:bottom w:w="0" w:type="dxa"/>
            </w:tcMar>
            <w:vAlign w:val="center"/>
          </w:tcPr>
          <w:p>
            <w:pPr>
              <w:pStyle w:val="TableContents"/>
              <w:bidi w:val="0"/>
              <w:spacing w:before="0" w:after="283"/>
              <w:jc w:val="both"/>
              <w:rPr/>
            </w:pPr>
            <w:r>
              <w:rPr/>
              <w:t>Fire safety 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shd w:fill="CCEEFF" w:val="clear"/>
            <w:tcMar>
              <w:bottom w:w="0" w:type="dxa"/>
            </w:tcMar>
            <w:vAlign w:val="center"/>
          </w:tcPr>
          <w:p>
            <w:pPr>
              <w:pStyle w:val="TableContents"/>
              <w:bidi w:val="0"/>
              <w:spacing w:before="0" w:after="283"/>
              <w:jc w:val="left"/>
              <w:rPr/>
            </w:pPr>
            <w:r>
              <w:rPr/>
              <w:t> </w:t>
            </w:r>
          </w:p>
        </w:tc>
        <w:tc>
          <w:tcPr>
            <w:tcW w:w="1331" w:type="dxa"/>
            <w:tcBorders/>
            <w:shd w:fill="CCEEFF" w:val="clear"/>
            <w:tcMar>
              <w:bottom w:w="0" w:type="dxa"/>
            </w:tcMar>
            <w:vAlign w:val="center"/>
          </w:tcPr>
          <w:p>
            <w:pPr>
              <w:pStyle w:val="TableContents"/>
              <w:bidi w:val="0"/>
              <w:spacing w:before="0" w:after="283"/>
              <w:jc w:val="right"/>
              <w:rPr/>
            </w:pPr>
            <w:r>
              <w:rPr/>
              <w:t>1,044</w:t>
            </w:r>
          </w:p>
        </w:tc>
        <w:tc>
          <w:tcPr>
            <w:tcW w:w="7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988" w:type="dxa"/>
            <w:tcBorders/>
            <w:shd w:fill="CCEEFF" w:val="clear"/>
            <w:tcMar>
              <w:bottom w:w="0" w:type="dxa"/>
            </w:tcMar>
            <w:vAlign w:val="center"/>
          </w:tcPr>
          <w:p>
            <w:pPr>
              <w:pStyle w:val="TableContents"/>
              <w:bidi w:val="0"/>
              <w:spacing w:before="0" w:after="283"/>
              <w:jc w:val="left"/>
              <w:rPr/>
            </w:pPr>
            <w:r>
              <w:rPr/>
              <w:t> </w:t>
            </w:r>
          </w:p>
        </w:tc>
        <w:tc>
          <w:tcPr>
            <w:tcW w:w="675"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40" w:type="dxa"/>
            <w:tcBorders/>
            <w:shd w:fill="FFFFFF" w:val="clear"/>
            <w:tcMar>
              <w:bottom w:w="0" w:type="dxa"/>
            </w:tcMar>
            <w:vAlign w:val="center"/>
          </w:tcPr>
          <w:p>
            <w:pPr>
              <w:pStyle w:val="TableContents"/>
              <w:bidi w:val="0"/>
              <w:spacing w:before="0" w:after="283"/>
              <w:jc w:val="both"/>
              <w:rPr/>
            </w:pPr>
            <w:r>
              <w:rPr/>
              <w:t>Safety apparel</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2" w:type="dxa"/>
            <w:tcBorders/>
            <w:shd w:fill="FFFFFF" w:val="clear"/>
            <w:tcMar>
              <w:bottom w:w="0" w:type="dxa"/>
            </w:tcMar>
            <w:vAlign w:val="center"/>
          </w:tcPr>
          <w:p>
            <w:pPr>
              <w:pStyle w:val="TableContents"/>
              <w:bidi w:val="0"/>
              <w:spacing w:before="0" w:after="283"/>
              <w:jc w:val="left"/>
              <w:rPr/>
            </w:pPr>
            <w:r>
              <w:rPr/>
              <w:t> </w:t>
            </w:r>
          </w:p>
        </w:tc>
        <w:tc>
          <w:tcPr>
            <w:tcW w:w="1331" w:type="dxa"/>
            <w:tcBorders/>
            <w:shd w:fill="FFFFFF" w:val="clear"/>
            <w:tcMar>
              <w:bottom w:w="0" w:type="dxa"/>
            </w:tcMar>
            <w:vAlign w:val="center"/>
          </w:tcPr>
          <w:p>
            <w:pPr>
              <w:pStyle w:val="TableContents"/>
              <w:bidi w:val="0"/>
              <w:spacing w:before="0" w:after="283"/>
              <w:jc w:val="right"/>
              <w:rPr/>
            </w:pPr>
            <w:r>
              <w:rPr/>
              <w:t>52</w:t>
            </w:r>
          </w:p>
        </w:tc>
        <w:tc>
          <w:tcPr>
            <w:tcW w:w="7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988" w:type="dxa"/>
            <w:tcBorders/>
            <w:shd w:fill="FFFFFF" w:val="clear"/>
            <w:tcMar>
              <w:bottom w:w="0" w:type="dxa"/>
            </w:tcMar>
            <w:vAlign w:val="center"/>
          </w:tcPr>
          <w:p>
            <w:pPr>
              <w:pStyle w:val="TableContents"/>
              <w:bidi w:val="0"/>
              <w:spacing w:before="0" w:after="283"/>
              <w:jc w:val="left"/>
              <w:rPr/>
            </w:pPr>
            <w:r>
              <w:rPr/>
              <w:t> </w:t>
            </w:r>
          </w:p>
        </w:tc>
        <w:tc>
          <w:tcPr>
            <w:tcW w:w="675"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40" w:type="dxa"/>
            <w:tcBorders/>
            <w:shd w:fill="CCEEFF" w:val="clear"/>
            <w:tcMar>
              <w:bottom w:w="0" w:type="dxa"/>
            </w:tcMar>
            <w:vAlign w:val="center"/>
          </w:tcPr>
          <w:p>
            <w:pPr>
              <w:pStyle w:val="TableContents"/>
              <w:bidi w:val="0"/>
              <w:spacing w:before="0" w:after="283"/>
              <w:jc w:val="both"/>
              <w:rPr/>
            </w:pPr>
            <w:r>
              <w:rPr/>
              <w:t>Maintenance &amp; Servicing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shd w:fill="CCEEFF" w:val="clear"/>
            <w:tcMar>
              <w:bottom w:w="0" w:type="dxa"/>
            </w:tcMar>
            <w:vAlign w:val="center"/>
          </w:tcPr>
          <w:p>
            <w:pPr>
              <w:pStyle w:val="TableContents"/>
              <w:bidi w:val="0"/>
              <w:spacing w:before="0" w:after="283"/>
              <w:jc w:val="left"/>
              <w:rPr/>
            </w:pPr>
            <w:r>
              <w:rPr/>
              <w:t> </w:t>
            </w:r>
          </w:p>
        </w:tc>
        <w:tc>
          <w:tcPr>
            <w:tcW w:w="1331" w:type="dxa"/>
            <w:tcBorders/>
            <w:shd w:fill="CCEEFF" w:val="clear"/>
            <w:tcMar>
              <w:bottom w:w="0" w:type="dxa"/>
            </w:tcMar>
            <w:vAlign w:val="center"/>
          </w:tcPr>
          <w:p>
            <w:pPr>
              <w:pStyle w:val="TableContents"/>
              <w:bidi w:val="0"/>
              <w:spacing w:before="0" w:after="283"/>
              <w:jc w:val="right"/>
              <w:rPr/>
            </w:pPr>
            <w:r>
              <w:rPr/>
              <w:t>8</w:t>
            </w:r>
          </w:p>
        </w:tc>
        <w:tc>
          <w:tcPr>
            <w:tcW w:w="7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988" w:type="dxa"/>
            <w:tcBorders/>
            <w:shd w:fill="CCEEFF" w:val="clear"/>
            <w:tcMar>
              <w:bottom w:w="0" w:type="dxa"/>
            </w:tcMar>
            <w:vAlign w:val="center"/>
          </w:tcPr>
          <w:p>
            <w:pPr>
              <w:pStyle w:val="TableContents"/>
              <w:bidi w:val="0"/>
              <w:spacing w:before="0" w:after="283"/>
              <w:jc w:val="left"/>
              <w:rPr/>
            </w:pPr>
            <w:r>
              <w:rPr/>
              <w:t> </w:t>
            </w:r>
          </w:p>
        </w:tc>
        <w:tc>
          <w:tcPr>
            <w:tcW w:w="675"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40" w:type="dxa"/>
            <w:tcBorders/>
            <w:shd w:fill="FFFFFF" w:val="clear"/>
            <w:tcMar>
              <w:bottom w:w="0" w:type="dxa"/>
            </w:tcMar>
            <w:vAlign w:val="center"/>
          </w:tcPr>
          <w:p>
            <w:pPr>
              <w:pStyle w:val="TableContents"/>
              <w:bidi w:val="0"/>
              <w:spacing w:before="0" w:after="283"/>
              <w:jc w:val="both"/>
              <w:rPr/>
            </w:pPr>
            <w:r>
              <w:rPr/>
              <w:t>Project - supply &amp; installation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2" w:type="dxa"/>
            <w:tcBorders/>
            <w:shd w:fill="FFFFFF" w:val="clear"/>
            <w:tcMar>
              <w:bottom w:w="0" w:type="dxa"/>
            </w:tcMar>
            <w:vAlign w:val="center"/>
          </w:tcPr>
          <w:p>
            <w:pPr>
              <w:pStyle w:val="TableContents"/>
              <w:bidi w:val="0"/>
              <w:spacing w:before="0" w:after="283"/>
              <w:jc w:val="left"/>
              <w:rPr/>
            </w:pPr>
            <w:r>
              <w:rPr/>
              <w:t> </w:t>
            </w:r>
          </w:p>
        </w:tc>
        <w:tc>
          <w:tcPr>
            <w:tcW w:w="1331" w:type="dxa"/>
            <w:tcBorders/>
            <w:shd w:fill="FFFFFF" w:val="clear"/>
            <w:tcMar>
              <w:bottom w:w="0" w:type="dxa"/>
            </w:tcMar>
            <w:vAlign w:val="center"/>
          </w:tcPr>
          <w:p>
            <w:pPr>
              <w:pStyle w:val="TableContents"/>
              <w:bidi w:val="0"/>
              <w:spacing w:before="0" w:after="283"/>
              <w:jc w:val="right"/>
              <w:rPr/>
            </w:pPr>
            <w:r>
              <w:rPr/>
              <w:t>10</w:t>
            </w:r>
          </w:p>
        </w:tc>
        <w:tc>
          <w:tcPr>
            <w:tcW w:w="7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988" w:type="dxa"/>
            <w:tcBorders/>
            <w:shd w:fill="FFFFFF" w:val="clear"/>
            <w:tcMar>
              <w:bottom w:w="0" w:type="dxa"/>
            </w:tcMar>
            <w:vAlign w:val="center"/>
          </w:tcPr>
          <w:p>
            <w:pPr>
              <w:pStyle w:val="TableContents"/>
              <w:bidi w:val="0"/>
              <w:spacing w:before="0" w:after="283"/>
              <w:jc w:val="left"/>
              <w:rPr/>
            </w:pPr>
            <w:r>
              <w:rPr/>
              <w:t> </w:t>
            </w:r>
          </w:p>
        </w:tc>
        <w:tc>
          <w:tcPr>
            <w:tcW w:w="675"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40" w:type="dxa"/>
            <w:tcBorders/>
            <w:shd w:fill="CCEEFF" w:val="clear"/>
            <w:tcMar>
              <w:bottom w:w="0" w:type="dxa"/>
            </w:tcMar>
            <w:vAlign w:val="center"/>
          </w:tcPr>
          <w:p>
            <w:pPr>
              <w:pStyle w:val="TableContents"/>
              <w:bidi w:val="0"/>
              <w:spacing w:before="0" w:after="283"/>
              <w:jc w:val="both"/>
              <w:rPr>
                <w:b/>
              </w:rPr>
            </w:pPr>
            <w:r>
              <w:rPr>
                <w:b/>
              </w:rPr>
              <w:t>Total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shd w:fill="CCEEFF" w:val="clear"/>
            <w:tcMar>
              <w:bottom w:w="0" w:type="dxa"/>
            </w:tcMar>
            <w:vAlign w:val="center"/>
          </w:tcPr>
          <w:p>
            <w:pPr>
              <w:pStyle w:val="TableContents"/>
              <w:bidi w:val="0"/>
              <w:spacing w:before="0" w:after="283"/>
              <w:jc w:val="left"/>
              <w:rPr>
                <w:b/>
              </w:rPr>
            </w:pPr>
            <w:r>
              <w:rPr>
                <w:b/>
              </w:rPr>
              <w:t>$</w:t>
            </w:r>
          </w:p>
        </w:tc>
        <w:tc>
          <w:tcPr>
            <w:tcW w:w="1331" w:type="dxa"/>
            <w:tcBorders/>
            <w:shd w:fill="CCEEFF" w:val="clear"/>
            <w:tcMar>
              <w:bottom w:w="0" w:type="dxa"/>
            </w:tcMar>
            <w:vAlign w:val="center"/>
          </w:tcPr>
          <w:p>
            <w:pPr>
              <w:pStyle w:val="TableContents"/>
              <w:bidi w:val="0"/>
              <w:spacing w:before="0" w:after="283"/>
              <w:jc w:val="right"/>
              <w:rPr>
                <w:b/>
              </w:rPr>
            </w:pPr>
            <w:r>
              <w:rPr>
                <w:b/>
              </w:rPr>
              <w:t>1,114</w:t>
            </w:r>
          </w:p>
        </w:tc>
        <w:tc>
          <w:tcPr>
            <w:tcW w:w="7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988" w:type="dxa"/>
            <w:tcBorders/>
            <w:shd w:fill="CCEEFF" w:val="clear"/>
            <w:tcMar>
              <w:bottom w:w="0" w:type="dxa"/>
            </w:tcMar>
            <w:vAlign w:val="center"/>
          </w:tcPr>
          <w:p>
            <w:pPr>
              <w:pStyle w:val="TableContents"/>
              <w:bidi w:val="0"/>
              <w:spacing w:before="0" w:after="283"/>
              <w:jc w:val="left"/>
              <w:rPr>
                <w:b/>
              </w:rPr>
            </w:pPr>
            <w:r>
              <w:rPr>
                <w:b/>
              </w:rPr>
              <w:t>$</w:t>
            </w:r>
          </w:p>
        </w:tc>
        <w:tc>
          <w:tcPr>
            <w:tcW w:w="675" w:type="dxa"/>
            <w:tcBorders/>
            <w:shd w:fill="CCEEFF" w:val="clear"/>
            <w:tcMar>
              <w:bottom w:w="0" w:type="dxa"/>
            </w:tcMar>
            <w:vAlign w:val="center"/>
          </w:tcPr>
          <w:p>
            <w:pPr>
              <w:pStyle w:val="TableContents"/>
              <w:bidi w:val="0"/>
              <w:spacing w:before="0" w:after="283"/>
              <w:jc w:val="right"/>
              <w:rPr>
                <w:b/>
              </w:rPr>
            </w:pPr>
            <w:r>
              <w:rPr>
                <w:b/>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with customers generally include a single performance obligation, which is the promise to transfer the purchased products to the customer.</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satisfies its performance obligations at a point in time when control of the products transfers to the customer. Control typically transfers upon delivery, depending on the contractual delivery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Price and Variable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generally the stated contract price for the products sold. The Company’s contracts may include variable consideration in the form of discounts, price concessions, or other incentives.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consideration is estimated using the method that best predicts the amount of consideration to which the Company expects to be entitled and is included in revenue only to the extent that it is probable that a significant reversal of cumulative revenue recognized will not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 Balances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represent the Company’s right to consideration in exchange for goods transferred to customers when that right is conditioned on something other than the passage of time. Contract liabilities represent amounts billed or collected from customers in advance of satisfying performance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and contract liabilities are not material to the business. Accounts receivable, before allowance for doubtful debt was $1,614,000 and $1,704,000, as of June 30, 2026 and December 31,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Payment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payment terms vary by customer and contract but generally require payment within 30–60 days from the invoice date. The Company does not have significant financing components in its contracts, as the period between the transfer of goods and customer payment is typically less than one year.</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assurance-type warranties that its products comply with agreed-upon specifications and are free from defects for a specified period. These warranties do not represent separate performance obligations Such warranty reserves are immaterial.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Returns and Refunds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allow customers to return products if they are deemed faulty or otherwise not fit for purpose. Expected returns are estimated and recorded as a reduction of revenue, with a corresponding refund liability and right-of-return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returns is of an immaterial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Practical Expedients and Policy Elections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practical expedient to expense incremental costs of obtaining a contract, such as commissions, when the amortization period would have been one year or 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 Performance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performance obligations are generally satisfied within one year. As a result, the Company has elected the practical expedient not to disclose the value of remaining performance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$1.1 million of revenue for the six months ended June 30, 2026 and $0 of revenue for the six months ended June 30, 2025, respectively. Revenue relates to product revenues from sales of fire safety equipment and services within the newly acquired Malaysian based subsidiary, Fitters Sdn. Bhd.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Net Loss per Common Share Net Loss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calculates net loss per common share in accordance with ASC 260 “Earnings Per Share” (“ASC 260”). Basic and diluted net loss per common share was determined by dividing net loss applicable to common stockholders by the weighted average number of shares of common stock outstanding during the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potentially dilutive securities have not been included in the computation of diluted net loss per share for the six months ended June 30, 2026 and June 30, 2025, as the result would be anti-dilutive:</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Earnings Per Share, Basic and Diluted </w:t>
      </w:r>
    </w:p>
    <w:tbl>
      <w:tblPr>
        <w:tblW w:w="5849" w:type="dxa"/>
        <w:jc w:val="left"/>
        <w:tblInd w:w="0" w:type="dxa"/>
        <w:tblLayout w:type="fixed"/>
        <w:tblCellMar>
          <w:top w:w="0" w:type="dxa"/>
          <w:left w:w="0" w:type="dxa"/>
          <w:bottom w:w="0" w:type="dxa"/>
          <w:right w:w="0" w:type="dxa"/>
        </w:tblCellMar>
      </w:tblPr>
      <w:tblGrid>
        <w:gridCol w:w="3680"/>
        <w:gridCol w:w="60"/>
        <w:gridCol w:w="70"/>
        <w:gridCol w:w="804"/>
        <w:gridCol w:w="60"/>
        <w:gridCol w:w="60"/>
        <w:gridCol w:w="60"/>
        <w:gridCol w:w="980"/>
        <w:gridCol w:w="75"/>
      </w:tblGrid>
      <w:tr>
        <w:trPr/>
        <w:tc>
          <w:tcPr>
            <w:tcW w:w="36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both"/>
              <w:rPr/>
            </w:pPr>
            <w:r>
              <w:rPr/>
              <w:t>Stock options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24,827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25,106</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both"/>
              <w:rPr/>
            </w:pPr>
            <w:r>
              <w:rPr/>
              <w:t>Restricted stock units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both"/>
              <w:rPr/>
            </w:pPr>
            <w:r>
              <w:rPr/>
              <w:t>Series A preferred stock</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both"/>
              <w:rPr/>
            </w:pPr>
            <w:r>
              <w:rPr/>
              <w:t>Series F preferred stock</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654,000</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both"/>
              <w:rPr/>
            </w:pPr>
            <w:r>
              <w:rPr/>
              <w:t>Common stock warrants</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4" w:type="dxa"/>
            <w:tcBorders>
              <w:bottom w:val="single" w:sz="8" w:space="0" w:color="000000"/>
            </w:tcBorders>
            <w:shd w:fill="CCEEFF" w:val="clear"/>
            <w:tcMar>
              <w:bottom w:w="28" w:type="dxa"/>
            </w:tcMar>
            <w:vAlign w:val="center"/>
          </w:tcPr>
          <w:p>
            <w:pPr>
              <w:pStyle w:val="TableContents"/>
              <w:bidi w:val="0"/>
              <w:spacing w:before="0" w:after="283"/>
              <w:jc w:val="right"/>
              <w:rPr/>
            </w:pPr>
            <w:r>
              <w:rPr/>
              <w:t>2,992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1,965,178</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both"/>
              <w:rPr/>
            </w:pPr>
            <w:r>
              <w:rPr/>
              <w:t>Total shares excluded from calculation</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4" w:type="dxa"/>
            <w:tcBorders>
              <w:bottom w:val="double" w:sz="6" w:space="0" w:color="000000"/>
            </w:tcBorders>
            <w:shd w:fill="FFFFFF" w:val="clear"/>
            <w:tcMar>
              <w:bottom w:w="28" w:type="dxa"/>
            </w:tcMar>
            <w:vAlign w:val="center"/>
          </w:tcPr>
          <w:p>
            <w:pPr>
              <w:pStyle w:val="TableContents"/>
              <w:bidi w:val="0"/>
              <w:spacing w:before="0" w:after="283"/>
              <w:jc w:val="right"/>
              <w:rPr/>
            </w:pPr>
            <w:r>
              <w:rPr/>
              <w:t>27,821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2,644,296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consisted of the following (in $000s):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Inventory </w:t>
      </w:r>
    </w:p>
    <w:tbl>
      <w:tblPr>
        <w:tblW w:w="4214" w:type="dxa"/>
        <w:jc w:val="left"/>
        <w:tblInd w:w="0" w:type="dxa"/>
        <w:tblLayout w:type="fixed"/>
        <w:tblCellMar>
          <w:top w:w="0" w:type="dxa"/>
          <w:left w:w="0" w:type="dxa"/>
          <w:bottom w:w="0" w:type="dxa"/>
          <w:right w:w="0" w:type="dxa"/>
        </w:tblCellMar>
      </w:tblPr>
      <w:tblGrid>
        <w:gridCol w:w="1670"/>
        <w:gridCol w:w="60"/>
        <w:gridCol w:w="235"/>
        <w:gridCol w:w="639"/>
        <w:gridCol w:w="60"/>
        <w:gridCol w:w="60"/>
        <w:gridCol w:w="283"/>
        <w:gridCol w:w="1132"/>
        <w:gridCol w:w="75"/>
      </w:tblGrid>
      <w:tr>
        <w:trPr/>
        <w:tc>
          <w:tcPr>
            <w:tcW w:w="16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283"/>
              <w:jc w:val="both"/>
              <w:rPr/>
            </w:pPr>
            <w:r>
              <w:rPr/>
              <w:t>Raw materials</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242</w:t>
            </w:r>
          </w:p>
        </w:tc>
        <w:tc>
          <w:tcPr>
            <w:tcW w:w="75" w:type="dxa"/>
            <w:tcBorders/>
            <w:shd w:fill="CCEE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both"/>
              <w:rPr/>
            </w:pPr>
            <w:r>
              <w:rPr/>
              <w:t>Work in progress</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134</w:t>
            </w:r>
          </w:p>
        </w:tc>
        <w:tc>
          <w:tcPr>
            <w:tcW w:w="75" w:type="dxa"/>
            <w:tcBorders/>
            <w:shd w:fill="FFFFFF" w:val="cle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283"/>
              <w:jc w:val="both"/>
              <w:rPr/>
            </w:pPr>
            <w:r>
              <w:rPr/>
              <w:t>Finished goods</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9" w:type="dxa"/>
            <w:tcBorders>
              <w:bottom w:val="single" w:sz="8" w:space="0" w:color="000000"/>
            </w:tcBorders>
            <w:shd w:fill="CCEEFF" w:val="clear"/>
            <w:tcMar>
              <w:bottom w:w="28" w:type="dxa"/>
            </w:tcMar>
            <w:vAlign w:val="center"/>
          </w:tcPr>
          <w:p>
            <w:pPr>
              <w:pStyle w:val="TableContents"/>
              <w:bidi w:val="0"/>
              <w:spacing w:before="0" w:after="283"/>
              <w:jc w:val="right"/>
              <w:rPr/>
            </w:pPr>
            <w:r>
              <w:rPr/>
              <w:t>734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1,008</w:t>
            </w:r>
          </w:p>
        </w:tc>
        <w:tc>
          <w:tcPr>
            <w:tcW w:w="75" w:type="dxa"/>
            <w:tcBorders/>
            <w:shd w:fill="CCEE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both"/>
              <w:rPr/>
            </w:pPr>
            <w:r>
              <w:rPr/>
              <w:t>Total inventory</w:t>
            </w:r>
          </w:p>
        </w:tc>
        <w:tc>
          <w:tcPr>
            <w:tcW w:w="60"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9" w:type="dxa"/>
            <w:tcBorders>
              <w:bottom w:val="double" w:sz="6" w:space="0" w:color="000000"/>
            </w:tcBorders>
            <w:shd w:fill="FFFFFF" w:val="clear"/>
            <w:tcMar>
              <w:bottom w:w="28" w:type="dxa"/>
            </w:tcMar>
            <w:vAlign w:val="center"/>
          </w:tcPr>
          <w:p>
            <w:pPr>
              <w:pStyle w:val="TableContents"/>
              <w:bidi w:val="0"/>
              <w:spacing w:before="0" w:after="283"/>
              <w:jc w:val="right"/>
              <w:rPr/>
            </w:pPr>
            <w:r>
              <w:rPr/>
              <w:t>972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1,384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is recorded at the lower of cost or net realizable value, where cost is measured on a first-in, first-out basis.</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Accounts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receivables consisted of the following (in $000s):</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Accounts Receivables </w:t>
      </w:r>
    </w:p>
    <w:tbl>
      <w:tblPr>
        <w:tblW w:w="5455" w:type="dxa"/>
        <w:jc w:val="left"/>
        <w:tblInd w:w="0" w:type="dxa"/>
        <w:tblLayout w:type="fixed"/>
        <w:tblCellMar>
          <w:top w:w="0" w:type="dxa"/>
          <w:left w:w="0" w:type="dxa"/>
          <w:bottom w:w="0" w:type="dxa"/>
          <w:right w:w="0" w:type="dxa"/>
        </w:tblCellMar>
      </w:tblPr>
      <w:tblGrid>
        <w:gridCol w:w="2840"/>
        <w:gridCol w:w="60"/>
        <w:gridCol w:w="175"/>
        <w:gridCol w:w="700"/>
        <w:gridCol w:w="95"/>
        <w:gridCol w:w="60"/>
        <w:gridCol w:w="283"/>
        <w:gridCol w:w="1132"/>
        <w:gridCol w:w="110"/>
      </w:tblGrid>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pPr>
            <w:r>
              <w:rPr/>
              <w:t>Accounts receivables, gross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1,614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1,704</w:t>
            </w:r>
          </w:p>
        </w:tc>
        <w:tc>
          <w:tcPr>
            <w:tcW w:w="11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Allowance for doubtful debt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00" w:type="dxa"/>
            <w:tcBorders>
              <w:bottom w:val="double" w:sz="6" w:space="0" w:color="000000"/>
            </w:tcBorders>
            <w:shd w:fill="FFFFFF" w:val="clear"/>
            <w:tcMar>
              <w:bottom w:w="28" w:type="dxa"/>
            </w:tcMar>
            <w:vAlign w:val="center"/>
          </w:tcPr>
          <w:p>
            <w:pPr>
              <w:pStyle w:val="TableContents"/>
              <w:bidi w:val="0"/>
              <w:spacing w:before="0" w:after="283"/>
              <w:jc w:val="right"/>
              <w:rPr/>
            </w:pPr>
            <w:r>
              <w:rPr/>
              <w:t>(540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(447</w:t>
            </w:r>
          </w:p>
        </w:tc>
        <w:tc>
          <w:tcPr>
            <w:tcW w:w="110" w:type="dxa"/>
            <w:tcBorders/>
            <w:shd w:fill="FFFFFF" w:val="clear"/>
            <w:vAlign w:val="center"/>
          </w:tcPr>
          <w:p>
            <w:pPr>
              <w:pStyle w:val="TableContents"/>
              <w:bidi w:val="0"/>
              <w:spacing w:before="0" w:after="283"/>
              <w:jc w:val="left"/>
              <w:rPr/>
            </w:pPr>
            <w:r>
              <w:rPr/>
              <w:t>)</w:t>
            </w:r>
          </w:p>
        </w:tc>
      </w:tr>
      <w:tr>
        <w:trPr/>
        <w:tc>
          <w:tcPr>
            <w:tcW w:w="2840" w:type="dxa"/>
            <w:tcBorders/>
            <w:shd w:fill="CCEEFF" w:val="clear"/>
            <w:vAlign w:val="center"/>
          </w:tcPr>
          <w:p>
            <w:pPr>
              <w:pStyle w:val="TableContents"/>
              <w:bidi w:val="0"/>
              <w:spacing w:before="0" w:after="283"/>
              <w:jc w:val="left"/>
              <w:rPr/>
            </w:pPr>
            <w:r>
              <w:rPr/>
              <w:t>Total accounts receivable, net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00" w:type="dxa"/>
            <w:tcBorders>
              <w:bottom w:val="double" w:sz="6" w:space="0" w:color="000000"/>
            </w:tcBorders>
            <w:shd w:fill="CCEEFF" w:val="clear"/>
            <w:tcMar>
              <w:bottom w:w="28" w:type="dxa"/>
            </w:tcMar>
            <w:vAlign w:val="center"/>
          </w:tcPr>
          <w:p>
            <w:pPr>
              <w:pStyle w:val="TableContents"/>
              <w:bidi w:val="0"/>
              <w:spacing w:before="0" w:after="283"/>
              <w:jc w:val="right"/>
              <w:rPr/>
            </w:pPr>
            <w:r>
              <w:rPr/>
              <w:t>1,074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jc w:val="right"/>
              <w:rPr/>
            </w:pPr>
            <w:r>
              <w:rPr/>
              <w:t>1,257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Allowance for doubtful debt, which stood at $540,000 as at June 30, 2026 and $447,000 as at December 31, 2025 is determined based on expected credit losses. Losses are provided at the rate of 10% against balances greater than 120-149 days, 25% against balances greater than 150-179 days, 35% against balances greater than 180-364 days, and 50% against balances greater than 365 days.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Movement in Provision For Doubtful Debt </w:t>
      </w:r>
    </w:p>
    <w:tbl>
      <w:tblPr>
        <w:tblW w:w="6890" w:type="dxa"/>
        <w:jc w:val="left"/>
        <w:tblInd w:w="0" w:type="dxa"/>
        <w:tblLayout w:type="fixed"/>
        <w:tblCellMar>
          <w:top w:w="0" w:type="dxa"/>
          <w:left w:w="0" w:type="dxa"/>
          <w:bottom w:w="28" w:type="dxa"/>
          <w:right w:w="0" w:type="dxa"/>
        </w:tblCellMar>
      </w:tblPr>
      <w:tblGrid>
        <w:gridCol w:w="6125"/>
        <w:gridCol w:w="60"/>
        <w:gridCol w:w="140"/>
        <w:gridCol w:w="455"/>
        <w:gridCol w:w="110"/>
      </w:tblGrid>
      <w:tr>
        <w:trPr/>
        <w:tc>
          <w:tcPr>
            <w:tcW w:w="6125" w:type="dxa"/>
            <w:tcBorders>
              <w:bottom w:val="single" w:sz="8" w:space="0" w:color="000000"/>
            </w:tcBorders>
            <w:vAlign w:val="center"/>
          </w:tcPr>
          <w:p>
            <w:pPr>
              <w:pStyle w:val="TableContents"/>
              <w:bidi w:val="0"/>
              <w:spacing w:before="0" w:after="283"/>
              <w:jc w:val="left"/>
              <w:rPr>
                <w:b/>
              </w:rPr>
            </w:pPr>
            <w:r>
              <w:rPr>
                <w:b/>
              </w:rPr>
              <w:t>Movement in provision for doubtful debt</w:t>
            </w:r>
          </w:p>
        </w:tc>
        <w:tc>
          <w:tcPr>
            <w:tcW w:w="60" w:type="dxa"/>
            <w:tcBorders/>
            <w:tcMar>
              <w:bottom w:w="0" w:type="dxa"/>
            </w:tcMar>
            <w:vAlign w:val="center"/>
          </w:tcPr>
          <w:p>
            <w:pPr>
              <w:pStyle w:val="TableContents"/>
              <w:bidi w:val="0"/>
              <w:spacing w:before="0" w:after="283"/>
              <w:jc w:val="left"/>
              <w:rPr/>
            </w:pPr>
            <w:r>
              <w:rPr/>
              <w:t> </w:t>
            </w:r>
          </w:p>
        </w:tc>
        <w:tc>
          <w:tcPr>
            <w:tcW w:w="595" w:type="dxa"/>
            <w:gridSpan w:val="2"/>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6125" w:type="dxa"/>
            <w:tcBorders/>
            <w:shd w:fill="CCEEFF" w:val="clear"/>
            <w:tcMar>
              <w:bottom w:w="0" w:type="dxa"/>
            </w:tcMar>
            <w:vAlign w:val="center"/>
          </w:tcPr>
          <w:p>
            <w:pPr>
              <w:pStyle w:val="TableContents"/>
              <w:bidi w:val="0"/>
              <w:spacing w:before="0" w:after="283"/>
              <w:jc w:val="both"/>
              <w:rPr/>
            </w:pPr>
            <w:r>
              <w:rPr/>
              <w:t>Provision for doubtful debt as of 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(447</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6125" w:type="dxa"/>
            <w:tcBorders/>
            <w:shd w:fill="FFFFFF" w:val="clear"/>
            <w:tcMar>
              <w:bottom w:w="0" w:type="dxa"/>
            </w:tcMar>
            <w:vAlign w:val="center"/>
          </w:tcPr>
          <w:p>
            <w:pPr>
              <w:pStyle w:val="TableContents"/>
              <w:bidi w:val="0"/>
              <w:spacing w:before="0" w:after="283"/>
              <w:jc w:val="both"/>
              <w:rPr/>
            </w:pPr>
            <w:r>
              <w:rPr/>
              <w:t>Increase in provision during the six months ended June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(95</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6125" w:type="dxa"/>
            <w:tcBorders/>
            <w:shd w:fill="CCEEFF" w:val="clear"/>
            <w:tcMar>
              <w:bottom w:w="0" w:type="dxa"/>
            </w:tcMar>
            <w:vAlign w:val="center"/>
          </w:tcPr>
          <w:p>
            <w:pPr>
              <w:pStyle w:val="TableContents"/>
              <w:bidi w:val="0"/>
              <w:spacing w:before="0" w:after="283"/>
              <w:jc w:val="both"/>
              <w:rPr/>
            </w:pPr>
            <w:r>
              <w:rPr/>
              <w:t>Foreign exchange translation adjustment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455" w:type="dxa"/>
            <w:tcBorders>
              <w:bottom w:val="single" w:sz="8" w:space="0" w:color="000000"/>
            </w:tcBorders>
            <w:shd w:fill="CCEEFF" w:val="clear"/>
            <w:vAlign w:val="center"/>
          </w:tcPr>
          <w:p>
            <w:pPr>
              <w:pStyle w:val="TableContents"/>
              <w:bidi w:val="0"/>
              <w:spacing w:before="0" w:after="283"/>
              <w:jc w:val="right"/>
              <w:rPr/>
            </w:pPr>
            <w:r>
              <w:rPr/>
              <w:t>2</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6125" w:type="dxa"/>
            <w:tcBorders/>
            <w:shd w:fill="FFFFFF" w:val="clear"/>
            <w:tcMar>
              <w:bottom w:w="0" w:type="dxa"/>
            </w:tcMar>
            <w:vAlign w:val="center"/>
          </w:tcPr>
          <w:p>
            <w:pPr>
              <w:pStyle w:val="TableContents"/>
              <w:bidi w:val="0"/>
              <w:spacing w:before="0" w:after="283"/>
              <w:jc w:val="both"/>
              <w:rPr/>
            </w:pPr>
            <w:r>
              <w:rPr/>
              <w:t>Provision for doubtful debt as of June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455" w:type="dxa"/>
            <w:tcBorders>
              <w:bottom w:val="double" w:sz="6" w:space="0" w:color="000000"/>
            </w:tcBorders>
            <w:shd w:fill="FFFFFF" w:val="clear"/>
            <w:vAlign w:val="center"/>
          </w:tcPr>
          <w:p>
            <w:pPr>
              <w:pStyle w:val="TableContents"/>
              <w:bidi w:val="0"/>
              <w:spacing w:before="0" w:after="283"/>
              <w:jc w:val="right"/>
              <w:rPr/>
            </w:pPr>
            <w:r>
              <w:rPr/>
              <w:t>(540</w:t>
            </w:r>
          </w:p>
        </w:tc>
        <w:tc>
          <w:tcPr>
            <w:tcW w:w="11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Prepaid Expenses and Other Current Assets Prepaid Expenses and Other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consisted of the following (in $000s):</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Prepaid Expenses and Other Current Assets </w:t>
      </w:r>
    </w:p>
    <w:tbl>
      <w:tblPr>
        <w:tblW w:w="5518" w:type="dxa"/>
        <w:jc w:val="left"/>
        <w:tblInd w:w="0" w:type="dxa"/>
        <w:tblLayout w:type="fixed"/>
        <w:tblCellMar>
          <w:top w:w="0" w:type="dxa"/>
          <w:left w:w="0" w:type="dxa"/>
          <w:bottom w:w="0" w:type="dxa"/>
          <w:right w:w="0" w:type="dxa"/>
        </w:tblCellMar>
      </w:tblPr>
      <w:tblGrid>
        <w:gridCol w:w="3365"/>
        <w:gridCol w:w="60"/>
        <w:gridCol w:w="197"/>
        <w:gridCol w:w="527"/>
        <w:gridCol w:w="60"/>
        <w:gridCol w:w="60"/>
        <w:gridCol w:w="318"/>
        <w:gridCol w:w="856"/>
        <w:gridCol w:w="75"/>
      </w:tblGrid>
      <w:tr>
        <w:trPr/>
        <w:tc>
          <w:tcPr>
            <w:tcW w:w="33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Non-Current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$0.2 million non-current assets as of June 30, 2026 and $0.2 million as of December 31, 2025. The movement of the non-current assets is related to a 1.7 million Malaysian Ringgit (approximately $0.4 million) loan to an unrelated customer. The loan is interest bearing at a rate of 8% per annum, and is recorded as a component of 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Accrued and Other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and other current liabilities consisted of the following (in $000s):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Accrued and Other Current Liabilities </w:t>
      </w:r>
    </w:p>
    <w:tbl>
      <w:tblPr>
        <w:tblW w:w="5938" w:type="dxa"/>
        <w:jc w:val="left"/>
        <w:tblInd w:w="0" w:type="dxa"/>
        <w:tblLayout w:type="fixed"/>
        <w:tblCellMar>
          <w:top w:w="0" w:type="dxa"/>
          <w:left w:w="0" w:type="dxa"/>
          <w:bottom w:w="0" w:type="dxa"/>
          <w:right w:w="0" w:type="dxa"/>
        </w:tblCellMar>
      </w:tblPr>
      <w:tblGrid>
        <w:gridCol w:w="3395"/>
        <w:gridCol w:w="60"/>
        <w:gridCol w:w="235"/>
        <w:gridCol w:w="639"/>
        <w:gridCol w:w="60"/>
        <w:gridCol w:w="60"/>
        <w:gridCol w:w="380"/>
        <w:gridCol w:w="1034"/>
        <w:gridCol w:w="75"/>
      </w:tblGrid>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Accrued legal and professional fees</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639" w:type="dxa"/>
            <w:tcBorders/>
            <w:shd w:fill="CCEEFF" w:val="clear"/>
            <w:vAlign w:val="center"/>
          </w:tcPr>
          <w:p>
            <w:pPr>
              <w:pStyle w:val="TableContents"/>
              <w:bidi w:val="0"/>
              <w:spacing w:before="0" w:after="283"/>
              <w:jc w:val="right"/>
              <w:rPr/>
            </w:pPr>
            <w:r>
              <w:rPr/>
              <w:t>467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500</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pPr>
            <w:r>
              <w:rPr/>
              <w:t>Other current liabilities</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9" w:type="dxa"/>
            <w:tcBorders>
              <w:bottom w:val="single" w:sz="8" w:space="0" w:color="000000"/>
            </w:tcBorders>
            <w:shd w:fill="FFFFFF" w:val="clear"/>
            <w:tcMar>
              <w:bottom w:w="28" w:type="dxa"/>
            </w:tcMar>
            <w:vAlign w:val="center"/>
          </w:tcPr>
          <w:p>
            <w:pPr>
              <w:pStyle w:val="TableContents"/>
              <w:bidi w:val="0"/>
              <w:spacing w:before="0" w:after="283"/>
              <w:jc w:val="right"/>
              <w:rPr/>
            </w:pPr>
            <w:r>
              <w:rPr/>
              <w:t>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pPr>
            <w:r>
              <w:rPr/>
              <w:t>215</w:t>
            </w:r>
          </w:p>
        </w:tc>
        <w:tc>
          <w:tcPr>
            <w:tcW w:w="75"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and other current liabilities</w:t>
            </w:r>
          </w:p>
        </w:tc>
        <w:tc>
          <w:tcPr>
            <w:tcW w:w="60" w:type="dxa"/>
            <w:tcBorders/>
            <w:shd w:fill="CCEEFF" w:val="clear"/>
            <w:vAlign w:val="center"/>
          </w:tcPr>
          <w:p>
            <w:pPr>
              <w:pStyle w:val="TableContents"/>
              <w:bidi w:val="0"/>
              <w:spacing w:before="0" w:after="283"/>
              <w:jc w:val="left"/>
              <w:rPr/>
            </w:pPr>
            <w:r>
              <w:rPr/>
              <w:t> </w:t>
            </w:r>
          </w:p>
        </w:tc>
        <w:tc>
          <w:tcPr>
            <w:tcW w:w="23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9" w:type="dxa"/>
            <w:tcBorders>
              <w:bottom w:val="double" w:sz="6" w:space="0" w:color="000000"/>
            </w:tcBorders>
            <w:shd w:fill="CCEEFF" w:val="clear"/>
            <w:tcMar>
              <w:bottom w:w="28" w:type="dxa"/>
            </w:tcMar>
            <w:vAlign w:val="center"/>
          </w:tcPr>
          <w:p>
            <w:pPr>
              <w:pStyle w:val="TableContents"/>
              <w:bidi w:val="0"/>
              <w:spacing w:before="0" w:after="283"/>
              <w:jc w:val="right"/>
              <w:rPr/>
            </w:pPr>
            <w:r>
              <w:rPr/>
              <w:t>503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jc w:val="right"/>
              <w:rPr/>
            </w:pPr>
            <w:r>
              <w:rPr/>
              <w:t>715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acquisition of Fitters Sub on September 12, 2025, the Company utilizes three facilities in Malaysia, all on short term lease agreements. The Company terminated its lease agreement for its previous headquarters in Berkeley Heights, New Jersey, effective January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2025, the Company recognized operating lease expenses of $27,821 and $3,790 respectively. Cash payments made during the six months ended June 30, 2026, and 2025 totaled $27,821 and $3,790, respectively, and were presented within cash outflows from operating activities. The remaining lease term of the Company’s longest lease as of June 30, 2026, is approximately 0.7 years. The discount rate used by the Company in determining the lease liability was 12%.</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Remaining lease payments</w:t>
      </w:r>
      <w:r>
        <w:rPr>
          <w:rFonts w:ascii="Times New Roman;Times;Serif" w:hAnsi="Times New Roman;Times;Serif"/>
          <w:b w:val="false"/>
          <w:i w:val="false"/>
          <w:caps w:val="false"/>
          <w:smallCaps w:val="false"/>
          <w:sz w:val="20"/>
        </w:rPr>
        <w:t xml:space="preserve"> for the facilities are as follows (in $000s):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Remaining Lease Payments </w:t>
      </w:r>
    </w:p>
    <w:tbl>
      <w:tblPr>
        <w:tblW w:w="4050" w:type="dxa"/>
        <w:jc w:val="left"/>
        <w:tblInd w:w="0" w:type="dxa"/>
        <w:tblLayout w:type="fixed"/>
        <w:tblCellMar>
          <w:top w:w="0" w:type="dxa"/>
          <w:left w:w="0" w:type="dxa"/>
          <w:bottom w:w="0" w:type="dxa"/>
          <w:right w:w="0" w:type="dxa"/>
        </w:tblCellMar>
      </w:tblPr>
      <w:tblGrid>
        <w:gridCol w:w="3635"/>
        <w:gridCol w:w="60"/>
        <w:gridCol w:w="140"/>
        <w:gridCol w:w="140"/>
        <w:gridCol w:w="75"/>
      </w:tblGrid>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6</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right"/>
              <w:rPr/>
            </w:pPr>
            <w:r>
              <w:rPr/>
              <w:t>2</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Thereafter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Total future minimum lease obligation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right"/>
              <w:rPr/>
            </w:pPr>
            <w:r>
              <w:rPr/>
              <w:t>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Stock 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718 requires compensation expense associated with share-based awards to be recognized over the requisite service period which, for the Company, is the period between the grant date and the date the award vests or becomes exercisable. The Company recognizes all share-based awards under the straight-line attribution method, assuming that all granted awards will vest. Forfeitures are recognized in the periods when they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based compensation has been reported within expense line items on the consolidated statement of operations for the six months ended June 30, 2026 and 2025 as shown in the following table (in $000s):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Stock Based Compensation Expense </w:t>
      </w:r>
    </w:p>
    <w:tbl>
      <w:tblPr>
        <w:tblW w:w="7449" w:type="dxa"/>
        <w:jc w:val="left"/>
        <w:tblInd w:w="0" w:type="dxa"/>
        <w:tblLayout w:type="fixed"/>
        <w:tblCellMar>
          <w:top w:w="0" w:type="dxa"/>
          <w:left w:w="0" w:type="dxa"/>
          <w:bottom w:w="0" w:type="dxa"/>
          <w:right w:w="0" w:type="dxa"/>
        </w:tblCellMar>
      </w:tblPr>
      <w:tblGrid>
        <w:gridCol w:w="3080"/>
        <w:gridCol w:w="60"/>
        <w:gridCol w:w="493"/>
        <w:gridCol w:w="493"/>
        <w:gridCol w:w="118"/>
        <w:gridCol w:w="118"/>
        <w:gridCol w:w="493"/>
        <w:gridCol w:w="493"/>
        <w:gridCol w:w="60"/>
        <w:gridCol w:w="60"/>
        <w:gridCol w:w="361"/>
        <w:gridCol w:w="361"/>
        <w:gridCol w:w="86"/>
        <w:gridCol w:w="86"/>
        <w:gridCol w:w="202"/>
        <w:gridCol w:w="810"/>
        <w:gridCol w:w="75"/>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9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0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vAlign w:val="center"/>
          </w:tcPr>
          <w:p>
            <w:pPr>
              <w:pStyle w:val="TableContents"/>
              <w:bidi w:val="0"/>
              <w:spacing w:before="0" w:after="283"/>
              <w:jc w:val="center"/>
              <w:rPr>
                <w:b/>
              </w:rPr>
            </w:pPr>
            <w:r>
              <w:rPr>
                <w:b/>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6" w:type="dxa"/>
            <w:gridSpan w:val="6"/>
            <w:tcBorders/>
            <w:vAlign w:val="center"/>
          </w:tcPr>
          <w:p>
            <w:pPr>
              <w:pStyle w:val="TableContents"/>
              <w:bidi w:val="0"/>
              <w:spacing w:before="0" w:after="283"/>
              <w:jc w:val="center"/>
              <w:rPr>
                <w:b/>
              </w:rPr>
            </w:pPr>
            <w:r>
              <w:rPr>
                <w:b/>
              </w:rPr>
              <w:t>Six Months Ended</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9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0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left"/>
              <w:rPr/>
            </w:pPr>
            <w:r>
              <w:rPr/>
              <w:t>$</w:t>
            </w:r>
          </w:p>
        </w:tc>
        <w:tc>
          <w:tcPr>
            <w:tcW w:w="493" w:type="dxa"/>
            <w:tcBorders/>
            <w:shd w:fill="CCEEFF" w:val="clear"/>
            <w:vAlign w:val="center"/>
          </w:tcPr>
          <w:p>
            <w:pPr>
              <w:pStyle w:val="TableContents"/>
              <w:bidi w:val="0"/>
              <w:spacing w:before="0" w:after="283"/>
              <w:jc w:val="right"/>
              <w:rPr/>
            </w:pPr>
            <w:r>
              <w:rPr/>
              <w:t>1</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left"/>
              <w:rPr/>
            </w:pPr>
            <w:r>
              <w:rPr/>
              <w:t>$</w:t>
            </w:r>
          </w:p>
        </w:tc>
        <w:tc>
          <w:tcPr>
            <w:tcW w:w="493"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w:t>
            </w:r>
          </w:p>
        </w:tc>
        <w:tc>
          <w:tcPr>
            <w:tcW w:w="361" w:type="dxa"/>
            <w:tcBorders/>
            <w:shd w:fill="CCEEFF" w:val="clear"/>
            <w:vAlign w:val="center"/>
          </w:tcPr>
          <w:p>
            <w:pPr>
              <w:pStyle w:val="TableContents"/>
              <w:bidi w:val="0"/>
              <w:spacing w:before="0" w:after="283"/>
              <w:jc w:val="right"/>
              <w:rPr/>
            </w:pPr>
            <w:r>
              <w:rPr/>
              <w:t>1</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810" w:type="dxa"/>
            <w:tcBorders/>
            <w:shd w:fill="CCEEFF" w:val="clear"/>
            <w:vAlign w:val="center"/>
          </w:tcPr>
          <w:p>
            <w:pPr>
              <w:pStyle w:val="TableContents"/>
              <w:bidi w:val="0"/>
              <w:spacing w:before="0" w:after="283"/>
              <w:jc w:val="right"/>
              <w:rPr/>
            </w:pPr>
            <w:r>
              <w:rPr/>
              <w:t>1,595</w:t>
            </w:r>
          </w:p>
        </w:tc>
        <w:tc>
          <w:tcPr>
            <w:tcW w:w="75"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4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493"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493" w:type="dxa"/>
            <w:tcBorders>
              <w:bottom w:val="single" w:sz="8" w:space="0" w:color="000000"/>
            </w:tcBorders>
            <w:shd w:fill="FFFFFF" w:val="clear"/>
            <w:tcMar>
              <w:bottom w:w="28" w:type="dxa"/>
            </w:tcMar>
            <w:vAlign w:val="center"/>
          </w:tcPr>
          <w:p>
            <w:pPr>
              <w:pStyle w:val="TableContents"/>
              <w:bidi w:val="0"/>
              <w:spacing w:before="0" w:after="283"/>
              <w:jc w:val="right"/>
              <w:rPr/>
            </w:pPr>
            <w:r>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6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0" w:type="dxa"/>
            <w:tcBorders>
              <w:bottom w:val="single" w:sz="8" w:space="0" w:color="000000"/>
            </w:tcBorders>
            <w:shd w:fill="FFFFFF" w:val="clear"/>
            <w:tcMar>
              <w:bottom w:w="28" w:type="dxa"/>
            </w:tcMar>
            <w:vAlign w:val="center"/>
          </w:tcPr>
          <w:p>
            <w:pPr>
              <w:pStyle w:val="TableContents"/>
              <w:bidi w:val="0"/>
              <w:spacing w:before="0" w:after="283"/>
              <w:jc w:val="right"/>
              <w:rPr/>
            </w:pPr>
            <w:r>
              <w:rPr/>
              <w:t>78</w:t>
            </w:r>
          </w:p>
        </w:tc>
        <w:tc>
          <w:tcPr>
            <w:tcW w:w="75"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pPr>
            <w:r>
              <w:rPr/>
              <w:t>Stock-based compensation costs</w:t>
            </w:r>
          </w:p>
        </w:tc>
        <w:tc>
          <w:tcPr>
            <w:tcW w:w="60" w:type="dxa"/>
            <w:tcBorders/>
            <w:shd w:fill="CCEEFF" w:val="clear"/>
            <w:vAlign w:val="center"/>
          </w:tcPr>
          <w:p>
            <w:pPr>
              <w:pStyle w:val="TableContents"/>
              <w:bidi w:val="0"/>
              <w:spacing w:before="0" w:after="283"/>
              <w:jc w:val="left"/>
              <w:rPr/>
            </w:pPr>
            <w:r>
              <w:rPr/>
              <w:t> </w:t>
            </w:r>
          </w:p>
        </w:tc>
        <w:tc>
          <w:tcPr>
            <w:tcW w:w="49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93" w:type="dxa"/>
            <w:tcBorders>
              <w:bottom w:val="double" w:sz="6" w:space="0" w:color="000000"/>
            </w:tcBorders>
            <w:shd w:fill="CCEEFF" w:val="clear"/>
            <w:tcMar>
              <w:bottom w:w="28" w:type="dxa"/>
            </w:tcMar>
            <w:vAlign w:val="center"/>
          </w:tcPr>
          <w:p>
            <w:pPr>
              <w:pStyle w:val="TableContents"/>
              <w:bidi w:val="0"/>
              <w:spacing w:before="0" w:after="283"/>
              <w:jc w:val="right"/>
              <w:rPr/>
            </w:pPr>
            <w:r>
              <w:rPr/>
              <w:t>1</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49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93" w:type="dxa"/>
            <w:tcBorders>
              <w:bottom w:val="double" w:sz="6" w:space="0" w:color="000000"/>
            </w:tcBorders>
            <w:shd w:fill="CCEEFF" w:val="clear"/>
            <w:tcMar>
              <w:bottom w:w="28" w:type="dxa"/>
            </w:tcM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61" w:type="dxa"/>
            <w:tcBorders>
              <w:bottom w:val="double" w:sz="6" w:space="0" w:color="000000"/>
            </w:tcBorders>
            <w:shd w:fill="CCEEFF" w:val="clear"/>
            <w:tcMar>
              <w:bottom w:w="28" w:type="dxa"/>
            </w:tcMar>
            <w:vAlign w:val="center"/>
          </w:tcPr>
          <w:p>
            <w:pPr>
              <w:pStyle w:val="TableContents"/>
              <w:bidi w:val="0"/>
              <w:spacing w:before="0" w:after="283"/>
              <w:jc w:val="right"/>
              <w:rPr/>
            </w:pPr>
            <w:r>
              <w:rPr/>
              <w:t>1</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10" w:type="dxa"/>
            <w:tcBorders>
              <w:bottom w:val="double" w:sz="6" w:space="0" w:color="000000"/>
            </w:tcBorders>
            <w:shd w:fill="CCEEFF" w:val="clear"/>
            <w:tcMar>
              <w:bottom w:w="28" w:type="dxa"/>
            </w:tcMar>
            <w:vAlign w:val="center"/>
          </w:tcPr>
          <w:p>
            <w:pPr>
              <w:pStyle w:val="TableContents"/>
              <w:bidi w:val="0"/>
              <w:spacing w:before="0" w:after="283"/>
              <w:jc w:val="right"/>
              <w:rPr/>
            </w:pPr>
            <w:r>
              <w:rPr/>
              <w:t>1,673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stock options or restricted stock units granted during the six months ended June 30, 2026. During the six months ended June 30, 2025, a total of 24,812 stock options and 0 restricted stock units were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Common Stock Equity Offerings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2026, the Company entered into a Securities Purchase Agreement (the “Purchase Agreement”) with certain foreign accredited investors (the “Investors”), pursuant to which the Investors agreed to purchase from the Company an aggregate of 1,103,338 shares of Common Stock, par value $0.001 (the “Shares”) of the Company at a purchase price of $0.72 per share for aggregate gross proceeds of $794,403, subject to the terms and conditions of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the Investors were Ms. Phuah Ee Jie and Ms Wong Chee Sin, each of whom acquired shares in the June 2026 private placement and each of whom holds approximately 3.33% of the Company’s outstanding restricted shares of common stock (approximately 6.66% in the aggregate). Ms. Phuah and Ms. Wong are also substantial shareholders of Firstborn Top Capital Sdn. Bhd. (“FBTC”), a Malaysian private limited company (Company No. 1343037-U), holding approximately 9% and 7%, respectively, of FBTC’s outstanding ordinary shares. FBTC is the target company in a pending de-SPAC business combination with ARC Group Acquisition I Corp (Nasdaq: ARCL). Datuk Dr. Doris Wong, the Company’s Chief Executive Officer and Executive Director, also serves as Chief Executive Officer and Executive Director of ARCL. Mr. Kiu Cu Seng, the Company’s Chief Financial Officer, also serves as Chief Financial Officer of ARCL. In addition, all three of the Company’s independent directors—Soon Ping Pappas, Dr. Satis Waran Nair Krishnan, and Inigo Angel Laurduraj—also serve as directors of ARCL. These overlapping interests and positions may create actual or potential conflicts of interest in connection with the June 2026 private placement and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entry into the Purchase Agreement, the Company entered into a Registration Rights Agreement (the “Registration Rights Agreement”) with the Investors for the registration for resale of the Shares pursuant to a registration statement (the “Registration Statement”) to be filed with the Securities and Exchange Commission (the “SEC”). Following the effectiveness of the resale Registration Statement, the Company is obligated to keep Registration Statement continuously effective from the date on which the SEC declares the Registration Statement effective until such date that all Registrable Securities (as such term is defined in the Registration Rights Agreement) covered by such Registration Statement have been sold pursuant to a registration statement under the Securities Act of 1933, as amended (the “Securities Act”), or under Rule 144 as promulgated by the SEC under the Securities Act, or otherwise shall have ceased to be Registrable Securities. The Company will be responsible for the registration expenses incurred in connection with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Convertible Preferred Stock Equity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E 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1,000,000 shares of the Company’s Series E Preferred Stock were issued pursuant to a March 2025 Securities Purchase Agreement with certain accredited investors (the “Investors”). The Company received proceeds of $1.0 million, net of issuance costs. All of the Series E preferred shares were converted into 458,333 shares of Common Stock and as of June 30, 2026, there were no remaining shares of the Series E Preferred Stock outstanding.</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F-45</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C and Series D 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1,000,000 shares of the Company’s Series C Preferred Stock and 2,100,000 shares of the Company’s Series D Preferred Stock were issued pursuant to a January 2025 Securities Purchase Agreement with David E. Lazar, pursuant to which he agreed to purchase from the Company 1,000,000 shares of Series C Convertible Preferred Stock (the “Series C Preferred Stock”) and 2,100,000 shares of Series D Convertible Preferred Stock (the “Series D Preferred Stock” and, together with the Series C Preferred Stock, the “Preferred Stock”) of the Company at a purchase price of $1.0 per share for aggregate gross proceeds of $3.1 million, subject to the terms and conditions of the January 2025 Securities Purchase Agreement. The proceeds of the transaction were used to repay and settle outstanding liabilities of the Company and for other general corporate and operating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C Preferred Stock was convertible into 0.011042 shares of the Company’s common stock, par value $0.001 per share (“Common Stock”), and each share of Series D Preferred Stock was convertible into 0.4583 shares of Common Stock. On February 24, 2025, all of the Series C preferred shares were converted in conjunction with the March 2025 Securities Purchase Agreement. As of June 30, 2026, there were no remaining shares of the Series C Preferred Stock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Series D preferred shares were converted in conjunction with the Purchase Agreement and as of June 30, 2026, there were no remaining shares of the Series D Preferred Stock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April 2024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warrants to purchase a total of 1,242 shares of common stock issued pursuant to a securities purchase agreement in an April 2024 financing transaction (the “April 2024 Securities Purchase Agreement”) remained outstanding. A total of 62,750 warrants were issued pursuant to the April 2024 Securities Purchase Agreement. This consisted of i) pre-funded warrants to purchase 20,100 of common stock, exercisable immediately from the date of issuance, and with no expiry date, at an exercise price of $0.24 per warrant share, ii) series A warrants to purchase up to 20,704 shares of common stock, exercisable immediately from the date of issuance for a period of five and a half (5.5) years after the date of issuance, at an exercise price of $326.40 per warrant share, iii) series B warrants to purchase up to 20,704 shares of common stock, exercisable immediately from the date of issuance for a period of eighteen months after the date of issuance, at an exercise price of $326.40 per warrant share. The 1,242 Placement Agent Warrants issued pursuant to the Engagement Letter with the placement agent, are exercisable immediately from the date of issuance for a period of five and a half (5.5) years after the date of issuance, at an exercise price of $124.512 per warrant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exercises of these warrants during the six months ended June 30, 2026 or June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December 2023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warrants to purchase a total of 1,750 shares of common stock issued pursuant to a securities purchase agreement in a December 2023 financing transaction remained outstanding. A total of 1,651 warrants, including 33 warrants issued in a concurrent private placement, are exercisable for a period of seven years after the date of issuance, at an exercise price of $765.60 per warrant share. A further 99 warrants issued in a concurrent placement agency agreement, are exercisable for a period of five years after the date of issuance, at an exercise price of $994.50 per warrant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exercises of these warrants during the six months ended June 30, 2026 or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Outstanding Preferred Stock</w:t>
      </w:r>
    </w:p>
    <w:p>
      <w:pPr>
        <w:pStyle w:val="TextBody"/>
        <w:bidi w:val="0"/>
        <w:spacing w:before="0" w:after="0"/>
        <w:ind w:left="0" w:right="0" w:firstLine="35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A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8,872 shares of the Company’s Series A Preferred Stock were issued in a July 2017 Underwritten Public Offering. Each share of Series A Preferred Stock is convertible at any time at the option of the holder thereof, into a number of shares of common stock determined by dividing $1,000 by the initial conversion price of $144,000.00 per share, subject to a 4.99% blocker provision, or, upon election by a holder prior to the issuance of shares of Series A Preferred Stock, 9.99%, and is subject to adjustment for stock splits, stock dividends, distributions, subdivisions and combinations.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264 shares of the Series A Preferred Stock remain issued and outstanding. The 264 shares of Series A Preferred Stock issued and outstanding at June 30, 2026, are convertible into 2 shares of common stock.</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liquidation, the holders of shares of the Series A Preferred Stock may participate on an as-converted-to-common-stock basis in any distribution of assets of the Company. The Company shall not pay any dividends on shares of common stock (other than dividends in the form of common stock) unless and until such time as dividends on each share of Series A Preferred Stock are paid on an as-converted basis. There is no restriction on the Company’s ability to repurchase shares of Series A Preferred Stock while there is an arrearage in the payment of dividends on such shares, and there are no sinking fund provisions applicable to Series A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at any time following the issuance of the Series A Preferred Stock, the Company has the right to cause each holder of the Series A Preferred Stock to convert all or part of such holder’s Series A Preferred Stock in the event that (i) the volume weighted average price of our common stock for 30 consecutive trading days, or Measurement Period exceeds 300% of the initial conversion price of the Series A Preferred Stock (subject to adjustment for forward and reverse stock splits, recapitalizations, stock dividends and similar transactions), (ii) the daily trading volume on each Trading Day during such Measurement Period exceeds $500,000 per trading day and (iii) the holder is not in possession of any information that constitutes or might constitute, material non-public information which was provided by the Company. The right to cause each holder of Series A Preferred Stock to convert all or part of such holder’s Series A Preferred Stock shall be exercised ratably among the holders of the then outstanding preferred stock.</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Preferred Stock has no maturity date, will carry the same dividend rights as the common stock, and with certain exceptions contains no voting rights. In the event of any liquidation or dissolution of the Company, the Series A Preferred Stock ranks senior to the common stock in the distribution of assets, to the extent legally available for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 Convertible Exchangeable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there were 135,273 shares of the Company’s 6% Convertible Exchangeable Preferred Stock (the “6% Preferred Stock”) issued and outstanding at an issue price of $10.00 per share. Dividends on the 6% Preferred Stock are cumulative from the date of original issuance at the annual rate of 6% of the liquidation preference of the 6% Preferred Stock, payable quarterly on the first day of February, May, August and November, commencing February 1, 2005. Any dividends must be declared by the Company’s board of directors and must come from funds that are legally available for dividend payments. The 6% Preferred Stock has a liquidation preference of $10.00 per share, plus accrued and unpaid dividends. As of June 30, 2026, there were no accrued and unpaid dividends.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automatically convert the 6% Preferred Stock into common stock if the per share closing price of the Company’s common stock has exceeded a per share price of $213,192,000, which is 150% of the conversion price of the 6% Preferred Stock, for at least 20 trading days during any 30 day trading period, ending within five trading days prior to notice of automatic conversion.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6% Preferred Stock has no maturity date and no voting rights prior to conversion into common stock, except under limited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its option, redeem the 6% Preferred Stock in whole or in part, out of funds legally available at the redemption price of $10.00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6% Preferred Stock is exchangeable, in whole but not in part, at the option of the Company on any dividend payment date beginning on November 1, 2005 (the “Exchange Date”) for the Company’s 6% Convertible Subordinated Debentures (the “Debentures”) at the rate of $10.00 principal amount of Debentures for each share of 6% Preferred Stock. The Debentures, if issued, will mature 25 years after the Exchange Date and have substantially similar terms to those of the 6% Preferred Stock. No such exchanges have taken place to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Dividends on 6%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2026, the board of directors of the Company declared a quarterly cash dividend of $0.15 per share on the Company’s 6% Convertible Exchangeable Preferred Stock scheduled for August 1, 2026. The cash dividend was paid on August 1, 2026, to Preferred Stock stockholders of record as of the close of business on July 23, 2026. The Board of Directors will continue to evaluate the payment of a quarterly cash dividend on a quarterly basis.</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F-47</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rFonts w:ascii="Times New Roman;Times;Serif" w:hAnsi="Times New Roman;Times;Serif"/>
          <w:b/>
          <w:i w:val="false"/>
          <w:caps w:val="false"/>
          <w:smallCaps w:val="false"/>
          <w:sz w:val="20"/>
        </w:rPr>
      </w:pPr>
      <w:bookmarkStart w:id="117" w:name="vb_020"/>
      <w:bookmarkEnd w:id="117"/>
      <w:r>
        <w:rPr>
          <w:rFonts w:ascii="Times New Roman;Times;Serif" w:hAnsi="Times New Roman;Times;Serif"/>
          <w:b/>
          <w:i w:val="false"/>
          <w:caps w:val="false"/>
          <w:smallCaps w:val="false"/>
          <w:sz w:val="20"/>
        </w:rPr>
        <w:t>INDEX TO CONSOLIDATED FINANCIAL STATEMENTS OF FUTURE NRG SDN. BHD.</w:t>
      </w:r>
    </w:p>
    <w:p>
      <w:pPr>
        <w:pStyle w:val="TextBody"/>
        <w:bidi w:val="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8750"/>
        <w:gridCol w:w="500"/>
      </w:tblGrid>
      <w:tr>
        <w:trPr/>
        <w:tc>
          <w:tcPr>
            <w:tcW w:w="875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Page </w:t>
            </w:r>
          </w:p>
        </w:tc>
      </w:tr>
      <w:tr>
        <w:trPr/>
        <w:tc>
          <w:tcPr>
            <w:tcW w:w="87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 Financial Statements</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8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750" w:type="dxa"/>
            <w:tcBorders/>
            <w:shd w:fill="CCEEFF" w:val="clear"/>
            <w:vAlign w:val="center"/>
          </w:tcPr>
          <w:p>
            <w:pPr>
              <w:pStyle w:val="TableContents"/>
              <w:bidi w:val="0"/>
              <w:spacing w:before="0" w:after="283"/>
              <w:jc w:val="left"/>
              <w:rPr/>
            </w:pPr>
            <w:hyperlink w:anchor="al_001">
              <w:r>
                <w:rPr>
                  <w:rStyle w:val="InternetLink"/>
                  <w:rFonts w:ascii="Times New Roman;Times;Serif" w:hAnsi="Times New Roman;Times;Serif"/>
                  <w:b w:val="false"/>
                  <w:i w:val="false"/>
                  <w:caps w:val="false"/>
                  <w:smallCaps w:val="false"/>
                  <w:sz w:val="20"/>
                </w:rPr>
                <w:t>REPORT OF INDEPENDENT REGISTERED PUBLIC ACCOUNTING FIRM</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F-49</w:t>
            </w:r>
          </w:p>
        </w:tc>
      </w:tr>
      <w:tr>
        <w:trPr/>
        <w:tc>
          <w:tcPr>
            <w:tcW w:w="8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750" w:type="dxa"/>
            <w:tcBorders/>
            <w:shd w:fill="CCEEFF" w:val="clear"/>
            <w:vAlign w:val="center"/>
          </w:tcPr>
          <w:p>
            <w:pPr>
              <w:pStyle w:val="TableContents"/>
              <w:bidi w:val="0"/>
              <w:spacing w:before="0" w:after="283"/>
              <w:jc w:val="left"/>
              <w:rPr/>
            </w:pPr>
            <w:hyperlink w:anchor="al_002">
              <w:r>
                <w:rPr>
                  <w:rStyle w:val="InternetLink"/>
                  <w:rFonts w:ascii="Times New Roman;Times;Serif" w:hAnsi="Times New Roman;Times;Serif"/>
                  <w:b w:val="false"/>
                  <w:i w:val="false"/>
                  <w:caps w:val="false"/>
                  <w:smallCaps w:val="false"/>
                  <w:sz w:val="20"/>
                </w:rPr>
                <w:t>CONSOLIDATED BALANCE SHEETS</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F-50</w:t>
            </w:r>
          </w:p>
        </w:tc>
      </w:tr>
      <w:tr>
        <w:trPr/>
        <w:tc>
          <w:tcPr>
            <w:tcW w:w="8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750" w:type="dxa"/>
            <w:tcBorders/>
            <w:shd w:fill="CCEEFF" w:val="clear"/>
            <w:vAlign w:val="center"/>
          </w:tcPr>
          <w:p>
            <w:pPr>
              <w:pStyle w:val="TableContents"/>
              <w:bidi w:val="0"/>
              <w:spacing w:before="0" w:after="283"/>
              <w:jc w:val="left"/>
              <w:rPr/>
            </w:pPr>
            <w:hyperlink w:anchor="al_003">
              <w:r>
                <w:rPr>
                  <w:rStyle w:val="InternetLink"/>
                  <w:rFonts w:ascii="Times New Roman;Times;Serif" w:hAnsi="Times New Roman;Times;Serif"/>
                  <w:b w:val="false"/>
                  <w:i w:val="false"/>
                  <w:caps w:val="false"/>
                  <w:smallCaps w:val="false"/>
                  <w:sz w:val="20"/>
                </w:rPr>
                <w:t>CONSOLIDATED STATEMENTS OF OPERATIONS AND COMPREHENSIVE INCOME</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F-51</w:t>
            </w:r>
          </w:p>
        </w:tc>
      </w:tr>
      <w:tr>
        <w:trPr/>
        <w:tc>
          <w:tcPr>
            <w:tcW w:w="8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750" w:type="dxa"/>
            <w:tcBorders/>
            <w:shd w:fill="CCEEFF" w:val="clear"/>
            <w:vAlign w:val="center"/>
          </w:tcPr>
          <w:p>
            <w:pPr>
              <w:pStyle w:val="TableContents"/>
              <w:bidi w:val="0"/>
              <w:spacing w:before="0" w:after="283"/>
              <w:jc w:val="left"/>
              <w:rPr/>
            </w:pPr>
            <w:hyperlink w:anchor="al_004">
              <w:r>
                <w:rPr>
                  <w:rStyle w:val="InternetLink"/>
                  <w:rFonts w:ascii="Times New Roman;Times;Serif" w:hAnsi="Times New Roman;Times;Serif"/>
                  <w:b w:val="false"/>
                  <w:i w:val="false"/>
                  <w:caps w:val="false"/>
                  <w:smallCaps w:val="false"/>
                  <w:sz w:val="20"/>
                </w:rPr>
                <w:t>CONSOLIDATED STATEMENTS OF STOCKHOLDERS’ EQUITY</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F-52</w:t>
            </w:r>
          </w:p>
        </w:tc>
      </w:tr>
      <w:tr>
        <w:trPr/>
        <w:tc>
          <w:tcPr>
            <w:tcW w:w="8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750" w:type="dxa"/>
            <w:tcBorders/>
            <w:shd w:fill="CCEEFF" w:val="clear"/>
            <w:vAlign w:val="center"/>
          </w:tcPr>
          <w:p>
            <w:pPr>
              <w:pStyle w:val="TableContents"/>
              <w:bidi w:val="0"/>
              <w:spacing w:before="0" w:after="283"/>
              <w:jc w:val="left"/>
              <w:rPr/>
            </w:pPr>
            <w:hyperlink w:anchor="al_005">
              <w:r>
                <w:rPr>
                  <w:rStyle w:val="InternetLink"/>
                  <w:rFonts w:ascii="Times New Roman;Times;Serif" w:hAnsi="Times New Roman;Times;Serif"/>
                  <w:b w:val="false"/>
                  <w:i w:val="false"/>
                  <w:caps w:val="false"/>
                  <w:smallCaps w:val="false"/>
                  <w:sz w:val="20"/>
                </w:rPr>
                <w:t>CONSOLIDATED STATEMENTS OF CASH FLOWS</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F-53</w:t>
            </w:r>
          </w:p>
        </w:tc>
      </w:tr>
      <w:tr>
        <w:trPr/>
        <w:tc>
          <w:tcPr>
            <w:tcW w:w="8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750" w:type="dxa"/>
            <w:tcBorders/>
            <w:shd w:fill="CCEEFF" w:val="clear"/>
            <w:vAlign w:val="center"/>
          </w:tcPr>
          <w:p>
            <w:pPr>
              <w:pStyle w:val="TableContents"/>
              <w:bidi w:val="0"/>
              <w:spacing w:before="0" w:after="283"/>
              <w:jc w:val="left"/>
              <w:rPr/>
            </w:pPr>
            <w:hyperlink w:anchor="al_006">
              <w:r>
                <w:rPr>
                  <w:rStyle w:val="InternetLink"/>
                  <w:rFonts w:ascii="Times New Roman;Times;Serif" w:hAnsi="Times New Roman;Times;Serif"/>
                  <w:b w:val="false"/>
                  <w:i w:val="false"/>
                  <w:caps w:val="false"/>
                  <w:smallCaps w:val="false"/>
                  <w:sz w:val="20"/>
                </w:rPr>
                <w:t>NOTES TO CONSOLIDATED FINANCIAL STATEMENTS</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F-54</w:t>
            </w:r>
          </w:p>
        </w:tc>
      </w:tr>
      <w:tr>
        <w:trPr/>
        <w:tc>
          <w:tcPr>
            <w:tcW w:w="8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7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Interim Condensed Financial Statements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8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750" w:type="dxa"/>
            <w:tcBorders/>
            <w:shd w:fill="CCEEFF" w:val="clear"/>
            <w:vAlign w:val="center"/>
          </w:tcPr>
          <w:p>
            <w:pPr>
              <w:pStyle w:val="TableContents"/>
              <w:bidi w:val="0"/>
              <w:spacing w:before="0" w:after="283"/>
              <w:jc w:val="left"/>
              <w:rPr/>
            </w:pPr>
            <w:hyperlink w:anchor="am_001">
              <w:r>
                <w:rPr>
                  <w:rStyle w:val="InternetLink"/>
                  <w:rFonts w:ascii="Times New Roman;Times;Serif" w:hAnsi="Times New Roman;Times;Serif"/>
                  <w:b w:val="false"/>
                  <w:i w:val="false"/>
                  <w:caps w:val="false"/>
                  <w:smallCaps w:val="false"/>
                  <w:sz w:val="20"/>
                </w:rPr>
                <w:t>BALANCE SHEET AS OF 30 JUNE 2026 (UNAUDITED)</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F-62</w:t>
            </w:r>
          </w:p>
        </w:tc>
      </w:tr>
      <w:tr>
        <w:trPr/>
        <w:tc>
          <w:tcPr>
            <w:tcW w:w="8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750" w:type="dxa"/>
            <w:tcBorders/>
            <w:shd w:fill="CCEEFF" w:val="clear"/>
            <w:vAlign w:val="center"/>
          </w:tcPr>
          <w:p>
            <w:pPr>
              <w:pStyle w:val="TableContents"/>
              <w:bidi w:val="0"/>
              <w:spacing w:before="0" w:after="283"/>
              <w:jc w:val="left"/>
              <w:rPr/>
            </w:pPr>
            <w:hyperlink w:anchor="am_002">
              <w:r>
                <w:rPr>
                  <w:rStyle w:val="InternetLink"/>
                  <w:rFonts w:ascii="Times New Roman;Times;Serif" w:hAnsi="Times New Roman;Times;Serif"/>
                  <w:b w:val="false"/>
                  <w:i w:val="false"/>
                  <w:caps w:val="false"/>
                  <w:smallCaps w:val="false"/>
                  <w:sz w:val="20"/>
                </w:rPr>
                <w:t>STATEMENT OF OPERATIONS AND COMPREHENSIVE INCOME AS OF 30 JUNE 2026 (UNAUDITED)</w:t>
              </w:r>
            </w:hyperlink>
            <w:r>
              <w:rPr>
                <w:rFonts w:ascii="Times New Roman;Times;Serif" w:hAnsi="Times New Roman;Times;Serif"/>
                <w:b w:val="false"/>
                <w:i w:val="false"/>
                <w:caps w:val="false"/>
                <w:smallCaps w:val="false"/>
                <w:sz w:val="20"/>
              </w:rPr>
              <w:t xml:space="preserve"> </w:t>
            </w:r>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F-63</w:t>
            </w:r>
          </w:p>
        </w:tc>
      </w:tr>
      <w:tr>
        <w:trPr/>
        <w:tc>
          <w:tcPr>
            <w:tcW w:w="8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750" w:type="dxa"/>
            <w:tcBorders/>
            <w:shd w:fill="CCEEFF" w:val="clear"/>
            <w:vAlign w:val="center"/>
          </w:tcPr>
          <w:p>
            <w:pPr>
              <w:pStyle w:val="TableContents"/>
              <w:bidi w:val="0"/>
              <w:spacing w:before="0" w:after="283"/>
              <w:jc w:val="left"/>
              <w:rPr/>
            </w:pPr>
            <w:hyperlink w:anchor="am_003">
              <w:r>
                <w:rPr>
                  <w:rStyle w:val="InternetLink"/>
                  <w:rFonts w:ascii="Times New Roman;Times;Serif" w:hAnsi="Times New Roman;Times;Serif"/>
                  <w:b w:val="false"/>
                  <w:i w:val="false"/>
                  <w:caps w:val="false"/>
                  <w:smallCaps w:val="false"/>
                  <w:sz w:val="20"/>
                </w:rPr>
                <w:t>STATEMENT OF CHANGES IN STOCKHOLDERS’ EQUITY AS OF 30 JUNE 2026 (UNAUDITED)</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F-64</w:t>
            </w:r>
          </w:p>
        </w:tc>
      </w:tr>
      <w:tr>
        <w:trPr/>
        <w:tc>
          <w:tcPr>
            <w:tcW w:w="8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750" w:type="dxa"/>
            <w:tcBorders/>
            <w:shd w:fill="CCEEFF" w:val="clear"/>
            <w:vAlign w:val="center"/>
          </w:tcPr>
          <w:p>
            <w:pPr>
              <w:pStyle w:val="TableContents"/>
              <w:bidi w:val="0"/>
              <w:spacing w:before="0" w:after="283"/>
              <w:jc w:val="left"/>
              <w:rPr/>
            </w:pPr>
            <w:hyperlink w:anchor="am_004">
              <w:r>
                <w:rPr>
                  <w:rStyle w:val="InternetLink"/>
                  <w:rFonts w:ascii="Times New Roman;Times;Serif" w:hAnsi="Times New Roman;Times;Serif"/>
                  <w:b w:val="false"/>
                  <w:i w:val="false"/>
                  <w:caps w:val="false"/>
                  <w:smallCaps w:val="false"/>
                  <w:sz w:val="20"/>
                </w:rPr>
                <w:t>STATEMENT OF CASH FLOWS AS OF 30 JUNE 2026 (UNAUDITED)</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F-65</w:t>
            </w:r>
          </w:p>
        </w:tc>
      </w:tr>
      <w:tr>
        <w:trPr/>
        <w:tc>
          <w:tcPr>
            <w:tcW w:w="8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750" w:type="dxa"/>
            <w:tcBorders/>
            <w:shd w:fill="CCEEFF" w:val="clear"/>
            <w:vAlign w:val="center"/>
          </w:tcPr>
          <w:p>
            <w:pPr>
              <w:pStyle w:val="TableContents"/>
              <w:bidi w:val="0"/>
              <w:spacing w:before="0" w:after="283"/>
              <w:jc w:val="left"/>
              <w:rPr/>
            </w:pPr>
            <w:hyperlink w:anchor="az_001">
              <w:r>
                <w:rPr>
                  <w:rStyle w:val="InternetLink"/>
                  <w:rFonts w:ascii="Times New Roman;Times;Serif" w:hAnsi="Times New Roman;Times;Serif"/>
                  <w:b w:val="false"/>
                  <w:i w:val="false"/>
                  <w:caps w:val="false"/>
                  <w:smallCaps w:val="false"/>
                  <w:sz w:val="20"/>
                </w:rPr>
                <w:t>NOTES TO FINANCIAL STATEMENTS (UNAUDITED)</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F-66</w:t>
            </w:r>
          </w:p>
        </w:tc>
      </w:tr>
    </w:tbl>
    <w:p>
      <w:pPr>
        <w:pStyle w:val="TextBody"/>
        <w:bidi w:val="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F-48</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18" w:name="al_001"/>
      <w:bookmarkEnd w:id="118"/>
      <w:r>
        <w:rPr>
          <w:rFonts w:ascii="Times New Roman;Times;Serif" w:hAnsi="Times New Roman;Times;Serif"/>
          <w:b/>
          <w:i w:val="false"/>
          <w:caps w:val="false"/>
          <w:smallCaps w:val="false"/>
          <w:sz w:val="20"/>
        </w:rPr>
        <w:t>REPORT OF INDEPENDENT REGISTERED PUBLIC ACCOUNTING FIRM</w:t>
      </w:r>
    </w:p>
    <w:p>
      <w:pPr>
        <w:pStyle w:val="TextBody"/>
        <w:bidi w:val="0"/>
        <w:jc w:val="center"/>
        <w:rPr>
          <w:caps w:val="false"/>
          <w:smallCaps w:val="false"/>
        </w:rPr>
      </w:pPr>
      <w:r>
        <w:rPr>
          <w:caps w:val="false"/>
          <w:smallCaps w:val="false"/>
        </w:rPr>
        <w:t> </w:t>
      </w:r>
    </w:p>
    <w:tbl>
      <w:tblPr>
        <w:tblW w:w="6830" w:type="dxa"/>
        <w:jc w:val="left"/>
        <w:tblInd w:w="0" w:type="dxa"/>
        <w:tblLayout w:type="fixed"/>
        <w:tblCellMar>
          <w:top w:w="0" w:type="dxa"/>
          <w:left w:w="0" w:type="dxa"/>
          <w:bottom w:w="0" w:type="dxa"/>
          <w:right w:w="0" w:type="dxa"/>
        </w:tblCellMar>
      </w:tblPr>
      <w:tblGrid>
        <w:gridCol w:w="2565"/>
        <w:gridCol w:w="60"/>
        <w:gridCol w:w="4205"/>
      </w:tblGrid>
      <w:tr>
        <w:trPr/>
        <w:tc>
          <w:tcPr>
            <w:tcW w:w="2565" w:type="dxa"/>
            <w:tcBorders/>
            <w:vAlign w:val="center"/>
          </w:tcPr>
          <w:p>
            <w:pPr>
              <w:pStyle w:val="TableContents"/>
              <w:bidi w:val="0"/>
              <w:spacing w:before="0" w:after="283"/>
              <w:jc w:val="left"/>
              <w:rPr/>
            </w:pPr>
            <w:r>
              <w:rPr/>
              <w:drawing>
                <wp:inline distT="0" distB="0" distL="0" distR="0">
                  <wp:extent cx="1619250" cy="77724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619250" cy="77724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jc w:val="left"/>
              <w:rPr/>
            </w:pPr>
            <w:r>
              <w:rPr>
                <w:b/>
              </w:rPr>
              <w:t>MORISON LC PLT</w:t>
            </w:r>
            <w:r>
              <w:rPr/>
              <w:t xml:space="preserve"> (LLP0032572-LCA)</w:t>
            </w:r>
          </w:p>
          <w:p>
            <w:pPr>
              <w:pStyle w:val="TableContents"/>
              <w:bidi w:val="0"/>
              <w:jc w:val="left"/>
              <w:rPr/>
            </w:pPr>
            <w:r>
              <w:rPr>
                <w:b/>
              </w:rPr>
              <w:t>Chartered Accountants</w:t>
            </w:r>
            <w:r>
              <w:rPr/>
              <w:t xml:space="preserve"> (AF 002469)</w:t>
            </w:r>
          </w:p>
          <w:p>
            <w:pPr>
              <w:pStyle w:val="TableContents"/>
              <w:bidi w:val="0"/>
              <w:jc w:val="left"/>
              <w:rPr/>
            </w:pPr>
            <w:r>
              <w:rPr/>
              <w:t>Level 11- 01, Uptown No.3,</w:t>
            </w:r>
          </w:p>
          <w:p>
            <w:pPr>
              <w:pStyle w:val="TableContents"/>
              <w:bidi w:val="0"/>
              <w:jc w:val="left"/>
              <w:rPr/>
            </w:pPr>
            <w:r>
              <w:rPr/>
              <w:t>Jalan SS 21/39, Damansara Utama, 47400</w:t>
            </w:r>
          </w:p>
          <w:p>
            <w:pPr>
              <w:pStyle w:val="TableContents"/>
              <w:bidi w:val="0"/>
              <w:spacing w:before="0" w:after="283"/>
              <w:jc w:val="left"/>
              <w:rPr/>
            </w:pPr>
            <w:r>
              <w:rPr/>
              <w:t>Bandar Petaling Jaya, Selangor, Malaysia.</w:t>
            </w:r>
          </w:p>
        </w:tc>
      </w:tr>
      <w:tr>
        <w:trPr/>
        <w:tc>
          <w:tcPr>
            <w:tcW w:w="2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283"/>
              <w:jc w:val="left"/>
              <w:rPr/>
            </w:pPr>
            <w:r>
              <w:rPr/>
              <w:t>+603 7491 4419</w:t>
            </w:r>
          </w:p>
        </w:tc>
      </w:tr>
      <w:tr>
        <w:trPr/>
        <w:tc>
          <w:tcPr>
            <w:tcW w:w="2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283"/>
              <w:jc w:val="left"/>
              <w:rPr/>
            </w:pPr>
            <w:r>
              <w:rPr/>
              <w:t>morisonlc.com</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Independent Registered Public Accounting Firm To the Stockholders and Board of Directors of Future NRG Sdn. Bhd.: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Opinion on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Future NRG Sdn. Bhd. and its subsidiary (collectively, the “Company”) as of December 31, 2025 and 2024, the related consolidated statements of operations and comprehensive income, changes in stockholders’ equity, and cash flows for each of the two years in the period ended December 31, 2025 and 2024, and the related notes (collectively,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opinion, the consolidated financial statements present fairly, in all material respects, the financial position of the Company as of December 31, 2025 and 2024, and the results of its operations and its cash flows for each of the two years in the period ended December 31, 2025 and 2024, in conformity with U.S.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in accordance with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examining evidence on a test basis, evaluating accounting principles used and significant estimates made by management, as well as evaluating the overall presentation of the financial statements. We believe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Emphasis of Matter – Discontinued Operations and Subsequent Disposal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4, the Company’s wholly-owned subsidiary, Solid Orient Holdings Sdn. Bhd. (“SOH”), engaged in the operation of a palm oil mill, has been classified as a disposal group held for sale and discontinued operations in accordance with ASC 205-20. The disposal was completed in January 2026. Our opinion is not modified with respect to this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463040" cy="47561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463040" cy="475615"/>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MORISON LC PLT {AF 002469)</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202206000028 (LLP0032572-LCA)</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Chartered Accountants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Kuala Lumpur, Malaysia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Independently owned and managed Member of Morison Global</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NRG SDN. BHD. AND SUBSIDIARY</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9" w:name="al_002"/>
      <w:bookmarkEnd w:id="119"/>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w:t>
      </w:r>
    </w:p>
    <w:p>
      <w:pPr>
        <w:pStyle w:val="TextBody"/>
        <w:bidi w:val="0"/>
        <w:spacing w:before="0" w:after="0"/>
        <w:ind w:left="0" w:right="0" w:hanging="0"/>
        <w:jc w:val="center"/>
        <w:rPr>
          <w:caps w:val="false"/>
          <w:smallCaps w:val="false"/>
        </w:rPr>
      </w:pPr>
      <w:r>
        <w:rPr>
          <w:caps w:val="false"/>
          <w:smallCaps w:val="false"/>
        </w:rPr>
        <w:t> </w:t>
      </w:r>
    </w:p>
    <w:tbl>
      <w:tblPr>
        <w:tblW w:w="8450" w:type="dxa"/>
        <w:jc w:val="left"/>
        <w:tblInd w:w="0" w:type="dxa"/>
        <w:tblLayout w:type="fixed"/>
        <w:tblCellMar>
          <w:top w:w="0" w:type="dxa"/>
          <w:left w:w="0" w:type="dxa"/>
          <w:bottom w:w="0" w:type="dxa"/>
          <w:right w:w="0" w:type="dxa"/>
        </w:tblCellMar>
      </w:tblPr>
      <w:tblGrid>
        <w:gridCol w:w="5315"/>
        <w:gridCol w:w="60"/>
        <w:gridCol w:w="500"/>
        <w:gridCol w:w="60"/>
        <w:gridCol w:w="60"/>
        <w:gridCol w:w="1100"/>
        <w:gridCol w:w="60"/>
        <w:gridCol w:w="60"/>
        <w:gridCol w:w="60"/>
        <w:gridCol w:w="1100"/>
        <w:gridCol w:w="75"/>
      </w:tblGrid>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i/>
              </w:rPr>
            </w:pPr>
            <w:r>
              <w:rPr>
                <w:i/>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i/>
              </w:rPr>
            </w:pPr>
            <w:r>
              <w:rPr>
                <w:i/>
              </w:rPr>
              <w:t>(USD)</w:t>
            </w:r>
          </w:p>
        </w:tc>
        <w:tc>
          <w:tcPr>
            <w:tcW w:w="75" w:type="dxa"/>
            <w:tcBorders/>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i/>
              </w:rPr>
            </w:pPr>
            <w:r>
              <w:rPr>
                <w:i/>
              </w:rPr>
              <w:t>Current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202,716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268,780</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320,516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323,587</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65,076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82,920</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Income taxes receivable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3,448</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b/>
              </w:rPr>
            </w:pPr>
            <w:r>
              <w:rPr>
                <w:b/>
              </w:rPr>
              <w:t>Total current assets – 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588,821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678,735</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i/>
              </w:rPr>
            </w:pPr>
            <w:r>
              <w:rPr>
                <w:i/>
              </w:rPr>
              <w:t>Non-current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4,518,397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4,267,528</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b/>
              </w:rPr>
            </w:pPr>
            <w:r>
              <w:rPr>
                <w:b/>
              </w:rPr>
              <w:t>Total non-current assets – 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4,518,397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4,267,528</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i/>
              </w:rPr>
            </w:pPr>
            <w:r>
              <w:rPr>
                <w:i/>
              </w:rPr>
              <w:t>Discontinued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Assets of discontinued operations held for sale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21,407,221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18,736,092</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26,514,439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23,682,355</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i/>
              </w:rPr>
            </w:pPr>
            <w:r>
              <w:rPr>
                <w:i/>
              </w:rPr>
              <w:t>Current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Accounts payable and accrued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5,113,187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3,440,900</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b/>
              </w:rPr>
            </w:pPr>
            <w:r>
              <w:rPr>
                <w:b/>
              </w:rPr>
              <w:t>Total current liabilities – 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5,113,187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3,440,900</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i/>
              </w:rPr>
            </w:pPr>
            <w:r>
              <w:rPr>
                <w:i/>
              </w:rPr>
              <w:t>Discontinued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Liabilities of discontinued operations held for sale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16,941,462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18,454,470</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22,054,649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21,895,370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00"/>
        <w:gridCol w:w="60"/>
        <w:gridCol w:w="500"/>
        <w:gridCol w:w="60"/>
        <w:gridCol w:w="60"/>
        <w:gridCol w:w="1100"/>
        <w:gridCol w:w="95"/>
        <w:gridCol w:w="60"/>
        <w:gridCol w:w="60"/>
        <w:gridCol w:w="1100"/>
        <w:gridCol w:w="110"/>
      </w:tblGrid>
      <w:tr>
        <w:trPr/>
        <w:tc>
          <w:tcPr>
            <w:tcW w:w="7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7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i/>
              </w:rPr>
            </w:pPr>
            <w:r>
              <w:rPr>
                <w:i/>
              </w:rPr>
              <w:t>(USD)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i/>
              </w:rPr>
            </w:pPr>
            <w:r>
              <w:rPr>
                <w:i/>
              </w:rPr>
              <w:t>(USD)</w:t>
            </w:r>
          </w:p>
        </w:tc>
        <w:tc>
          <w:tcPr>
            <w:tcW w:w="110" w:type="dxa"/>
            <w:tcBorders/>
            <w:vAlign w:val="center"/>
          </w:tcPr>
          <w:p>
            <w:pPr>
              <w:pStyle w:val="TableContents"/>
              <w:bidi w:val="0"/>
              <w:spacing w:before="0" w:after="283"/>
              <w:jc w:val="center"/>
              <w:rPr/>
            </w:pPr>
            <w:r>
              <w:rPr/>
              <w:t> </w:t>
            </w:r>
          </w:p>
        </w:tc>
      </w:tr>
      <w:tr>
        <w:trPr/>
        <w:tc>
          <w:tcPr>
            <w:tcW w:w="7000" w:type="dxa"/>
            <w:tcBorders/>
            <w:shd w:fill="CCEEFF" w:val="clear"/>
            <w:vAlign w:val="center"/>
          </w:tcPr>
          <w:p>
            <w:pPr>
              <w:pStyle w:val="TableContents"/>
              <w:bidi w:val="0"/>
              <w:spacing w:before="0" w:after="283"/>
              <w:jc w:val="left"/>
              <w:rPr>
                <w:i/>
              </w:rPr>
            </w:pPr>
            <w:r>
              <w:rPr>
                <w:i/>
              </w:rPr>
              <w:t>Stockholders’ equity: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00" w:type="dxa"/>
            <w:tcBorders/>
            <w:shd w:fill="FFFFFF" w:val="clear"/>
            <w:vAlign w:val="center"/>
          </w:tcPr>
          <w:p>
            <w:pPr>
              <w:pStyle w:val="TableContents"/>
              <w:bidi w:val="0"/>
              <w:spacing w:before="0" w:after="283"/>
              <w:jc w:val="left"/>
              <w:rPr/>
            </w:pPr>
            <w:r>
              <w:rPr/>
              <w:t>Common stock, $0.22 par value (RM 1); 28,000,000 shares authorized, issued and outstanding</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6,100,218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6,100,218</w:t>
            </w:r>
          </w:p>
        </w:tc>
        <w:tc>
          <w:tcPr>
            <w:tcW w:w="110" w:type="dxa"/>
            <w:tcBorders/>
            <w:shd w:fill="FFFFFF" w:val="clear"/>
            <w:vAlign w:val="center"/>
          </w:tcPr>
          <w:p>
            <w:pPr>
              <w:pStyle w:val="TableContents"/>
              <w:bidi w:val="0"/>
              <w:spacing w:before="0" w:after="283"/>
              <w:jc w:val="left"/>
              <w:rPr/>
            </w:pPr>
            <w:r>
              <w:rPr/>
              <w:t> </w:t>
            </w:r>
          </w:p>
        </w:tc>
      </w:tr>
      <w:tr>
        <w:trPr/>
        <w:tc>
          <w:tcPr>
            <w:tcW w:w="7000"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(1,847,502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(4,337,912</w:t>
            </w:r>
          </w:p>
        </w:tc>
        <w:tc>
          <w:tcPr>
            <w:tcW w:w="110" w:type="dxa"/>
            <w:tcBorders/>
            <w:shd w:fill="CCEEFF" w:val="clear"/>
            <w:vAlign w:val="center"/>
          </w:tcPr>
          <w:p>
            <w:pPr>
              <w:pStyle w:val="TableContents"/>
              <w:bidi w:val="0"/>
              <w:spacing w:before="0" w:after="283"/>
              <w:jc w:val="left"/>
              <w:rPr/>
            </w:pPr>
            <w:r>
              <w:rPr/>
              <w:t>)</w:t>
            </w:r>
          </w:p>
        </w:tc>
      </w:tr>
      <w:tr>
        <w:trPr/>
        <w:tc>
          <w:tcPr>
            <w:tcW w:w="7000" w:type="dxa"/>
            <w:tcBorders/>
            <w:shd w:fill="FFFFFF" w:val="clear"/>
            <w:vAlign w:val="center"/>
          </w:tcPr>
          <w:p>
            <w:pPr>
              <w:pStyle w:val="TableContents"/>
              <w:bidi w:val="0"/>
              <w:spacing w:before="0" w:after="283"/>
              <w:jc w:val="left"/>
              <w:rPr/>
            </w:pPr>
            <w:r>
              <w:rPr/>
              <w:t>Accumulated other comprehensive income (“AOCI”)</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207,074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24,679</w:t>
            </w:r>
          </w:p>
        </w:tc>
        <w:tc>
          <w:tcPr>
            <w:tcW w:w="110" w:type="dxa"/>
            <w:tcBorders/>
            <w:shd w:fill="FFFFFF" w:val="clear"/>
            <w:vAlign w:val="center"/>
          </w:tcPr>
          <w:p>
            <w:pPr>
              <w:pStyle w:val="TableContents"/>
              <w:bidi w:val="0"/>
              <w:spacing w:before="0" w:after="283"/>
              <w:jc w:val="left"/>
              <w:rPr/>
            </w:pPr>
            <w:r>
              <w:rPr/>
              <w:t> </w:t>
            </w:r>
          </w:p>
        </w:tc>
      </w:tr>
      <w:tr>
        <w:trPr/>
        <w:tc>
          <w:tcPr>
            <w:tcW w:w="7000" w:type="dxa"/>
            <w:tcBorders/>
            <w:shd w:fill="CCEEFF" w:val="clear"/>
            <w:vAlign w:val="center"/>
          </w:tcPr>
          <w:p>
            <w:pPr>
              <w:pStyle w:val="TableContents"/>
              <w:bidi w:val="0"/>
              <w:spacing w:before="0" w:after="283"/>
              <w:jc w:val="left"/>
              <w:rPr>
                <w:b/>
              </w:rPr>
            </w:pPr>
            <w:r>
              <w:rPr>
                <w:b/>
              </w:rPr>
              <w:t>Total stockholders’ equity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4,459,790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1,786,985</w:t>
            </w:r>
          </w:p>
        </w:tc>
        <w:tc>
          <w:tcPr>
            <w:tcW w:w="110" w:type="dxa"/>
            <w:tcBorders/>
            <w:shd w:fill="CCEEFF" w:val="clear"/>
            <w:vAlign w:val="center"/>
          </w:tcPr>
          <w:p>
            <w:pPr>
              <w:pStyle w:val="TableContents"/>
              <w:bidi w:val="0"/>
              <w:spacing w:before="0" w:after="283"/>
              <w:jc w:val="left"/>
              <w:rPr/>
            </w:pPr>
            <w:r>
              <w:rPr/>
              <w:t> </w:t>
            </w:r>
          </w:p>
        </w:tc>
      </w:tr>
      <w:tr>
        <w:trPr/>
        <w:tc>
          <w:tcPr>
            <w:tcW w:w="7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00" w:type="dxa"/>
            <w:tcBorders/>
            <w:shd w:fill="CCEEFF" w:val="clear"/>
            <w:vAlign w:val="center"/>
          </w:tcPr>
          <w:p>
            <w:pPr>
              <w:pStyle w:val="TableContents"/>
              <w:bidi w:val="0"/>
              <w:spacing w:before="0" w:after="283"/>
              <w:jc w:val="left"/>
              <w:rPr>
                <w:b/>
              </w:rPr>
            </w:pPr>
            <w:r>
              <w:rPr>
                <w:b/>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26,514,439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23,682,355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NRG SDN. BHD. AND SUBSIDIARY</w:t>
      </w:r>
    </w:p>
    <w:p>
      <w:pPr>
        <w:pStyle w:val="TextBody"/>
        <w:bidi w:val="0"/>
        <w:spacing w:before="0" w:after="0"/>
        <w:jc w:val="center"/>
        <w:rPr>
          <w:rFonts w:ascii="Times New Roman;Times;Serif" w:hAnsi="Times New Roman;Times;Serif"/>
          <w:b/>
          <w:i w:val="false"/>
          <w:caps w:val="false"/>
          <w:smallCaps w:val="false"/>
          <w:sz w:val="20"/>
        </w:rPr>
      </w:pPr>
      <w:bookmarkStart w:id="120" w:name="al_003"/>
      <w:bookmarkEnd w:id="120"/>
      <w:r>
        <w:rPr>
          <w:rFonts w:ascii="Times New Roman;Times;Serif" w:hAnsi="Times New Roman;Times;Serif"/>
          <w:b/>
          <w:i w:val="false"/>
          <w:caps w:val="false"/>
          <w:smallCaps w:val="false"/>
          <w:sz w:val="20"/>
        </w:rPr>
        <w:t>CONSOLIDATED STATEMENTS OF OPERATIONS AND COMPREHENSIVE INCOME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Years Ended December 31, 2025 and 2024</w:t>
      </w:r>
    </w:p>
    <w:p>
      <w:pPr>
        <w:pStyle w:val="TextBody"/>
        <w:bidi w:val="0"/>
        <w:spacing w:before="0" w:after="0"/>
        <w:jc w:val="center"/>
        <w:rPr>
          <w:caps w:val="false"/>
          <w:smallCaps w:val="false"/>
        </w:rPr>
      </w:pPr>
      <w:r>
        <w:rPr>
          <w:caps w:val="false"/>
          <w:smallCaps w:val="false"/>
        </w:rPr>
        <w:t> </w:t>
      </w:r>
    </w:p>
    <w:tbl>
      <w:tblPr>
        <w:tblW w:w="8580" w:type="dxa"/>
        <w:jc w:val="left"/>
        <w:tblInd w:w="0" w:type="dxa"/>
        <w:tblLayout w:type="fixed"/>
        <w:tblCellMar>
          <w:top w:w="0" w:type="dxa"/>
          <w:left w:w="0" w:type="dxa"/>
          <w:bottom w:w="0" w:type="dxa"/>
          <w:right w:w="0" w:type="dxa"/>
        </w:tblCellMar>
      </w:tblPr>
      <w:tblGrid>
        <w:gridCol w:w="5375"/>
        <w:gridCol w:w="60"/>
        <w:gridCol w:w="500"/>
        <w:gridCol w:w="60"/>
        <w:gridCol w:w="60"/>
        <w:gridCol w:w="1100"/>
        <w:gridCol w:w="95"/>
        <w:gridCol w:w="60"/>
        <w:gridCol w:w="60"/>
        <w:gridCol w:w="1100"/>
        <w:gridCol w:w="110"/>
      </w:tblGrid>
      <w:tr>
        <w:trPr/>
        <w:tc>
          <w:tcPr>
            <w:tcW w:w="5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5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5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i/>
              </w:rPr>
            </w:pPr>
            <w:r>
              <w:rPr>
                <w:i/>
              </w:rPr>
              <w:t>(USD)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i/>
              </w:rPr>
            </w:pPr>
            <w:r>
              <w:rPr>
                <w:i/>
              </w:rPr>
              <w:t>(USD)</w:t>
            </w:r>
          </w:p>
        </w:tc>
        <w:tc>
          <w:tcPr>
            <w:tcW w:w="110" w:type="dxa"/>
            <w:tcBorders/>
            <w:vAlign w:val="center"/>
          </w:tcPr>
          <w:p>
            <w:pPr>
              <w:pStyle w:val="TableContents"/>
              <w:bidi w:val="0"/>
              <w:spacing w:before="0" w:after="283"/>
              <w:jc w:val="center"/>
              <w:rPr/>
            </w:pPr>
            <w:r>
              <w:rPr/>
              <w:t> </w:t>
            </w:r>
          </w:p>
        </w:tc>
      </w:tr>
      <w:tr>
        <w:trPr/>
        <w:tc>
          <w:tcPr>
            <w:tcW w:w="5375" w:type="dxa"/>
            <w:tcBorders/>
            <w:shd w:fill="CCEEFF" w:val="clear"/>
            <w:vAlign w:val="center"/>
          </w:tcPr>
          <w:p>
            <w:pPr>
              <w:pStyle w:val="TableContents"/>
              <w:bidi w:val="0"/>
              <w:spacing w:before="0" w:after="283"/>
              <w:jc w:val="left"/>
              <w:rPr>
                <w:b/>
              </w:rPr>
            </w:pPr>
            <w:r>
              <w:rPr>
                <w:b/>
              </w:rPr>
              <w:t>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pPr>
            <w:r>
              <w:rPr/>
              <w:t>Revenue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854,337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871,741</w:t>
            </w:r>
          </w:p>
        </w:tc>
        <w:tc>
          <w:tcPr>
            <w:tcW w:w="11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i/>
              </w:rPr>
            </w:pPr>
            <w:r>
              <w:rPr>
                <w:i/>
              </w:rPr>
              <w:t>Cost of revenues: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pPr>
            <w:r>
              <w:rPr/>
              <w:t>Compensation and benefits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(72,663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(83,223</w:t>
            </w:r>
          </w:p>
        </w:tc>
        <w:tc>
          <w:tcPr>
            <w:tcW w:w="110" w:type="dxa"/>
            <w:tcBorders/>
            <w:shd w:fill="FFFFFF" w:val="clear"/>
            <w:vAlign w:val="center"/>
          </w:tcPr>
          <w:p>
            <w:pPr>
              <w:pStyle w:val="TableContents"/>
              <w:bidi w:val="0"/>
              <w:spacing w:before="0" w:after="283"/>
              <w:jc w:val="left"/>
              <w:rPr/>
            </w:pPr>
            <w:r>
              <w:rPr/>
              <w:t>)</w:t>
            </w:r>
          </w:p>
        </w:tc>
      </w:tr>
      <w:tr>
        <w:trPr/>
        <w:tc>
          <w:tcPr>
            <w:tcW w:w="5375" w:type="dxa"/>
            <w:tcBorders/>
            <w:shd w:fill="CCEEFF" w:val="clear"/>
            <w:vAlign w:val="center"/>
          </w:tcPr>
          <w:p>
            <w:pPr>
              <w:pStyle w:val="TableContents"/>
              <w:bidi w:val="0"/>
              <w:spacing w:before="0" w:after="283"/>
              <w:jc w:val="left"/>
              <w:rPr/>
            </w:pPr>
            <w:r>
              <w:rPr/>
              <w:t>Upkeep of plant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(345,172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(371,934</w:t>
            </w:r>
          </w:p>
        </w:tc>
        <w:tc>
          <w:tcPr>
            <w:tcW w:w="110" w:type="dxa"/>
            <w:tcBorders/>
            <w:shd w:fill="CCEEFF" w:val="clear"/>
            <w:vAlign w:val="center"/>
          </w:tcPr>
          <w:p>
            <w:pPr>
              <w:pStyle w:val="TableContents"/>
              <w:bidi w:val="0"/>
              <w:spacing w:before="0" w:after="283"/>
              <w:jc w:val="left"/>
              <w:rPr/>
            </w:pPr>
            <w:r>
              <w:rPr/>
              <w:t>)</w:t>
            </w:r>
          </w:p>
        </w:tc>
      </w:tr>
      <w:tr>
        <w:trPr/>
        <w:tc>
          <w:tcPr>
            <w:tcW w:w="5375" w:type="dxa"/>
            <w:tcBorders/>
            <w:shd w:fill="FFFFFF" w:val="clear"/>
            <w:vAlign w:val="center"/>
          </w:tcPr>
          <w:p>
            <w:pPr>
              <w:pStyle w:val="TableContents"/>
              <w:bidi w:val="0"/>
              <w:spacing w:before="0" w:after="283"/>
              <w:jc w:val="left"/>
              <w:rPr/>
            </w:pPr>
            <w:r>
              <w:rPr/>
              <w:t>Other cost of revenues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(162,522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(143,150</w:t>
            </w:r>
          </w:p>
        </w:tc>
        <w:tc>
          <w:tcPr>
            <w:tcW w:w="110" w:type="dxa"/>
            <w:tcBorders/>
            <w:shd w:fill="FFFFFF" w:val="clear"/>
            <w:vAlign w:val="center"/>
          </w:tcPr>
          <w:p>
            <w:pPr>
              <w:pStyle w:val="TableContents"/>
              <w:bidi w:val="0"/>
              <w:spacing w:before="0" w:after="283"/>
              <w:jc w:val="left"/>
              <w:rPr/>
            </w:pPr>
            <w:r>
              <w:rPr/>
              <w:t>)</w:t>
            </w:r>
          </w:p>
        </w:tc>
      </w:tr>
      <w:tr>
        <w:trPr/>
        <w:tc>
          <w:tcPr>
            <w:tcW w:w="5375" w:type="dxa"/>
            <w:tcBorders/>
            <w:shd w:fill="CCEEFF" w:val="clear"/>
            <w:vAlign w:val="center"/>
          </w:tcPr>
          <w:p>
            <w:pPr>
              <w:pStyle w:val="TableContents"/>
              <w:bidi w:val="0"/>
              <w:spacing w:before="0" w:after="283"/>
              <w:jc w:val="left"/>
              <w:rPr/>
            </w:pPr>
            <w:r>
              <w:rPr/>
              <w:t>Total cost of revenues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(580,357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(598,307</w:t>
            </w:r>
          </w:p>
        </w:tc>
        <w:tc>
          <w:tcPr>
            <w:tcW w:w="110" w:type="dxa"/>
            <w:tcBorders/>
            <w:shd w:fill="CCEEFF" w:val="clear"/>
            <w:vAlign w:val="center"/>
          </w:tcPr>
          <w:p>
            <w:pPr>
              <w:pStyle w:val="TableContents"/>
              <w:bidi w:val="0"/>
              <w:spacing w:before="0" w:after="283"/>
              <w:jc w:val="left"/>
              <w:rPr/>
            </w:pPr>
            <w:r>
              <w:rPr/>
              <w:t>)</w:t>
            </w:r>
          </w:p>
        </w:tc>
      </w:tr>
      <w:tr>
        <w:trPr/>
        <w:tc>
          <w:tcPr>
            <w:tcW w:w="5375" w:type="dxa"/>
            <w:tcBorders/>
            <w:shd w:fill="FFFFFF" w:val="clear"/>
            <w:vAlign w:val="center"/>
          </w:tcPr>
          <w:p>
            <w:pPr>
              <w:pStyle w:val="TableContents"/>
              <w:bidi w:val="0"/>
              <w:spacing w:before="0" w:after="283"/>
              <w:jc w:val="left"/>
              <w:rPr>
                <w:b/>
              </w:rPr>
            </w:pPr>
            <w:r>
              <w:rPr>
                <w:b/>
              </w:rPr>
              <w:t>Gross profit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273,980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273,434</w:t>
            </w:r>
          </w:p>
        </w:tc>
        <w:tc>
          <w:tcPr>
            <w:tcW w:w="11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i/>
              </w:rPr>
            </w:pPr>
            <w:r>
              <w:rPr>
                <w:i/>
              </w:rPr>
              <w:t>Operating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Selling and distribution costs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(5,907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(8,669</w:t>
            </w:r>
          </w:p>
        </w:tc>
        <w:tc>
          <w:tcPr>
            <w:tcW w:w="110" w:type="dxa"/>
            <w:tcBorders/>
            <w:shd w:fill="CCEEFF" w:val="clear"/>
            <w:vAlign w:val="center"/>
          </w:tcPr>
          <w:p>
            <w:pPr>
              <w:pStyle w:val="TableContents"/>
              <w:bidi w:val="0"/>
              <w:spacing w:before="0" w:after="283"/>
              <w:jc w:val="left"/>
              <w:rPr/>
            </w:pPr>
            <w:r>
              <w:rPr/>
              <w:t>)</w:t>
            </w:r>
          </w:p>
        </w:tc>
      </w:tr>
      <w:tr>
        <w:trPr/>
        <w:tc>
          <w:tcPr>
            <w:tcW w:w="5375"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(191,982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(173,709</w:t>
            </w:r>
          </w:p>
        </w:tc>
        <w:tc>
          <w:tcPr>
            <w:tcW w:w="110" w:type="dxa"/>
            <w:tcBorders/>
            <w:shd w:fill="FFFFFF" w:val="clear"/>
            <w:vAlign w:val="center"/>
          </w:tcPr>
          <w:p>
            <w:pPr>
              <w:pStyle w:val="TableContents"/>
              <w:bidi w:val="0"/>
              <w:spacing w:before="0" w:after="283"/>
              <w:jc w:val="left"/>
              <w:rPr/>
            </w:pPr>
            <w:r>
              <w:rPr/>
              <w:t>)</w:t>
            </w:r>
          </w:p>
        </w:tc>
      </w:tr>
      <w:tr>
        <w:trPr/>
        <w:tc>
          <w:tcPr>
            <w:tcW w:w="5375" w:type="dxa"/>
            <w:tcBorders/>
            <w:shd w:fill="CCEEFF" w:val="clear"/>
            <w:vAlign w:val="center"/>
          </w:tcPr>
          <w:p>
            <w:pPr>
              <w:pStyle w:val="TableContents"/>
              <w:bidi w:val="0"/>
              <w:spacing w:before="0" w:after="283"/>
              <w:jc w:val="left"/>
              <w:rPr/>
            </w:pPr>
            <w:r>
              <w:rPr/>
              <w:t>Compensation and benefits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(97,826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(86,105</w:t>
            </w:r>
          </w:p>
        </w:tc>
        <w:tc>
          <w:tcPr>
            <w:tcW w:w="110" w:type="dxa"/>
            <w:tcBorders/>
            <w:shd w:fill="CCEEFF" w:val="clear"/>
            <w:vAlign w:val="center"/>
          </w:tcPr>
          <w:p>
            <w:pPr>
              <w:pStyle w:val="TableContents"/>
              <w:bidi w:val="0"/>
              <w:spacing w:before="0" w:after="283"/>
              <w:jc w:val="left"/>
              <w:rPr/>
            </w:pPr>
            <w:r>
              <w:rPr/>
              <w:t>)</w:t>
            </w:r>
          </w:p>
        </w:tc>
      </w:tr>
      <w:tr>
        <w:trPr/>
        <w:tc>
          <w:tcPr>
            <w:tcW w:w="5375" w:type="dxa"/>
            <w:tcBorders/>
            <w:shd w:fill="FFFFFF" w:val="clear"/>
            <w:vAlign w:val="center"/>
          </w:tcPr>
          <w:p>
            <w:pPr>
              <w:pStyle w:val="TableContents"/>
              <w:bidi w:val="0"/>
              <w:spacing w:before="0" w:after="283"/>
              <w:jc w:val="left"/>
              <w:rPr/>
            </w:pPr>
            <w:r>
              <w:rPr/>
              <w:t>Professional fees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(14,480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(16,595</w:t>
            </w:r>
          </w:p>
        </w:tc>
        <w:tc>
          <w:tcPr>
            <w:tcW w:w="110" w:type="dxa"/>
            <w:tcBorders/>
            <w:shd w:fill="FFFFFF" w:val="clear"/>
            <w:vAlign w:val="center"/>
          </w:tcPr>
          <w:p>
            <w:pPr>
              <w:pStyle w:val="TableContents"/>
              <w:bidi w:val="0"/>
              <w:spacing w:before="0" w:after="283"/>
              <w:jc w:val="left"/>
              <w:rPr/>
            </w:pPr>
            <w:r>
              <w:rPr/>
              <w:t>)</w:t>
            </w:r>
          </w:p>
        </w:tc>
      </w:tr>
      <w:tr>
        <w:trPr/>
        <w:tc>
          <w:tcPr>
            <w:tcW w:w="537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(35,708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(114,979</w:t>
            </w:r>
          </w:p>
        </w:tc>
        <w:tc>
          <w:tcPr>
            <w:tcW w:w="110" w:type="dxa"/>
            <w:tcBorders/>
            <w:shd w:fill="CCEEFF" w:val="clear"/>
            <w:vAlign w:val="center"/>
          </w:tcPr>
          <w:p>
            <w:pPr>
              <w:pStyle w:val="TableContents"/>
              <w:bidi w:val="0"/>
              <w:spacing w:before="0" w:after="283"/>
              <w:jc w:val="left"/>
              <w:rPr/>
            </w:pPr>
            <w:r>
              <w:rPr/>
              <w:t>)</w:t>
            </w:r>
          </w:p>
        </w:tc>
      </w:tr>
      <w:tr>
        <w:trPr/>
        <w:tc>
          <w:tcPr>
            <w:tcW w:w="5375" w:type="dxa"/>
            <w:tcBorders/>
            <w:shd w:fill="FFFFFF" w:val="clear"/>
            <w:vAlign w:val="center"/>
          </w:tcPr>
          <w:p>
            <w:pPr>
              <w:pStyle w:val="TableContents"/>
              <w:bidi w:val="0"/>
              <w:spacing w:before="0" w:after="283"/>
              <w:jc w:val="left"/>
              <w:rPr/>
            </w:pPr>
            <w:r>
              <w:rPr/>
              <w:t>Impairment on financial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(35,616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(32,318</w:t>
            </w:r>
          </w:p>
        </w:tc>
        <w:tc>
          <w:tcPr>
            <w:tcW w:w="110" w:type="dxa"/>
            <w:tcBorders/>
            <w:shd w:fill="FFFFFF" w:val="clear"/>
            <w:vAlign w:val="center"/>
          </w:tcPr>
          <w:p>
            <w:pPr>
              <w:pStyle w:val="TableContents"/>
              <w:bidi w:val="0"/>
              <w:spacing w:before="0" w:after="283"/>
              <w:jc w:val="left"/>
              <w:rPr/>
            </w:pPr>
            <w:r>
              <w:rPr/>
              <w:t>)</w:t>
            </w:r>
          </w:p>
        </w:tc>
      </w:tr>
      <w:tr>
        <w:trPr/>
        <w:tc>
          <w:tcPr>
            <w:tcW w:w="5375"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(381,519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(432,375</w:t>
            </w:r>
          </w:p>
        </w:tc>
        <w:tc>
          <w:tcPr>
            <w:tcW w:w="110" w:type="dxa"/>
            <w:tcBorders/>
            <w:shd w:fill="CCEEFF" w:val="clear"/>
            <w:vAlign w:val="center"/>
          </w:tcPr>
          <w:p>
            <w:pPr>
              <w:pStyle w:val="TableContents"/>
              <w:bidi w:val="0"/>
              <w:spacing w:before="0" w:after="283"/>
              <w:jc w:val="left"/>
              <w:rPr/>
            </w:pPr>
            <w:r>
              <w:rPr/>
              <w:t>)</w:t>
            </w:r>
          </w:p>
        </w:tc>
      </w:tr>
      <w:tr>
        <w:trPr/>
        <w:tc>
          <w:tcPr>
            <w:tcW w:w="5375" w:type="dxa"/>
            <w:tcBorders/>
            <w:shd w:fill="FFFFFF" w:val="clear"/>
            <w:vAlign w:val="center"/>
          </w:tcPr>
          <w:p>
            <w:pPr>
              <w:pStyle w:val="TableContents"/>
              <w:bidi w:val="0"/>
              <w:spacing w:before="0" w:after="283"/>
              <w:jc w:val="left"/>
              <w:rPr>
                <w:b/>
              </w:rPr>
            </w:pPr>
            <w:r>
              <w:rPr>
                <w:b/>
              </w:rPr>
              <w:t>Operating loss from continuing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(107,539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(158,941</w:t>
            </w:r>
          </w:p>
        </w:tc>
        <w:tc>
          <w:tcPr>
            <w:tcW w:w="110" w:type="dxa"/>
            <w:tcBorders/>
            <w:shd w:fill="FFFFFF" w:val="clear"/>
            <w:vAlign w:val="center"/>
          </w:tcPr>
          <w:p>
            <w:pPr>
              <w:pStyle w:val="TableContents"/>
              <w:bidi w:val="0"/>
              <w:spacing w:before="0" w:after="283"/>
              <w:jc w:val="left"/>
              <w:rPr>
                <w:b/>
              </w:rPr>
            </w:pPr>
            <w:r>
              <w:rPr>
                <w:b/>
              </w:rPr>
              <w:t>)</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40,677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35,508</w:t>
            </w:r>
          </w:p>
        </w:tc>
        <w:tc>
          <w:tcPr>
            <w:tcW w:w="11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b/>
              </w:rPr>
            </w:pPr>
            <w:r>
              <w:rPr>
                <w:b/>
              </w:rPr>
              <w:t>Loss from continuing operations before income taxes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(66,862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(123,433</w:t>
            </w:r>
          </w:p>
        </w:tc>
        <w:tc>
          <w:tcPr>
            <w:tcW w:w="110" w:type="dxa"/>
            <w:tcBorders/>
            <w:shd w:fill="CCEEFF" w:val="clear"/>
            <w:vAlign w:val="center"/>
          </w:tcPr>
          <w:p>
            <w:pPr>
              <w:pStyle w:val="TableContents"/>
              <w:bidi w:val="0"/>
              <w:spacing w:before="0" w:after="283"/>
              <w:jc w:val="left"/>
              <w:rPr>
                <w:b/>
              </w:rPr>
            </w:pPr>
            <w:r>
              <w:rPr>
                <w:b/>
              </w:rPr>
              <w:t>)</w:t>
            </w:r>
          </w:p>
        </w:tc>
      </w:tr>
      <w:tr>
        <w:trPr/>
        <w:tc>
          <w:tcPr>
            <w:tcW w:w="5375" w:type="dxa"/>
            <w:tcBorders/>
            <w:shd w:fill="FFFFFF" w:val="clear"/>
            <w:vAlign w:val="center"/>
          </w:tcPr>
          <w:p>
            <w:pPr>
              <w:pStyle w:val="TableContents"/>
              <w:bidi w:val="0"/>
              <w:spacing w:before="0" w:after="283"/>
              <w:jc w:val="left"/>
              <w:rPr/>
            </w:pPr>
            <w:r>
              <w:rPr/>
              <w:t>Income tax provision</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b/>
              </w:rPr>
            </w:pPr>
            <w:r>
              <w:rPr>
                <w:b/>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(67,140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(123,433</w:t>
            </w:r>
          </w:p>
        </w:tc>
        <w:tc>
          <w:tcPr>
            <w:tcW w:w="110" w:type="dxa"/>
            <w:tcBorders/>
            <w:shd w:fill="CCEEFF" w:val="clear"/>
            <w:vAlign w:val="center"/>
          </w:tcPr>
          <w:p>
            <w:pPr>
              <w:pStyle w:val="TableContents"/>
              <w:bidi w:val="0"/>
              <w:spacing w:before="0" w:after="283"/>
              <w:jc w:val="left"/>
              <w:rPr>
                <w:b/>
              </w:rPr>
            </w:pPr>
            <w:r>
              <w:rPr>
                <w:b/>
              </w:rPr>
              <w:t>)</w:t>
            </w:r>
          </w:p>
        </w:tc>
      </w:tr>
      <w:tr>
        <w:trPr/>
        <w:tc>
          <w:tcPr>
            <w:tcW w:w="5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b/>
              </w:rPr>
            </w:pPr>
            <w:r>
              <w:rPr>
                <w:b/>
              </w:rPr>
              <w:t>DISCONTINUED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b/>
              </w:rPr>
            </w:pPr>
            <w:r>
              <w:rPr>
                <w:b/>
              </w:rPr>
              <w:t>Net income from discontinued operations, net of tax</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2,557,550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921,119</w:t>
            </w:r>
          </w:p>
        </w:tc>
        <w:tc>
          <w:tcPr>
            <w:tcW w:w="11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b/>
              </w:rPr>
            </w:pPr>
            <w:r>
              <w:rPr>
                <w:b/>
              </w:rPr>
              <w:t>NET INCOME (LOSS)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2,490,410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797,686</w:t>
            </w:r>
          </w:p>
        </w:tc>
        <w:tc>
          <w:tcPr>
            <w:tcW w:w="11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b/>
              </w:rPr>
            </w:pPr>
            <w:r>
              <w:rPr>
                <w:b/>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174,075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22,645</w:t>
            </w:r>
          </w:p>
        </w:tc>
        <w:tc>
          <w:tcPr>
            <w:tcW w:w="11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b/>
              </w:rPr>
            </w:pPr>
            <w:r>
              <w:rPr>
                <w:b/>
              </w:rPr>
              <w:t>Total comprehensive income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2,664,485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820,331</w:t>
            </w:r>
          </w:p>
        </w:tc>
        <w:tc>
          <w:tcPr>
            <w:tcW w:w="11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b/>
              </w:rPr>
            </w:pPr>
            <w:r>
              <w:rPr>
                <w:b/>
              </w:rPr>
              <w:t>EARNINGS (LOSS) PER SHARE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i/>
              </w:rPr>
            </w:pPr>
            <w:r>
              <w:rPr>
                <w:i/>
              </w:rPr>
              <w:t>Basic and diluted:</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pPr>
            <w:r>
              <w:rPr/>
              <w:t>Continuing operations (USD per share)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(0.0024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(0.0044</w:t>
            </w:r>
          </w:p>
        </w:tc>
        <w:tc>
          <w:tcPr>
            <w:tcW w:w="110" w:type="dxa"/>
            <w:tcBorders/>
            <w:shd w:fill="FFFFFF" w:val="clear"/>
            <w:vAlign w:val="center"/>
          </w:tcPr>
          <w:p>
            <w:pPr>
              <w:pStyle w:val="TableContents"/>
              <w:bidi w:val="0"/>
              <w:spacing w:before="0" w:after="283"/>
              <w:jc w:val="left"/>
              <w:rPr/>
            </w:pPr>
            <w:r>
              <w:rPr/>
              <w:t>)</w:t>
            </w:r>
          </w:p>
        </w:tc>
      </w:tr>
      <w:tr>
        <w:trPr/>
        <w:tc>
          <w:tcPr>
            <w:tcW w:w="5375" w:type="dxa"/>
            <w:tcBorders/>
            <w:shd w:fill="CCEEFF" w:val="clear"/>
            <w:vAlign w:val="center"/>
          </w:tcPr>
          <w:p>
            <w:pPr>
              <w:pStyle w:val="TableContents"/>
              <w:bidi w:val="0"/>
              <w:spacing w:before="0" w:after="283"/>
              <w:jc w:val="left"/>
              <w:rPr/>
            </w:pPr>
            <w:r>
              <w:rPr/>
              <w:t>Discontinued operations (USD per share)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0.0913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0.0329</w:t>
            </w:r>
          </w:p>
        </w:tc>
        <w:tc>
          <w:tcPr>
            <w:tcW w:w="11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b/>
              </w:rPr>
            </w:pPr>
            <w:r>
              <w:rPr>
                <w:b/>
              </w:rPr>
              <w:t>Total (USD per share)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11</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0.0889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0.0285</w:t>
            </w:r>
          </w:p>
        </w:tc>
        <w:tc>
          <w:tcPr>
            <w:tcW w:w="11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Weighted average shares outstanding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28,000,000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NRG SDN. BHD. AND SUBSIDIARY</w:t>
      </w:r>
    </w:p>
    <w:p>
      <w:pPr>
        <w:pStyle w:val="TextBody"/>
        <w:bidi w:val="0"/>
        <w:spacing w:before="0" w:after="0"/>
        <w:jc w:val="center"/>
        <w:rPr>
          <w:rFonts w:ascii="Times New Roman;Times;Serif" w:hAnsi="Times New Roman;Times;Serif"/>
          <w:b/>
          <w:i w:val="false"/>
          <w:caps w:val="false"/>
          <w:smallCaps w:val="false"/>
          <w:sz w:val="20"/>
        </w:rPr>
      </w:pPr>
      <w:bookmarkStart w:id="121" w:name="al_004"/>
      <w:bookmarkEnd w:id="121"/>
      <w:r>
        <w:rPr>
          <w:rFonts w:ascii="Times New Roman;Times;Serif" w:hAnsi="Times New Roman;Times;Serif"/>
          <w:b/>
          <w:i w:val="false"/>
          <w:caps w:val="false"/>
          <w:smallCaps w:val="false"/>
          <w:sz w:val="20"/>
        </w:rPr>
        <w:t>CONSOLIDATED STATEMENTS OF CHANGES IN STOCKHOLDERS’ EQUITY</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Years Ended December 31, 2025 and 2024</w:t>
      </w:r>
    </w:p>
    <w:p>
      <w:pPr>
        <w:pStyle w:val="TextBody"/>
        <w:bidi w:val="0"/>
        <w:spacing w:before="0" w:after="0"/>
        <w:jc w:val="center"/>
        <w:rPr>
          <w:caps w:val="false"/>
          <w:smallCaps w:val="false"/>
        </w:rPr>
      </w:pPr>
      <w:r>
        <w:rPr>
          <w:caps w:val="false"/>
          <w:smallCaps w:val="false"/>
        </w:rPr>
        <w:t> </w:t>
      </w:r>
    </w:p>
    <w:tbl>
      <w:tblPr>
        <w:tblW w:w="9704" w:type="dxa"/>
        <w:jc w:val="left"/>
        <w:tblInd w:w="0" w:type="dxa"/>
        <w:tblLayout w:type="fixed"/>
        <w:tblCellMar>
          <w:top w:w="0" w:type="dxa"/>
          <w:left w:w="0" w:type="dxa"/>
          <w:bottom w:w="0" w:type="dxa"/>
          <w:right w:w="0" w:type="dxa"/>
        </w:tblCellMar>
      </w:tblPr>
      <w:tblGrid>
        <w:gridCol w:w="4460"/>
        <w:gridCol w:w="60"/>
        <w:gridCol w:w="60"/>
        <w:gridCol w:w="980"/>
        <w:gridCol w:w="60"/>
        <w:gridCol w:w="60"/>
        <w:gridCol w:w="60"/>
        <w:gridCol w:w="1070"/>
        <w:gridCol w:w="95"/>
        <w:gridCol w:w="60"/>
        <w:gridCol w:w="60"/>
        <w:gridCol w:w="800"/>
        <w:gridCol w:w="60"/>
        <w:gridCol w:w="60"/>
        <w:gridCol w:w="96"/>
        <w:gridCol w:w="1588"/>
        <w:gridCol w:w="75"/>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AOCI</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8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Stockholders’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75" w:type="dxa"/>
            <w:tcBorders/>
            <w:vAlign w:val="center"/>
          </w:tcPr>
          <w:p>
            <w:pPr>
              <w:pStyle w:val="TableContents"/>
              <w:bidi w:val="0"/>
              <w:spacing w:before="0" w:after="283"/>
              <w:jc w:val="center"/>
              <w:rPr/>
            </w:pPr>
            <w:r>
              <w:rPr/>
              <w:t> </w:t>
            </w:r>
          </w:p>
        </w:tc>
      </w:tr>
      <w:tr>
        <w:trPr/>
        <w:tc>
          <w:tcPr>
            <w:tcW w:w="4460" w:type="dxa"/>
            <w:tcBorders/>
            <w:shd w:fill="CCEEFF" w:val="clear"/>
            <w:vAlign w:val="center"/>
          </w:tcPr>
          <w:p>
            <w:pPr>
              <w:pStyle w:val="TableContents"/>
              <w:bidi w:val="0"/>
              <w:spacing w:before="0" w:after="283"/>
              <w:jc w:val="left"/>
              <w:rPr>
                <w:b/>
              </w:rPr>
            </w:pPr>
            <w:r>
              <w:rPr>
                <w:b/>
              </w:rPr>
              <w:t>Balance, January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6,100,218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b/>
              </w:rPr>
            </w:pPr>
            <w:r>
              <w:rPr>
                <w:b/>
              </w:rPr>
              <w:t>(5,135,598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b/>
              </w:rPr>
            </w:pPr>
            <w:r>
              <w:rPr>
                <w:b/>
              </w:rPr>
              <w:t>964,620</w:t>
            </w:r>
          </w:p>
        </w:tc>
        <w:tc>
          <w:tcPr>
            <w:tcW w:w="75"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Net income — year ended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797,686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588" w:type="dxa"/>
            <w:tcBorders/>
            <w:shd w:fill="FFFFFF" w:val="clear"/>
            <w:vAlign w:val="center"/>
          </w:tcPr>
          <w:p>
            <w:pPr>
              <w:pStyle w:val="TableContents"/>
              <w:bidi w:val="0"/>
              <w:spacing w:before="0" w:after="283"/>
              <w:jc w:val="right"/>
              <w:rPr/>
            </w:pPr>
            <w:r>
              <w:rPr/>
              <w:t>797,686</w:t>
            </w:r>
          </w:p>
        </w:tc>
        <w:tc>
          <w:tcPr>
            <w:tcW w:w="75"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24,679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24,679</w:t>
            </w:r>
          </w:p>
        </w:tc>
        <w:tc>
          <w:tcPr>
            <w:tcW w:w="75"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b/>
              </w:rPr>
            </w:pPr>
            <w:r>
              <w:rPr>
                <w:b/>
              </w:rPr>
              <w:t>Balance,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6,100,218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(4,337,912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24,679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8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1,786,985</w:t>
            </w:r>
          </w:p>
        </w:tc>
        <w:tc>
          <w:tcPr>
            <w:tcW w:w="75" w:type="dxa"/>
            <w:tcBorders/>
            <w:shd w:fill="FFFF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b/>
              </w:rPr>
            </w:pPr>
            <w:r>
              <w:rPr>
                <w:b/>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6,100,218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(4,337,912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24,679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8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1,786,985</w:t>
            </w:r>
          </w:p>
        </w:tc>
        <w:tc>
          <w:tcPr>
            <w:tcW w:w="75"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Net income — year ended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2,490,410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2,490,410</w:t>
            </w:r>
          </w:p>
        </w:tc>
        <w:tc>
          <w:tcPr>
            <w:tcW w:w="75" w:type="dxa"/>
            <w:tcBorders/>
            <w:shd w:fill="CCEE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2,490,410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2,490,410</w:t>
            </w:r>
          </w:p>
        </w:tc>
        <w:tc>
          <w:tcPr>
            <w:tcW w:w="75"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182,395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588" w:type="dxa"/>
            <w:tcBorders/>
            <w:shd w:fill="FFFFFF" w:val="clear"/>
            <w:vAlign w:val="center"/>
          </w:tcPr>
          <w:p>
            <w:pPr>
              <w:pStyle w:val="TableContents"/>
              <w:bidi w:val="0"/>
              <w:spacing w:before="0" w:after="283"/>
              <w:jc w:val="right"/>
              <w:rPr/>
            </w:pPr>
            <w:r>
              <w:rPr/>
              <w:t>182,395</w:t>
            </w:r>
          </w:p>
        </w:tc>
        <w:tc>
          <w:tcPr>
            <w:tcW w:w="75"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Balance,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6,100,218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(1,847,502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207,074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8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4,459,790</w:t>
            </w:r>
          </w:p>
        </w:tc>
        <w:tc>
          <w:tcPr>
            <w:tcW w:w="75" w:type="dxa"/>
            <w:tcBorders/>
            <w:shd w:fill="CCEE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6,100,218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(1,847,502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207,074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8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4,459,790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NRG SDN. BHD. AND SUBSIDIARY</w:t>
      </w:r>
    </w:p>
    <w:p>
      <w:pPr>
        <w:pStyle w:val="TextBody"/>
        <w:bidi w:val="0"/>
        <w:spacing w:before="0" w:after="0"/>
        <w:jc w:val="center"/>
        <w:rPr>
          <w:rFonts w:ascii="Times New Roman;Times;Serif" w:hAnsi="Times New Roman;Times;Serif"/>
          <w:b/>
          <w:i w:val="false"/>
          <w:caps w:val="false"/>
          <w:smallCaps w:val="false"/>
          <w:sz w:val="20"/>
        </w:rPr>
      </w:pPr>
      <w:bookmarkStart w:id="122" w:name="al_005"/>
      <w:bookmarkEnd w:id="122"/>
      <w:r>
        <w:rPr>
          <w:rFonts w:ascii="Times New Roman;Times;Serif" w:hAnsi="Times New Roman;Times;Serif"/>
          <w:b/>
          <w:i w:val="false"/>
          <w:caps w:val="false"/>
          <w:smallCaps w:val="false"/>
          <w:sz w:val="20"/>
        </w:rPr>
        <w:t>CONSOLIDATED STATEMENTS OF CASH FLOWS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Years Ended December 31, 2025 and 2024</w:t>
      </w:r>
    </w:p>
    <w:p>
      <w:pPr>
        <w:pStyle w:val="TextBody"/>
        <w:bidi w:val="0"/>
        <w:spacing w:before="0" w:after="0"/>
        <w:jc w:val="center"/>
        <w:rPr>
          <w:caps w:val="false"/>
          <w:smallCaps w:val="false"/>
        </w:rPr>
      </w:pPr>
      <w:r>
        <w:rPr>
          <w:caps w:val="false"/>
          <w:smallCaps w:val="false"/>
        </w:rPr>
        <w:t> </w:t>
      </w:r>
    </w:p>
    <w:tbl>
      <w:tblPr>
        <w:tblW w:w="8700" w:type="dxa"/>
        <w:jc w:val="left"/>
        <w:tblInd w:w="0" w:type="dxa"/>
        <w:tblLayout w:type="fixed"/>
        <w:tblCellMar>
          <w:top w:w="0" w:type="dxa"/>
          <w:left w:w="0" w:type="dxa"/>
          <w:bottom w:w="0" w:type="dxa"/>
          <w:right w:w="0" w:type="dxa"/>
        </w:tblCellMar>
      </w:tblPr>
      <w:tblGrid>
        <w:gridCol w:w="5465"/>
        <w:gridCol w:w="60"/>
        <w:gridCol w:w="500"/>
        <w:gridCol w:w="60"/>
        <w:gridCol w:w="60"/>
        <w:gridCol w:w="1055"/>
        <w:gridCol w:w="155"/>
        <w:gridCol w:w="60"/>
        <w:gridCol w:w="60"/>
        <w:gridCol w:w="1055"/>
        <w:gridCol w:w="170"/>
      </w:tblGrid>
      <w:tr>
        <w:trPr/>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center"/>
              <w:rPr/>
            </w:pPr>
            <w:r>
              <w:rPr/>
              <w:t> </w:t>
            </w:r>
          </w:p>
        </w:tc>
      </w:tr>
      <w:tr>
        <w:trPr/>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i/>
              </w:rPr>
            </w:pPr>
            <w:r>
              <w:rPr>
                <w:i/>
              </w:rPr>
              <w:t>(USD)</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i/>
              </w:rPr>
            </w:pPr>
            <w:r>
              <w:rPr>
                <w:i/>
              </w:rPr>
              <w:t>(USD)</w:t>
            </w:r>
          </w:p>
        </w:tc>
        <w:tc>
          <w:tcPr>
            <w:tcW w:w="170" w:type="dxa"/>
            <w:tcBorders/>
            <w:vAlign w:val="center"/>
          </w:tcPr>
          <w:p>
            <w:pPr>
              <w:pStyle w:val="TableContents"/>
              <w:bidi w:val="0"/>
              <w:spacing w:before="0" w:after="283"/>
              <w:jc w:val="center"/>
              <w:rPr/>
            </w:pPr>
            <w:r>
              <w:rPr/>
              <w:t> </w:t>
            </w:r>
          </w:p>
        </w:tc>
      </w:tr>
      <w:tr>
        <w:trPr/>
        <w:tc>
          <w:tcPr>
            <w:tcW w:w="5465"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Net loss from continuing operation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(67,140</w:t>
            </w:r>
          </w:p>
        </w:tc>
        <w:tc>
          <w:tcPr>
            <w:tcW w:w="15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(123,433</w:t>
            </w:r>
          </w:p>
        </w:tc>
        <w:tc>
          <w:tcPr>
            <w:tcW w:w="17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 </w:t>
            </w:r>
          </w:p>
        </w:tc>
      </w:tr>
      <w:tr>
        <w:trPr/>
        <w:tc>
          <w:tcPr>
            <w:tcW w:w="5465"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Net income from discontinued operation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2,557,550</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921,119</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left"/>
              <w:rPr>
                <w:b w:val="false"/>
                <w:i/>
                <w:caps w:val="false"/>
                <w:smallCaps w:val="false"/>
              </w:rPr>
            </w:pPr>
            <w:r>
              <w:rPr>
                <w:b w:val="false"/>
                <w:i/>
                <w:caps w:val="false"/>
                <w:smallCaps w:val="false"/>
              </w:rPr>
              <w:t>Adjustments for non-cash items: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pPr>
            <w:r>
              <w:rPr/>
              <w:t>Depreciation and amortization — continuing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191,982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173,709</w:t>
            </w:r>
          </w:p>
        </w:tc>
        <w:tc>
          <w:tcPr>
            <w:tcW w:w="17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pPr>
            <w:r>
              <w:rPr/>
              <w:t>Depreciation and amortization — discontinued</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1,187,900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1,062,817</w:t>
            </w:r>
          </w:p>
        </w:tc>
        <w:tc>
          <w:tcPr>
            <w:tcW w:w="17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pPr>
            <w:r>
              <w:rPr/>
              <w:t>Impairment on financial assets — continuing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35,616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32,318</w:t>
            </w:r>
          </w:p>
        </w:tc>
        <w:tc>
          <w:tcPr>
            <w:tcW w:w="17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pPr>
            <w:r>
              <w:rPr/>
              <w:t>Bad debts written off — continuing</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104,588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i/>
              </w:rPr>
            </w:pPr>
            <w:r>
              <w:rPr>
                <w:i/>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pPr>
            <w:r>
              <w:rPr/>
              <w:t>Trade accounts receivable — continuing</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(104,105</w:t>
            </w:r>
          </w:p>
        </w:tc>
        <w:tc>
          <w:tcPr>
            <w:tcW w:w="1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2,811,351</w:t>
            </w:r>
          </w:p>
        </w:tc>
        <w:tc>
          <w:tcPr>
            <w:tcW w:w="17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pPr>
            <w:r>
              <w:rPr/>
              <w:t>Inventories — continuing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26,308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17,030</w:t>
            </w:r>
          </w:p>
        </w:tc>
        <w:tc>
          <w:tcPr>
            <w:tcW w:w="17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pPr>
            <w:r>
              <w:rPr/>
              <w:t>Accounts payable and accrued liabilities — continuing</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(276,764</w:t>
            </w:r>
          </w:p>
        </w:tc>
        <w:tc>
          <w:tcPr>
            <w:tcW w:w="1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(2,734,688</w:t>
            </w:r>
          </w:p>
        </w:tc>
        <w:tc>
          <w:tcPr>
            <w:tcW w:w="170" w:type="dxa"/>
            <w:tcBorders/>
            <w:shd w:fill="FFFFFF" w:val="clear"/>
            <w:vAlign w:val="center"/>
          </w:tcPr>
          <w:p>
            <w:pPr>
              <w:pStyle w:val="TableContents"/>
              <w:bidi w:val="0"/>
              <w:spacing w:before="0" w:after="283"/>
              <w:jc w:val="left"/>
              <w:rPr/>
            </w:pPr>
            <w:r>
              <w:rPr/>
              <w:t>)</w:t>
            </w:r>
          </w:p>
        </w:tc>
      </w:tr>
      <w:tr>
        <w:trPr/>
        <w:tc>
          <w:tcPr>
            <w:tcW w:w="5465" w:type="dxa"/>
            <w:tcBorders/>
            <w:shd w:fill="CCEEFF" w:val="clear"/>
            <w:vAlign w:val="center"/>
          </w:tcPr>
          <w:p>
            <w:pPr>
              <w:pStyle w:val="TableContents"/>
              <w:bidi w:val="0"/>
              <w:spacing w:before="0" w:after="283"/>
              <w:jc w:val="left"/>
              <w:rPr/>
            </w:pPr>
            <w:r>
              <w:rPr/>
              <w:t>Income taxes (paid) / refunded — continuing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3,287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(938</w:t>
            </w:r>
          </w:p>
        </w:tc>
        <w:tc>
          <w:tcPr>
            <w:tcW w:w="170" w:type="dxa"/>
            <w:tcBorders/>
            <w:shd w:fill="CCEEFF" w:val="clear"/>
            <w:vAlign w:val="center"/>
          </w:tcPr>
          <w:p>
            <w:pPr>
              <w:pStyle w:val="TableContents"/>
              <w:bidi w:val="0"/>
              <w:spacing w:before="0" w:after="283"/>
              <w:jc w:val="left"/>
              <w:rPr/>
            </w:pPr>
            <w:r>
              <w:rPr/>
              <w:t>)</w:t>
            </w:r>
          </w:p>
        </w:tc>
      </w:tr>
      <w:tr>
        <w:trPr/>
        <w:tc>
          <w:tcPr>
            <w:tcW w:w="5465" w:type="dxa"/>
            <w:tcBorders/>
            <w:shd w:fill="FFFFFF" w:val="clear"/>
            <w:vAlign w:val="center"/>
          </w:tcPr>
          <w:p>
            <w:pPr>
              <w:pStyle w:val="TableContents"/>
              <w:bidi w:val="0"/>
              <w:spacing w:before="0" w:after="283"/>
              <w:jc w:val="left"/>
              <w:rPr/>
            </w:pPr>
            <w:r>
              <w:rPr/>
              <w:t>Net changes in working capital —discontinued</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(1,171,032</w:t>
            </w:r>
          </w:p>
        </w:tc>
        <w:tc>
          <w:tcPr>
            <w:tcW w:w="1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(894,736</w:t>
            </w:r>
          </w:p>
        </w:tc>
        <w:tc>
          <w:tcPr>
            <w:tcW w:w="170" w:type="dxa"/>
            <w:tcBorders/>
            <w:shd w:fill="FFFFFF" w:val="clear"/>
            <w:vAlign w:val="center"/>
          </w:tcPr>
          <w:p>
            <w:pPr>
              <w:pStyle w:val="TableContents"/>
              <w:bidi w:val="0"/>
              <w:spacing w:before="0" w:after="283"/>
              <w:jc w:val="left"/>
              <w:rPr/>
            </w:pPr>
            <w:r>
              <w:rPr/>
              <w:t>)</w:t>
            </w:r>
          </w:p>
        </w:tc>
      </w:tr>
      <w:tr>
        <w:trPr/>
        <w:tc>
          <w:tcPr>
            <w:tcW w:w="5465" w:type="dxa"/>
            <w:tcBorders/>
            <w:shd w:fill="CCEEFF" w:val="clear"/>
            <w:vAlign w:val="center"/>
          </w:tcPr>
          <w:p>
            <w:pPr>
              <w:pStyle w:val="TableContents"/>
              <w:bidi w:val="0"/>
              <w:spacing w:before="0" w:after="283"/>
              <w:jc w:val="left"/>
              <w:rPr>
                <w:b/>
              </w:rPr>
            </w:pPr>
            <w:r>
              <w:rPr>
                <w:b/>
              </w:rPr>
              <w:t>Net cash from operating activities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2,488,190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1,264,549</w:t>
            </w:r>
          </w:p>
        </w:tc>
        <w:tc>
          <w:tcPr>
            <w:tcW w:w="17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pPr>
            <w:r>
              <w:rPr/>
              <w:t>Acquisition of property and equipment — continuing</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(7,270</w:t>
            </w:r>
          </w:p>
        </w:tc>
        <w:tc>
          <w:tcPr>
            <w:tcW w:w="1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(282</w:t>
            </w:r>
          </w:p>
        </w:tc>
        <w:tc>
          <w:tcPr>
            <w:tcW w:w="170" w:type="dxa"/>
            <w:tcBorders/>
            <w:shd w:fill="FFFFFF" w:val="clear"/>
            <w:vAlign w:val="center"/>
          </w:tcPr>
          <w:p>
            <w:pPr>
              <w:pStyle w:val="TableContents"/>
              <w:bidi w:val="0"/>
              <w:spacing w:before="0" w:after="283"/>
              <w:jc w:val="left"/>
              <w:rPr/>
            </w:pPr>
            <w:r>
              <w:rPr/>
              <w:t>)</w:t>
            </w:r>
          </w:p>
        </w:tc>
      </w:tr>
      <w:tr>
        <w:trPr/>
        <w:tc>
          <w:tcPr>
            <w:tcW w:w="5465" w:type="dxa"/>
            <w:tcBorders/>
            <w:shd w:fill="CCEEFF" w:val="clear"/>
            <w:vAlign w:val="center"/>
          </w:tcPr>
          <w:p>
            <w:pPr>
              <w:pStyle w:val="TableContents"/>
              <w:bidi w:val="0"/>
              <w:spacing w:before="0" w:after="283"/>
              <w:jc w:val="left"/>
              <w:rPr/>
            </w:pPr>
            <w:r>
              <w:rPr/>
              <w:t>Acquisition of property and equipment — discontinued</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(155,543</w:t>
            </w:r>
          </w:p>
        </w:tc>
        <w:tc>
          <w:tcPr>
            <w:tcW w:w="15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(8,336</w:t>
            </w:r>
          </w:p>
        </w:tc>
        <w:tc>
          <w:tcPr>
            <w:tcW w:w="170" w:type="dxa"/>
            <w:tcBorders/>
            <w:shd w:fill="CCEEFF" w:val="clear"/>
            <w:vAlign w:val="center"/>
          </w:tcPr>
          <w:p>
            <w:pPr>
              <w:pStyle w:val="TableContents"/>
              <w:bidi w:val="0"/>
              <w:spacing w:before="0" w:after="283"/>
              <w:jc w:val="left"/>
              <w:rPr/>
            </w:pPr>
            <w:r>
              <w:rPr/>
              <w:t>)</w:t>
            </w:r>
          </w:p>
        </w:tc>
      </w:tr>
      <w:tr>
        <w:trPr/>
        <w:tc>
          <w:tcPr>
            <w:tcW w:w="5465" w:type="dxa"/>
            <w:tcBorders/>
            <w:shd w:fill="FFFFFF" w:val="clear"/>
            <w:vAlign w:val="center"/>
          </w:tcPr>
          <w:p>
            <w:pPr>
              <w:pStyle w:val="TableContents"/>
              <w:bidi w:val="0"/>
              <w:spacing w:before="0" w:after="283"/>
              <w:jc w:val="left"/>
              <w:rPr>
                <w:b/>
              </w:rPr>
            </w:pPr>
            <w:r>
              <w:rPr>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(162,813</w:t>
            </w:r>
          </w:p>
        </w:tc>
        <w:tc>
          <w:tcPr>
            <w:tcW w:w="15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(8,618</w:t>
            </w:r>
          </w:p>
        </w:tc>
        <w:tc>
          <w:tcPr>
            <w:tcW w:w="170" w:type="dxa"/>
            <w:tcBorders/>
            <w:shd w:fill="FFFFFF" w:val="clear"/>
            <w:vAlign w:val="center"/>
          </w:tcPr>
          <w:p>
            <w:pPr>
              <w:pStyle w:val="TableContents"/>
              <w:bidi w:val="0"/>
              <w:spacing w:before="0" w:after="283"/>
              <w:jc w:val="left"/>
              <w:rPr>
                <w:b/>
              </w:rPr>
            </w:pPr>
            <w:r>
              <w:rPr>
                <w:b/>
              </w:rPr>
              <w:t>)</w:t>
            </w:r>
          </w:p>
        </w:tc>
      </w:tr>
      <w:tr>
        <w:trPr/>
        <w:tc>
          <w:tcPr>
            <w:tcW w:w="54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pPr>
            <w:r>
              <w:rPr/>
              <w:t>Repayment of banker’s acceptance — discontinued</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(1,031,318</w:t>
            </w:r>
          </w:p>
        </w:tc>
        <w:tc>
          <w:tcPr>
            <w:tcW w:w="15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(361,710</w:t>
            </w:r>
          </w:p>
        </w:tc>
        <w:tc>
          <w:tcPr>
            <w:tcW w:w="170" w:type="dxa"/>
            <w:tcBorders/>
            <w:shd w:fill="CCEEFF" w:val="clear"/>
            <w:vAlign w:val="center"/>
          </w:tcPr>
          <w:p>
            <w:pPr>
              <w:pStyle w:val="TableContents"/>
              <w:bidi w:val="0"/>
              <w:spacing w:before="0" w:after="283"/>
              <w:jc w:val="left"/>
              <w:rPr/>
            </w:pPr>
            <w:r>
              <w:rPr/>
              <w:t>)</w:t>
            </w:r>
          </w:p>
        </w:tc>
      </w:tr>
      <w:tr>
        <w:trPr/>
        <w:tc>
          <w:tcPr>
            <w:tcW w:w="5465" w:type="dxa"/>
            <w:tcBorders/>
            <w:shd w:fill="FFFFFF" w:val="clear"/>
            <w:vAlign w:val="center"/>
          </w:tcPr>
          <w:p>
            <w:pPr>
              <w:pStyle w:val="TableContents"/>
              <w:bidi w:val="0"/>
              <w:spacing w:before="0" w:after="283"/>
              <w:jc w:val="left"/>
              <w:rPr/>
            </w:pPr>
            <w:r>
              <w:rPr/>
              <w:t>Repayment of hire purchase obligations — discontinued</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(152,226</w:t>
            </w:r>
          </w:p>
        </w:tc>
        <w:tc>
          <w:tcPr>
            <w:tcW w:w="1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(389,834</w:t>
            </w:r>
          </w:p>
        </w:tc>
        <w:tc>
          <w:tcPr>
            <w:tcW w:w="170" w:type="dxa"/>
            <w:tcBorders/>
            <w:shd w:fill="FFFFFF" w:val="clear"/>
            <w:vAlign w:val="center"/>
          </w:tcPr>
          <w:p>
            <w:pPr>
              <w:pStyle w:val="TableContents"/>
              <w:bidi w:val="0"/>
              <w:spacing w:before="0" w:after="283"/>
              <w:jc w:val="left"/>
              <w:rPr/>
            </w:pPr>
            <w:r>
              <w:rPr/>
              <w:t>)</w:t>
            </w:r>
          </w:p>
        </w:tc>
      </w:tr>
      <w:tr>
        <w:trPr/>
        <w:tc>
          <w:tcPr>
            <w:tcW w:w="5465" w:type="dxa"/>
            <w:tcBorders/>
            <w:shd w:fill="CCEEFF" w:val="clear"/>
            <w:vAlign w:val="center"/>
          </w:tcPr>
          <w:p>
            <w:pPr>
              <w:pStyle w:val="TableContents"/>
              <w:bidi w:val="0"/>
              <w:spacing w:before="0" w:after="283"/>
              <w:jc w:val="left"/>
              <w:rPr>
                <w:b/>
              </w:rPr>
            </w:pPr>
            <w:r>
              <w:rPr>
                <w:b/>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(1,183,544</w:t>
            </w:r>
          </w:p>
        </w:tc>
        <w:tc>
          <w:tcPr>
            <w:tcW w:w="15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(751,544</w:t>
            </w:r>
          </w:p>
        </w:tc>
        <w:tc>
          <w:tcPr>
            <w:tcW w:w="170" w:type="dxa"/>
            <w:tcBorders/>
            <w:shd w:fill="CCEEFF" w:val="clear"/>
            <w:vAlign w:val="center"/>
          </w:tcPr>
          <w:p>
            <w:pPr>
              <w:pStyle w:val="TableContents"/>
              <w:bidi w:val="0"/>
              <w:spacing w:before="0" w:after="283"/>
              <w:jc w:val="left"/>
              <w:rPr>
                <w:b/>
              </w:rPr>
            </w:pPr>
            <w:r>
              <w:rPr>
                <w:b/>
              </w:rPr>
              <w:t>)</w:t>
            </w:r>
          </w:p>
        </w:tc>
      </w:tr>
      <w:tr>
        <w:trPr/>
        <w:tc>
          <w:tcPr>
            <w:tcW w:w="5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pPr>
            <w:r>
              <w:rPr/>
              <w:t>Effect of exchange rate changes on cash</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225,986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36,558</w:t>
            </w:r>
          </w:p>
        </w:tc>
        <w:tc>
          <w:tcPr>
            <w:tcW w:w="17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b/>
              </w:rPr>
            </w:pPr>
            <w:r>
              <w:rPr>
                <w:b/>
              </w:rPr>
              <w:t>Net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1,367,819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540,945</w:t>
            </w:r>
          </w:p>
        </w:tc>
        <w:tc>
          <w:tcPr>
            <w:tcW w:w="17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pPr>
            <w:r>
              <w:rPr/>
              <w:t>Cash at beginning of year</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1,969,947</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1,429,002</w:t>
            </w:r>
          </w:p>
        </w:tc>
        <w:tc>
          <w:tcPr>
            <w:tcW w:w="17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b/>
              </w:rPr>
            </w:pPr>
            <w:r>
              <w:rPr>
                <w:b/>
              </w:rPr>
              <w:t>Cash at end of year</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3,337,766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1,969,947</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F-53</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NRG Sdn. Bhd. and Subsidiary</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As of</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 and 2024 and for the Years ended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 and 2024</w:t>
      </w:r>
    </w:p>
    <w:p>
      <w:pPr>
        <w:pStyle w:val="TextBody"/>
        <w:bidi w:val="0"/>
        <w:spacing w:before="0" w:after="0"/>
        <w:jc w:val="left"/>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185"/>
        <w:gridCol w:w="728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123" w:name="al_006"/>
            <w:bookmarkEnd w:id="123"/>
            <w:r>
              <w:rPr>
                <w:rFonts w:ascii="Times New Roman;Times;Serif" w:hAnsi="Times New Roman;Times;Serif"/>
                <w:b/>
                <w:i w:val="false"/>
                <w:caps w:val="false"/>
                <w:smallCaps w:val="false"/>
                <w:sz w:val="20"/>
              </w:rPr>
              <w:t>1.</w:t>
            </w:r>
          </w:p>
        </w:tc>
        <w:tc>
          <w:tcPr>
            <w:tcW w:w="72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NATURE OF OPERATIONS AND BASIS OF CONSOLIDATION Company Overview</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 (the “Company” or “FNRG”) is incorporated in Malaysia and is principally engaged in renewable energy development and the provision of medical waste collection and logistics services to clinic operators.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wholly-owned subsidiary, Solid Orient Holdings Sdn. Bhd. (“SOH”), is engaged in the operation of a palm oil mill. Together, the Company and SOH are referred to as the “Group”. The Company is wholly owned by Fitters Diversified Berhad (“Fitters”), a company listed on the Main Market of Bursa Malaysia Securities Berhad, which is the ultimate holding company of the Group.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place of business is Lot PT 6127, 3A/1, Jalan Tech Valley, Bandar Sri Sendayan, Seremban, Negeri Sembilan, Malaysia.</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Consolidation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accounts of the Company and its wholly-owned subsidiary. Subsidiary is entity over which the Company has a controlling financial interest. All material intercompany transactions and balances have been eliminated in consolidation in accordance with ASC 810, Consolidation.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Discontinued Operations and Held-for-Sale Classification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2025, the Company entered into a Share Sale Agreement (“SSA”) with its ultimate holding company, Fitters Diversified Berhad to dispose of its entire 100% equity interest in SOH for cash consideration of RM 10,500,000 (USD 2,585,620). Upon execution of the SSA, the disposal group met the criteria to be classified as held for sale in accordance with applicable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and liabilities of SOH are presented as single line items on the consolidated balance sheets. Comparative figures as of December 31, 2024 have been retrospectively reclassified in accordance with SEC Financial Reporting Manual Topic 13 § 13210.2. The disposal was completed on January 23, 2026 (see Note 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Significant Accounting Policies</w:t>
      </w:r>
    </w:p>
    <w:tbl>
      <w:tblPr>
        <w:tblW w:w="5200" w:type="dxa"/>
        <w:jc w:val="left"/>
        <w:tblInd w:w="0" w:type="dxa"/>
        <w:tblLayout w:type="fixed"/>
        <w:tblCellMar>
          <w:top w:w="0" w:type="dxa"/>
          <w:left w:w="0" w:type="dxa"/>
          <w:bottom w:w="0" w:type="dxa"/>
          <w:right w:w="0" w:type="dxa"/>
        </w:tblCellMar>
      </w:tblPr>
      <w:tblGrid>
        <w:gridCol w:w="185"/>
        <w:gridCol w:w="501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50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SIGNIFICANT ACCOUNTING POLICIES</w:t>
            </w:r>
          </w:p>
        </w:tc>
      </w:tr>
    </w:tbl>
    <w:p>
      <w:pPr>
        <w:pStyle w:val="TextBody"/>
        <w:bidi w:val="0"/>
        <w:spacing w:before="0" w:after="0"/>
        <w:ind w:left="0" w:right="0" w:hanging="0"/>
        <w:jc w:val="both"/>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75"/>
        <w:gridCol w:w="245"/>
        <w:gridCol w:w="17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w:t>
            </w:r>
          </w:p>
        </w:tc>
        <w:tc>
          <w:tcPr>
            <w:tcW w:w="179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prepared in conformity with accounting principles generally accepted in the United States of America (“U.S. GAAP”) as established by the Financial Accounting Standards Board (“FASB”).</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date of transition to U.S. GAAP is January 1, 2024. U.S. GAAP accounting policies have been applied retrospectively to all periods presented.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75"/>
        <w:gridCol w:w="245"/>
        <w:gridCol w:w="3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w:t>
            </w:r>
          </w:p>
        </w:tc>
        <w:tc>
          <w:tcPr>
            <w:tcW w:w="302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Functional and Reporting Currency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of the Group is the Malaysian Ringgit (“RM”). These consolidated financial statements are presented in U.S. Dollars (“USD”), translated at the following period-end exchange rates: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Functional and Reporting Currency</w:t>
      </w:r>
    </w:p>
    <w:tbl>
      <w:tblPr>
        <w:tblW w:w="3234" w:type="dxa"/>
        <w:jc w:val="left"/>
        <w:tblInd w:w="0" w:type="dxa"/>
        <w:tblLayout w:type="fixed"/>
        <w:tblCellMar>
          <w:top w:w="0" w:type="dxa"/>
          <w:left w:w="0" w:type="dxa"/>
          <w:bottom w:w="28" w:type="dxa"/>
          <w:right w:w="0" w:type="dxa"/>
        </w:tblCellMar>
      </w:tblPr>
      <w:tblGrid>
        <w:gridCol w:w="2000"/>
        <w:gridCol w:w="60"/>
        <w:gridCol w:w="89"/>
        <w:gridCol w:w="1010"/>
        <w:gridCol w:w="75"/>
      </w:tblGrid>
      <w:tr>
        <w:trPr/>
        <w:tc>
          <w:tcPr>
            <w:tcW w:w="2000" w:type="dxa"/>
            <w:tcBorders>
              <w:bottom w:val="single" w:sz="8" w:space="0" w:color="000000"/>
            </w:tcBorders>
            <w:vAlign w:val="center"/>
          </w:tcPr>
          <w:p>
            <w:pPr>
              <w:pStyle w:val="TableContents"/>
              <w:bidi w:val="0"/>
              <w:spacing w:before="0" w:after="283"/>
              <w:jc w:val="left"/>
              <w:rPr>
                <w:b/>
              </w:rPr>
            </w:pPr>
            <w:r>
              <w:rPr>
                <w:b/>
              </w:rPr>
              <w:t>Balance Sheet Date</w:t>
            </w:r>
          </w:p>
        </w:tc>
        <w:tc>
          <w:tcPr>
            <w:tcW w:w="60" w:type="dxa"/>
            <w:tcBorders/>
            <w:tcMar>
              <w:bottom w:w="0" w:type="dxa"/>
            </w:tcMar>
            <w:vAlign w:val="center"/>
          </w:tcPr>
          <w:p>
            <w:pPr>
              <w:pStyle w:val="TableContents"/>
              <w:bidi w:val="0"/>
              <w:spacing w:before="0" w:after="283"/>
              <w:jc w:val="left"/>
              <w:rPr/>
            </w:pPr>
            <w:r>
              <w:rPr/>
              <w:t> </w:t>
            </w:r>
          </w:p>
        </w:tc>
        <w:tc>
          <w:tcPr>
            <w:tcW w:w="1099" w:type="dxa"/>
            <w:gridSpan w:val="2"/>
            <w:tcBorders>
              <w:bottom w:val="single" w:sz="8" w:space="0" w:color="000000"/>
            </w:tcBorders>
            <w:vAlign w:val="center"/>
          </w:tcPr>
          <w:p>
            <w:pPr>
              <w:pStyle w:val="TableContents"/>
              <w:bidi w:val="0"/>
              <w:spacing w:before="0" w:after="283"/>
              <w:jc w:val="right"/>
              <w:rPr>
                <w:b/>
              </w:rPr>
            </w:pPr>
            <w:r>
              <w:rPr>
                <w:b/>
              </w:rPr>
              <w:t>RM / USD</w:t>
            </w:r>
          </w:p>
        </w:tc>
        <w:tc>
          <w:tcPr>
            <w:tcW w:w="75" w:type="dxa"/>
            <w:tcBorders/>
            <w:tcMar>
              <w:bottom w:w="0" w:type="dxa"/>
            </w:tcMar>
            <w:vAlign w:val="center"/>
          </w:tcPr>
          <w:p>
            <w:pPr>
              <w:pStyle w:val="TableContents"/>
              <w:bidi w:val="0"/>
              <w:spacing w:before="0" w:after="283"/>
              <w:jc w:val="left"/>
              <w:rPr/>
            </w:pPr>
            <w:r>
              <w:rPr/>
              <w:t> </w:t>
            </w:r>
          </w:p>
        </w:tc>
      </w:tr>
      <w:tr>
        <w:trPr/>
        <w:tc>
          <w:tcPr>
            <w:tcW w:w="2000" w:type="dxa"/>
            <w:tcBorders/>
            <w:shd w:fill="CCEEFF" w:val="clear"/>
            <w:tcMar>
              <w:bottom w:w="0" w:type="dxa"/>
            </w:tcMar>
            <w:vAlign w:val="center"/>
          </w:tcPr>
          <w:p>
            <w:pPr>
              <w:pStyle w:val="TableContents"/>
              <w:bidi w:val="0"/>
              <w:spacing w:before="0" w:after="283"/>
              <w:jc w:val="left"/>
              <w:rPr/>
            </w:pPr>
            <w:r>
              <w:rPr/>
              <w:t>December 31,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4.5900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00" w:type="dxa"/>
            <w:tcBorders/>
            <w:shd w:fill="FFFFFF" w:val="clear"/>
            <w:tcMar>
              <w:bottom w:w="0" w:type="dxa"/>
            </w:tcMar>
            <w:vAlign w:val="center"/>
          </w:tcPr>
          <w:p>
            <w:pPr>
              <w:pStyle w:val="TableContents"/>
              <w:bidi w:val="0"/>
              <w:spacing w:before="0" w:after="283"/>
              <w:jc w:val="left"/>
              <w:rPr/>
            </w:pPr>
            <w:r>
              <w:rPr/>
              <w:t>December 31,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4.4755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000" w:type="dxa"/>
            <w:tcBorders/>
            <w:shd w:fill="CCEEFF" w:val="clear"/>
            <w:tcMar>
              <w:bottom w:w="0" w:type="dxa"/>
            </w:tcMar>
            <w:vAlign w:val="center"/>
          </w:tcPr>
          <w:p>
            <w:pPr>
              <w:pStyle w:val="TableContents"/>
              <w:bidi w:val="0"/>
              <w:spacing w:before="0" w:after="283"/>
              <w:jc w:val="left"/>
              <w:rPr/>
            </w:pPr>
            <w:r>
              <w:rPr/>
              <w:t>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4.0610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statement items are translated at the average rate for the period. USD amounts are provided for convenience only and do not represent that RM amounts have been or could be converted into USD at these rates.</w:t>
      </w:r>
    </w:p>
    <w:p>
      <w:pPr>
        <w:pStyle w:val="TextBody"/>
        <w:bidi w:val="0"/>
        <w:spacing w:before="0" w:after="0"/>
        <w:ind w:left="0" w:right="0" w:hanging="0"/>
        <w:jc w:val="both"/>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75"/>
        <w:gridCol w:w="230"/>
        <w:gridCol w:w="14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w:t>
            </w:r>
          </w:p>
        </w:tc>
        <w:tc>
          <w:tcPr>
            <w:tcW w:w="14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consolidated financial statements in conformity with U.S. GAAP requires management to make estimates and assumptions. Material estimates include the allowance for expected credit losses on trade receivables, accruals for contingent liabilities, classification of discontinued operations, and the carrying values of assets held for sale.</w:t>
      </w:r>
    </w:p>
    <w:p>
      <w:pPr>
        <w:pStyle w:val="TextBody"/>
        <w:bidi w:val="0"/>
        <w:spacing w:before="0" w:after="0"/>
        <w:ind w:left="0" w:right="0" w:hanging="0"/>
        <w:jc w:val="both"/>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75"/>
        <w:gridCol w:w="245"/>
        <w:gridCol w:w="23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w:t>
            </w:r>
          </w:p>
        </w:tc>
        <w:tc>
          <w:tcPr>
            <w:tcW w:w="231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considers all highly liquid investments with original maturities of three months or less as cash equivalents. Cash and cash equivalents are maintained with regulated financial institutions in Malaysia.</w:t>
      </w:r>
    </w:p>
    <w:p>
      <w:pPr>
        <w:pStyle w:val="TextBody"/>
        <w:bidi w:val="0"/>
        <w:spacing w:before="0" w:after="0"/>
        <w:ind w:left="0" w:right="0" w:hanging="0"/>
        <w:jc w:val="both"/>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75"/>
        <w:gridCol w:w="230"/>
        <w:gridCol w:w="26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w:t>
            </w:r>
          </w:p>
        </w:tc>
        <w:tc>
          <w:tcPr>
            <w:tcW w:w="267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Trade Accounts Receivable, Net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accounts receivable are carried at amortized cost, net of an allowance for expected credit losses. The allowance is estimated using an aging schedule based on historical loss experience, current conditions, and reasonable and supportable forecasts.</w:t>
      </w:r>
    </w:p>
    <w:p>
      <w:pPr>
        <w:pStyle w:val="TextBody"/>
        <w:bidi w:val="0"/>
        <w:spacing w:before="0" w:after="0"/>
        <w:ind w:left="0" w:right="0" w:hanging="0"/>
        <w:jc w:val="both"/>
        <w:rPr>
          <w:caps w:val="false"/>
          <w:smallCaps w:val="false"/>
        </w:rPr>
      </w:pPr>
      <w:r>
        <w:rPr>
          <w:caps w:val="false"/>
          <w:smallCaps w:val="false"/>
        </w:rPr>
        <w:t> </w:t>
      </w:r>
    </w:p>
    <w:tbl>
      <w:tblPr>
        <w:tblW w:w="1285" w:type="dxa"/>
        <w:jc w:val="left"/>
        <w:tblInd w:w="0" w:type="dxa"/>
        <w:tblLayout w:type="fixed"/>
        <w:tblCellMar>
          <w:top w:w="0" w:type="dxa"/>
          <w:left w:w="0" w:type="dxa"/>
          <w:bottom w:w="0" w:type="dxa"/>
          <w:right w:w="0" w:type="dxa"/>
        </w:tblCellMar>
      </w:tblPr>
      <w:tblGrid>
        <w:gridCol w:w="75"/>
        <w:gridCol w:w="200"/>
        <w:gridCol w:w="10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w:t>
            </w:r>
          </w:p>
        </w:tc>
        <w:tc>
          <w:tcPr>
            <w:tcW w:w="101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Inventories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stated at the lower of cost (first-in, first-out) and net realizable value.</w:t>
      </w:r>
    </w:p>
    <w:p>
      <w:pPr>
        <w:pStyle w:val="TextBody"/>
        <w:bidi w:val="0"/>
        <w:spacing w:before="0" w:after="0"/>
        <w:ind w:left="720" w:right="0" w:hanging="0"/>
        <w:jc w:val="both"/>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75"/>
        <w:gridCol w:w="245"/>
        <w:gridCol w:w="24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w:t>
            </w:r>
          </w:p>
        </w:tc>
        <w:tc>
          <w:tcPr>
            <w:tcW w:w="245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 Net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computed using the straight-line method over estimated useful lives of 3 to 50 years. Land is not depreciated. Long-lived assets are reviewed for impairment whenever events or changes in circumstances indicate the carrying amount may not be recoverable.</w:t>
      </w:r>
    </w:p>
    <w:p>
      <w:pPr>
        <w:pStyle w:val="TextBody"/>
        <w:bidi w:val="0"/>
        <w:spacing w:before="0" w:after="0"/>
        <w:ind w:left="0" w:right="0" w:hanging="0"/>
        <w:jc w:val="both"/>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75"/>
        <w:gridCol w:w="245"/>
        <w:gridCol w:w="11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w:t>
            </w:r>
          </w:p>
        </w:tc>
        <w:tc>
          <w:tcPr>
            <w:tcW w:w="119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taxes are accounted for under the liability method. Deferred tax assets are reduced by a valuation allowance when it is more likely than not that some portion will not be realized.</w:t>
      </w:r>
    </w:p>
    <w:p>
      <w:pPr>
        <w:pStyle w:val="TextBody"/>
        <w:bidi w:val="0"/>
        <w:spacing w:before="0" w:after="0"/>
        <w:ind w:left="0" w:right="0" w:hanging="0"/>
        <w:jc w:val="both"/>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75"/>
        <w:gridCol w:w="200"/>
        <w:gridCol w:w="18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w:t>
            </w:r>
          </w:p>
        </w:tc>
        <w:tc>
          <w:tcPr>
            <w:tcW w:w="180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Continuing operations revenue is derived from medical waste collection and logistics services to clinic operators, and from the sale of related consumables. Revenue is recognized when services are performed or control of goods transfers to the customer. Payment terms are 30–60 days.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75"/>
        <w:gridCol w:w="200"/>
        <w:gridCol w:w="20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w:t>
            </w:r>
          </w:p>
        </w:tc>
        <w:tc>
          <w:tcPr>
            <w:tcW w:w="209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Discontinued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component is reported as discontinued operations when it represents a strategic shift that has, or will have, a major effect on operations and financial results, and meets the held-for-sale criteria under ASC 360-10-45. Results of discontinued operations are presented separately, net of tax.</w:t>
      </w:r>
    </w:p>
    <w:p>
      <w:pPr>
        <w:pStyle w:val="TextBody"/>
        <w:bidi w:val="0"/>
        <w:spacing w:before="0" w:after="0"/>
        <w:ind w:left="0" w:right="0" w:hanging="0"/>
        <w:jc w:val="both"/>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75"/>
        <w:gridCol w:w="245"/>
        <w:gridCol w:w="12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w:t>
            </w:r>
          </w:p>
        </w:tc>
        <w:tc>
          <w:tcPr>
            <w:tcW w:w="126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Per Share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(loss) per share is computed by dividing net income (loss) by the weighted average shares outstanding. No dilutive securities existed in either period presented.</w:t>
      </w:r>
    </w:p>
    <w:p>
      <w:pPr>
        <w:pStyle w:val="TextBody"/>
        <w:bidi w:val="0"/>
        <w:spacing w:before="0" w:after="0"/>
        <w:ind w:left="0" w:right="0" w:hanging="0"/>
        <w:jc w:val="both"/>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75"/>
        <w:gridCol w:w="200"/>
        <w:gridCol w:w="19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w:t>
            </w:r>
          </w:p>
        </w:tc>
        <w:tc>
          <w:tcPr>
            <w:tcW w:w="194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Concentrations of Risk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one customer accounted for approximately 70% of total continuing operations revenue (2024: 71%). The loss of this customer could have a material adverse effect on the Group’s business, financial position, results of operations, and cash flows.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tbl>
      <w:tblPr>
        <w:tblW w:w="4360" w:type="dxa"/>
        <w:jc w:val="left"/>
        <w:tblInd w:w="0" w:type="dxa"/>
        <w:tblLayout w:type="fixed"/>
        <w:tblCellMar>
          <w:top w:w="0" w:type="dxa"/>
          <w:left w:w="0" w:type="dxa"/>
          <w:bottom w:w="0" w:type="dxa"/>
          <w:right w:w="0" w:type="dxa"/>
        </w:tblCellMar>
      </w:tblPr>
      <w:tblGrid>
        <w:gridCol w:w="185"/>
        <w:gridCol w:w="417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41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all recently issued accounting pronouncements issued by the Financial Accounting Standards Board (“FASB”) and adopts those that are applicable and expected to have a material impact on its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Accounting Standards Updates (“ASUs”) were issued by the FASB but were not yet effective or adopted by the Company as of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to enhance the transparency and decision usefulness of income tax disclosures. The amendments require additional disclosures relating to the effective tax rate reconciliation and income taxes paid by jurisdiction. The amendments are effective for annual periods beginning after December 15, 2025, with early adoption permitted. The Company is currently evaluating the impact that the adoption of this standard will have on its consolidated financial statements and related disclosures.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FASB issued ASU 2023-07: Segment Reporting (Topic 280): Improvements to Reportable Segment Disclosures, which expands disclosure requirements for reportable segments, primarily through enhanced disclosures about significant segment expenses and other segment items. The amendments are effective for annual periods beginning after December 15, 2024, and interim periods beginning after December 15, 2025. The Company is currently assessing the impact of adopting this guidance on its disclosures.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Disaggregation of Income Statement Expenses (DISE) which requires additional disaggregated disclosures relating to certain income statement expense captions, including purchases of inventory, employee compensation, depreciation, and amortization expenses. The amendments are effective for annual reporting periods beginning after December 15, 2026, and interim reporting periods beginning after December 15, 2027. Early adoption is permitted. The Company is currently evaluating the impact of adopting this guidance on its consolidated financial statement disclosures.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does not believe that any other recently issued, but not yet effective, accounting pronouncements, if currently adopted, would have a material effect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F-56</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Disposal of Subsidiary</w:t>
      </w:r>
    </w:p>
    <w:tbl>
      <w:tblPr>
        <w:tblW w:w="2710" w:type="dxa"/>
        <w:jc w:val="left"/>
        <w:tblInd w:w="0" w:type="dxa"/>
        <w:tblLayout w:type="fixed"/>
        <w:tblCellMar>
          <w:top w:w="0" w:type="dxa"/>
          <w:left w:w="0" w:type="dxa"/>
          <w:bottom w:w="0" w:type="dxa"/>
          <w:right w:w="0" w:type="dxa"/>
        </w:tblCellMar>
      </w:tblPr>
      <w:tblGrid>
        <w:gridCol w:w="185"/>
        <w:gridCol w:w="252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25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DISPOSAL OF SUBSIDIARY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holds a 100% equity interest in its subsidiary, Solid Orient Holdings Sdn. Bhd. (“SOH”) (2024: 100%), a private limited company incorporated and domiciled in Malaysia. The principal activity of SOH is the operation of a palm oil mill.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2025, the Company entered into the SSA with the ultimate holding company to dispose of the wholly-owned subsidiary, Solid Orient Holdings Sdn. Bhd. for RM 10,500,000 (USD 2,585,620). As at the reporting date, the disposal had not been completed. On January 23, 2026, the Company completed the disposal of its entire equity interest in Solid Orient Holdings Sdn. Bhd. The resulting gain or loss on disposal will be recognized in the Company’s financial statements for the year ending December 31, 2026. As of December 31, 2025, the subsidiary meets all the criteria to be classified as Held for Sale.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Disposal Group of Financial Statements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Assets and Liabilities of the Disposal</w:t>
      </w:r>
    </w:p>
    <w:p>
      <w:pPr>
        <w:pStyle w:val="TextBody"/>
        <w:bidi w:val="0"/>
        <w:spacing w:before="0" w:after="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3980"/>
        <w:gridCol w:w="60"/>
        <w:gridCol w:w="500"/>
        <w:gridCol w:w="60"/>
        <w:gridCol w:w="60"/>
        <w:gridCol w:w="1100"/>
        <w:gridCol w:w="95"/>
        <w:gridCol w:w="60"/>
        <w:gridCol w:w="60"/>
        <w:gridCol w:w="1100"/>
        <w:gridCol w:w="75"/>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i/>
              </w:rPr>
            </w:pPr>
            <w:r>
              <w:rPr>
                <w:i/>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i/>
              </w:rPr>
            </w:pPr>
            <w:r>
              <w:rPr>
                <w:i/>
              </w:rPr>
              <w:t>(USD)</w:t>
            </w:r>
          </w:p>
        </w:tc>
        <w:tc>
          <w:tcPr>
            <w:tcW w:w="7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i/>
              </w:rPr>
            </w:pPr>
            <w:r>
              <w:rPr>
                <w:i/>
              </w:rPr>
              <w:t>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3,135,050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1,701,167</w:t>
            </w:r>
          </w:p>
        </w:tc>
        <w:tc>
          <w:tcPr>
            <w:tcW w:w="7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Trade and other receivables, net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795,614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579,260</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1,039,416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609,332</w:t>
            </w:r>
          </w:p>
        </w:tc>
        <w:tc>
          <w:tcPr>
            <w:tcW w:w="7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Income taxes receivable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13,880</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16,437,583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15,832,453</w:t>
            </w:r>
          </w:p>
        </w:tc>
        <w:tc>
          <w:tcPr>
            <w:tcW w:w="7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b/>
              </w:rPr>
            </w:pPr>
            <w:r>
              <w:rPr>
                <w:b/>
              </w:rPr>
              <w:t>Total assets held for sale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21,407,221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18,736,092</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i/>
              </w:rPr>
            </w:pPr>
            <w:r>
              <w:rPr>
                <w:i/>
              </w:rPr>
              <w:t>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Trade and other payables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2,819,424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1,941,697</w:t>
            </w:r>
          </w:p>
        </w:tc>
        <w:tc>
          <w:tcPr>
            <w:tcW w:w="7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Banker’s acceptance — short term</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1,216,780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2,039,890</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Hire purchase obligations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111,338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227,849</w:t>
            </w:r>
          </w:p>
        </w:tc>
        <w:tc>
          <w:tcPr>
            <w:tcW w:w="7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Amount due to ultimate holding company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12,793,920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14,245,034</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b/>
              </w:rPr>
            </w:pPr>
            <w:r>
              <w:rPr>
                <w:b/>
              </w:rPr>
              <w:t>Total liabilities held for sale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16,941,462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18,454,470</w:t>
            </w:r>
          </w:p>
        </w:tc>
        <w:tc>
          <w:tcPr>
            <w:tcW w:w="7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b/>
              </w:rPr>
            </w:pPr>
            <w:r>
              <w:rPr>
                <w:b/>
              </w:rPr>
              <w:t>Net assets of the Disposal</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4,465,759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281,622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Results of the Disposal</w:t>
      </w:r>
    </w:p>
    <w:p>
      <w:pPr>
        <w:pStyle w:val="TextBody"/>
        <w:bidi w:val="0"/>
        <w:spacing w:before="0" w:after="0"/>
        <w:jc w:val="left"/>
        <w:rPr>
          <w:caps w:val="false"/>
          <w:smallCaps w:val="false"/>
        </w:rPr>
      </w:pPr>
      <w:r>
        <w:rPr>
          <w:caps w:val="false"/>
          <w:smallCaps w:val="false"/>
        </w:rPr>
        <w:t> </w:t>
      </w:r>
    </w:p>
    <w:tbl>
      <w:tblPr>
        <w:tblW w:w="7560" w:type="dxa"/>
        <w:jc w:val="left"/>
        <w:tblInd w:w="0" w:type="dxa"/>
        <w:tblLayout w:type="fixed"/>
        <w:tblCellMar>
          <w:top w:w="0" w:type="dxa"/>
          <w:left w:w="0" w:type="dxa"/>
          <w:bottom w:w="0" w:type="dxa"/>
          <w:right w:w="0" w:type="dxa"/>
        </w:tblCellMar>
      </w:tblPr>
      <w:tblGrid>
        <w:gridCol w:w="4205"/>
        <w:gridCol w:w="60"/>
        <w:gridCol w:w="500"/>
        <w:gridCol w:w="60"/>
        <w:gridCol w:w="60"/>
        <w:gridCol w:w="1175"/>
        <w:gridCol w:w="95"/>
        <w:gridCol w:w="60"/>
        <w:gridCol w:w="60"/>
        <w:gridCol w:w="1175"/>
        <w:gridCol w:w="110"/>
      </w:tblGrid>
      <w:tr>
        <w:trPr/>
        <w:tc>
          <w:tcPr>
            <w:tcW w:w="4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4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vAlign w:val="center"/>
          </w:tcPr>
          <w:p>
            <w:pPr>
              <w:pStyle w:val="TableContents"/>
              <w:bidi w:val="0"/>
              <w:spacing w:before="0" w:after="283"/>
              <w:jc w:val="center"/>
              <w:rPr>
                <w:i/>
              </w:rPr>
            </w:pPr>
            <w:r>
              <w:rPr>
                <w:i/>
              </w:rPr>
              <w:t>(USD)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vAlign w:val="center"/>
          </w:tcPr>
          <w:p>
            <w:pPr>
              <w:pStyle w:val="TableContents"/>
              <w:bidi w:val="0"/>
              <w:spacing w:before="0" w:after="283"/>
              <w:jc w:val="center"/>
              <w:rPr>
                <w:i/>
              </w:rPr>
            </w:pPr>
            <w:r>
              <w:rPr>
                <w:i/>
              </w:rPr>
              <w:t>(USD)</w:t>
            </w:r>
          </w:p>
        </w:tc>
        <w:tc>
          <w:tcPr>
            <w:tcW w:w="110" w:type="dxa"/>
            <w:tcBorders/>
            <w:vAlign w:val="center"/>
          </w:tcPr>
          <w:p>
            <w:pPr>
              <w:pStyle w:val="TableContents"/>
              <w:bidi w:val="0"/>
              <w:spacing w:before="0" w:after="283"/>
              <w:jc w:val="center"/>
              <w:rPr/>
            </w:pPr>
            <w:r>
              <w:rPr/>
              <w:t> </w:t>
            </w:r>
          </w:p>
        </w:tc>
      </w:tr>
      <w:tr>
        <w:trPr/>
        <w:tc>
          <w:tcPr>
            <w:tcW w:w="420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66,623,781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54,777,343</w:t>
            </w:r>
          </w:p>
        </w:tc>
        <w:tc>
          <w:tcPr>
            <w:tcW w:w="11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(62,151,255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(52,197,437</w:t>
            </w:r>
          </w:p>
        </w:tc>
        <w:tc>
          <w:tcPr>
            <w:tcW w:w="110" w:type="dxa"/>
            <w:tcBorders/>
            <w:shd w:fill="FFFFFF" w:val="clear"/>
            <w:vAlign w:val="center"/>
          </w:tcPr>
          <w:p>
            <w:pPr>
              <w:pStyle w:val="TableContents"/>
              <w:bidi w:val="0"/>
              <w:spacing w:before="0" w:after="283"/>
              <w:jc w:val="left"/>
              <w:rPr/>
            </w:pPr>
            <w:r>
              <w:rPr/>
              <w:t>)</w:t>
            </w:r>
          </w:p>
        </w:tc>
      </w:tr>
      <w:tr>
        <w:trPr/>
        <w:tc>
          <w:tcPr>
            <w:tcW w:w="420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4,472,526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2,579,906</w:t>
            </w:r>
          </w:p>
        </w:tc>
        <w:tc>
          <w:tcPr>
            <w:tcW w:w="11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(1,903,911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(1,656,639</w:t>
            </w:r>
          </w:p>
        </w:tc>
        <w:tc>
          <w:tcPr>
            <w:tcW w:w="110" w:type="dxa"/>
            <w:tcBorders/>
            <w:shd w:fill="FFFFFF" w:val="clear"/>
            <w:vAlign w:val="center"/>
          </w:tcPr>
          <w:p>
            <w:pPr>
              <w:pStyle w:val="TableContents"/>
              <w:bidi w:val="0"/>
              <w:spacing w:before="0" w:after="283"/>
              <w:jc w:val="left"/>
              <w:rPr/>
            </w:pPr>
            <w:r>
              <w:rPr/>
              <w:t>)</w:t>
            </w:r>
          </w:p>
        </w:tc>
      </w:tr>
      <w:tr>
        <w:trPr/>
        <w:tc>
          <w:tcPr>
            <w:tcW w:w="4205" w:type="dxa"/>
            <w:tcBorders/>
            <w:shd w:fill="CCEEFF" w:val="clear"/>
            <w:vAlign w:val="center"/>
          </w:tcPr>
          <w:p>
            <w:pPr>
              <w:pStyle w:val="TableContents"/>
              <w:bidi w:val="0"/>
              <w:spacing w:before="0" w:after="283"/>
              <w:jc w:val="left"/>
              <w:rPr>
                <w:b/>
              </w:rPr>
            </w:pPr>
            <w:r>
              <w:rPr>
                <w:b/>
              </w:rPr>
              <w:t>Income before income taxes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2,568,615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923,267</w:t>
            </w:r>
          </w:p>
        </w:tc>
        <w:tc>
          <w:tcPr>
            <w:tcW w:w="11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(11,065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(2,148</w:t>
            </w:r>
          </w:p>
        </w:tc>
        <w:tc>
          <w:tcPr>
            <w:tcW w:w="110" w:type="dxa"/>
            <w:tcBorders/>
            <w:shd w:fill="FFFFFF" w:val="clear"/>
            <w:vAlign w:val="center"/>
          </w:tcPr>
          <w:p>
            <w:pPr>
              <w:pStyle w:val="TableContents"/>
              <w:bidi w:val="0"/>
              <w:spacing w:before="0" w:after="283"/>
              <w:jc w:val="left"/>
              <w:rPr/>
            </w:pPr>
            <w:r>
              <w:rPr/>
              <w:t>)</w:t>
            </w:r>
          </w:p>
        </w:tc>
      </w:tr>
      <w:tr>
        <w:trPr/>
        <w:tc>
          <w:tcPr>
            <w:tcW w:w="4205" w:type="dxa"/>
            <w:tcBorders/>
            <w:shd w:fill="CCEEFF" w:val="clear"/>
            <w:vAlign w:val="center"/>
          </w:tcPr>
          <w:p>
            <w:pPr>
              <w:pStyle w:val="TableContents"/>
              <w:bidi w:val="0"/>
              <w:spacing w:before="0" w:after="283"/>
              <w:jc w:val="left"/>
              <w:rPr>
                <w:b/>
              </w:rPr>
            </w:pPr>
            <w:r>
              <w:rPr>
                <w:b/>
              </w:rPr>
              <w:t>Net income from discontinued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2,557,550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921,119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Discontinued operations include administrative charges billed by Fitters Diversified Berhad to SOH of USD 51,220 (FY2024: USD 16,801). These are transactions between Fitters and SOH, outside the Group’s consolidation perimeter, and are not eliminated.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w:t>
      </w:r>
    </w:p>
    <w:tbl>
      <w:tblPr>
        <w:tblW w:w="3220" w:type="dxa"/>
        <w:jc w:val="left"/>
        <w:tblInd w:w="0" w:type="dxa"/>
        <w:tblLayout w:type="fixed"/>
        <w:tblCellMar>
          <w:top w:w="0" w:type="dxa"/>
          <w:left w:w="0" w:type="dxa"/>
          <w:bottom w:w="0" w:type="dxa"/>
          <w:right w:w="0" w:type="dxa"/>
        </w:tblCellMar>
      </w:tblPr>
      <w:tblGrid>
        <w:gridCol w:w="185"/>
        <w:gridCol w:w="303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30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of continuing operations comprises demand deposits placed with regulated financial institutions in Malaysia. Cash of discontinued operations is presented within assets held for sale (see Note 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Cash of Discontinued Operations </w:t>
      </w:r>
    </w:p>
    <w:tbl>
      <w:tblPr>
        <w:tblW w:w="7220" w:type="dxa"/>
        <w:jc w:val="left"/>
        <w:tblInd w:w="0" w:type="dxa"/>
        <w:tblLayout w:type="fixed"/>
        <w:tblCellMar>
          <w:top w:w="0" w:type="dxa"/>
          <w:left w:w="0" w:type="dxa"/>
          <w:bottom w:w="0" w:type="dxa"/>
          <w:right w:w="0" w:type="dxa"/>
        </w:tblCellMar>
      </w:tblPr>
      <w:tblGrid>
        <w:gridCol w:w="4325"/>
        <w:gridCol w:w="60"/>
        <w:gridCol w:w="500"/>
        <w:gridCol w:w="60"/>
        <w:gridCol w:w="60"/>
        <w:gridCol w:w="980"/>
        <w:gridCol w:w="60"/>
        <w:gridCol w:w="60"/>
        <w:gridCol w:w="60"/>
        <w:gridCol w:w="980"/>
        <w:gridCol w:w="75"/>
      </w:tblGrid>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i/>
              </w:rPr>
            </w:pPr>
            <w:r>
              <w:rPr>
                <w:i/>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i/>
              </w:rPr>
            </w:pPr>
            <w:r>
              <w:rPr>
                <w:i/>
              </w:rPr>
              <w:t>(USD)</w:t>
            </w:r>
          </w:p>
        </w:tc>
        <w:tc>
          <w:tcPr>
            <w:tcW w:w="75"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Cash — 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202,716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268,780</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Cash — discontinued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3,135,050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1,701,167</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b/>
              </w:rPr>
            </w:pPr>
            <w:r>
              <w:rPr>
                <w:b/>
              </w:rPr>
              <w:t>Consolidated cash per cash flow statement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3,337,766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1,969,947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F-57</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receivables</w:t>
      </w:r>
    </w:p>
    <w:tbl>
      <w:tblPr>
        <w:tblW w:w="3115" w:type="dxa"/>
        <w:jc w:val="left"/>
        <w:tblInd w:w="0" w:type="dxa"/>
        <w:tblLayout w:type="fixed"/>
        <w:tblCellMar>
          <w:top w:w="0" w:type="dxa"/>
          <w:left w:w="0" w:type="dxa"/>
          <w:bottom w:w="0" w:type="dxa"/>
          <w:right w:w="0" w:type="dxa"/>
        </w:tblCellMar>
      </w:tblPr>
      <w:tblGrid>
        <w:gridCol w:w="185"/>
        <w:gridCol w:w="293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29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RECEIVABLE, NET</w:t>
            </w:r>
          </w:p>
        </w:tc>
      </w:tr>
    </w:tbl>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Accounts Receivables</w:t>
      </w:r>
    </w:p>
    <w:tbl>
      <w:tblPr>
        <w:tblW w:w="6525" w:type="dxa"/>
        <w:jc w:val="left"/>
        <w:tblInd w:w="0" w:type="dxa"/>
        <w:tblLayout w:type="fixed"/>
        <w:tblCellMar>
          <w:top w:w="0" w:type="dxa"/>
          <w:left w:w="0" w:type="dxa"/>
          <w:bottom w:w="0" w:type="dxa"/>
          <w:right w:w="0" w:type="dxa"/>
        </w:tblCellMar>
      </w:tblPr>
      <w:tblGrid>
        <w:gridCol w:w="3770"/>
        <w:gridCol w:w="60"/>
        <w:gridCol w:w="500"/>
        <w:gridCol w:w="60"/>
        <w:gridCol w:w="60"/>
        <w:gridCol w:w="875"/>
        <w:gridCol w:w="95"/>
        <w:gridCol w:w="60"/>
        <w:gridCol w:w="60"/>
        <w:gridCol w:w="875"/>
        <w:gridCol w:w="110"/>
      </w:tblGrid>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vAlign w:val="center"/>
          </w:tcPr>
          <w:p>
            <w:pPr>
              <w:pStyle w:val="TableContents"/>
              <w:bidi w:val="0"/>
              <w:spacing w:before="0" w:after="283"/>
              <w:jc w:val="center"/>
              <w:rPr>
                <w:i/>
              </w:rPr>
            </w:pPr>
            <w:r>
              <w:rPr>
                <w:i/>
              </w:rPr>
              <w:t>(USD)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vAlign w:val="center"/>
          </w:tcPr>
          <w:p>
            <w:pPr>
              <w:pStyle w:val="TableContents"/>
              <w:bidi w:val="0"/>
              <w:spacing w:before="0" w:after="283"/>
              <w:jc w:val="center"/>
              <w:rPr>
                <w:i/>
              </w:rPr>
            </w:pPr>
            <w:r>
              <w:rPr>
                <w:i/>
              </w:rPr>
              <w:t>(USD)</w:t>
            </w:r>
          </w:p>
        </w:tc>
        <w:tc>
          <w:tcPr>
            <w:tcW w:w="110" w:type="dxa"/>
            <w:tcBorders/>
            <w:vAlign w:val="center"/>
          </w:tcPr>
          <w:p>
            <w:pPr>
              <w:pStyle w:val="TableContents"/>
              <w:bidi w:val="0"/>
              <w:spacing w:before="0" w:after="283"/>
              <w:jc w:val="center"/>
              <w:rPr/>
            </w:pPr>
            <w:r>
              <w:rPr/>
              <w:t> </w:t>
            </w:r>
          </w:p>
        </w:tc>
      </w:tr>
      <w:tr>
        <w:trPr/>
        <w:tc>
          <w:tcPr>
            <w:tcW w:w="3770" w:type="dxa"/>
            <w:tcBorders/>
            <w:shd w:fill="CCEEFF" w:val="clear"/>
            <w:vAlign w:val="center"/>
          </w:tcPr>
          <w:p>
            <w:pPr>
              <w:pStyle w:val="TableContents"/>
              <w:bidi w:val="0"/>
              <w:spacing w:before="0" w:after="283"/>
              <w:jc w:val="left"/>
              <w:rPr/>
            </w:pPr>
            <w:r>
              <w:rPr/>
              <w:t>Trade receivables, gross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602,579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538,423</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Less: Accumulated impairment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(312,455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(251,199</w:t>
            </w:r>
          </w:p>
        </w:tc>
        <w:tc>
          <w:tcPr>
            <w:tcW w:w="110" w:type="dxa"/>
            <w:tcBorders/>
            <w:shd w:fill="FFFFFF" w:val="clear"/>
            <w:vAlign w:val="center"/>
          </w:tcPr>
          <w:p>
            <w:pPr>
              <w:pStyle w:val="TableContents"/>
              <w:bidi w:val="0"/>
              <w:spacing w:before="0" w:after="283"/>
              <w:jc w:val="left"/>
              <w:rPr/>
            </w:pPr>
            <w:r>
              <w:rPr/>
              <w:t>)</w:t>
            </w:r>
          </w:p>
        </w:tc>
      </w:tr>
      <w:tr>
        <w:trPr/>
        <w:tc>
          <w:tcPr>
            <w:tcW w:w="3770" w:type="dxa"/>
            <w:tcBorders/>
            <w:shd w:fill="CCEEFF" w:val="clear"/>
            <w:vAlign w:val="center"/>
          </w:tcPr>
          <w:p>
            <w:pPr>
              <w:pStyle w:val="TableContents"/>
              <w:bidi w:val="0"/>
              <w:spacing w:before="0" w:after="283"/>
              <w:jc w:val="left"/>
              <w:rPr>
                <w:b/>
              </w:rPr>
            </w:pPr>
            <w:r>
              <w:rPr>
                <w:b/>
              </w:rPr>
              <w:t>Trade receivables, net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290,124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287,224</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9,850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17,875</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Refundable deposits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20,542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18,488</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b/>
              </w:rPr>
            </w:pPr>
            <w:r>
              <w:rPr>
                <w:b/>
              </w:rPr>
              <w:t>Total accounts receivable, net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320,516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323,587</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i/>
              </w:rPr>
            </w:pPr>
            <w:r>
              <w:rPr>
                <w:i/>
              </w:rPr>
              <w:t>Movement in accumulated impairment: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Opening balance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251,199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213,421</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Charge for the year</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35,616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32,318</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Foreign exchange translation</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25,640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5,460</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Closing balance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312,455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251,199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customer represented approximately 75.72% and 86.35% of gross trade receivables as of December 31, 2025 and 2024, respectively. A prior customer entered winding-up proceedings and the related receivable was fully impaired since previous years.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Property and Equipment</w:t>
      </w:r>
    </w:p>
    <w:tbl>
      <w:tblPr>
        <w:tblW w:w="6250" w:type="dxa"/>
        <w:jc w:val="left"/>
        <w:tblInd w:w="0" w:type="dxa"/>
        <w:tblLayout w:type="fixed"/>
        <w:tblCellMar>
          <w:top w:w="0" w:type="dxa"/>
          <w:left w:w="0" w:type="dxa"/>
          <w:bottom w:w="0" w:type="dxa"/>
          <w:right w:w="0" w:type="dxa"/>
        </w:tblCellMar>
      </w:tblPr>
      <w:tblGrid>
        <w:gridCol w:w="185"/>
        <w:gridCol w:w="606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60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AND EQUIPMENT, NET – CONTINUING OPERATIONS</w:t>
            </w:r>
          </w:p>
        </w:tc>
      </w:tr>
    </w:tbl>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Property and Equipment</w:t>
      </w:r>
    </w:p>
    <w:tbl>
      <w:tblPr>
        <w:tblW w:w="6270" w:type="dxa"/>
        <w:jc w:val="left"/>
        <w:tblInd w:w="0" w:type="dxa"/>
        <w:tblLayout w:type="fixed"/>
        <w:tblCellMar>
          <w:top w:w="0" w:type="dxa"/>
          <w:left w:w="0" w:type="dxa"/>
          <w:bottom w:w="0" w:type="dxa"/>
          <w:right w:w="0" w:type="dxa"/>
        </w:tblCellMar>
      </w:tblPr>
      <w:tblGrid>
        <w:gridCol w:w="3155"/>
        <w:gridCol w:w="60"/>
        <w:gridCol w:w="500"/>
        <w:gridCol w:w="60"/>
        <w:gridCol w:w="60"/>
        <w:gridCol w:w="1055"/>
        <w:gridCol w:w="95"/>
        <w:gridCol w:w="60"/>
        <w:gridCol w:w="60"/>
        <w:gridCol w:w="1055"/>
        <w:gridCol w:w="110"/>
      </w:tblGrid>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i/>
              </w:rPr>
            </w:pPr>
            <w:r>
              <w:rPr>
                <w:i/>
              </w:rPr>
              <w:t>(USD)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i/>
              </w:rPr>
            </w:pPr>
            <w:r>
              <w:rPr>
                <w:i/>
              </w:rPr>
              <w:t>(USD)</w:t>
            </w:r>
          </w:p>
        </w:tc>
        <w:tc>
          <w:tcPr>
            <w:tcW w:w="110" w:type="dxa"/>
            <w:tcBorders/>
            <w:vAlign w:val="center"/>
          </w:tcPr>
          <w:p>
            <w:pPr>
              <w:pStyle w:val="TableContents"/>
              <w:bidi w:val="0"/>
              <w:spacing w:before="0" w:after="283"/>
              <w:jc w:val="center"/>
              <w:rPr/>
            </w:pPr>
            <w:r>
              <w:rPr/>
              <w:t> </w:t>
            </w:r>
          </w:p>
        </w:tc>
      </w:tr>
      <w:tr>
        <w:trPr/>
        <w:tc>
          <w:tcPr>
            <w:tcW w:w="3155" w:type="dxa"/>
            <w:tcBorders/>
            <w:shd w:fill="CCEEFF" w:val="clear"/>
            <w:vAlign w:val="center"/>
          </w:tcPr>
          <w:p>
            <w:pPr>
              <w:pStyle w:val="TableContents"/>
              <w:bidi w:val="0"/>
              <w:spacing w:before="0" w:after="283"/>
              <w:jc w:val="left"/>
              <w:rPr>
                <w:i/>
              </w:rPr>
            </w:pPr>
            <w:r>
              <w:rPr>
                <w:i/>
              </w:rPr>
              <w:t>Cost: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Land</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402,883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365,570</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Building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3,155,999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2,863,705</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Machinery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2,455,818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2,228,372</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Computer &amp; office equipment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64,280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51,730</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4,188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3,340</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Total cost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6,083,168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5,512,717</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i/>
              </w:rPr>
            </w:pPr>
            <w:r>
              <w:rPr>
                <w:i/>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Building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(517,170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(411,998</w:t>
            </w:r>
          </w:p>
        </w:tc>
        <w:tc>
          <w:tcPr>
            <w:tcW w:w="110" w:type="dxa"/>
            <w:tcBorders/>
            <w:shd w:fill="CCEEFF" w:val="clear"/>
            <w:vAlign w:val="center"/>
          </w:tcPr>
          <w:p>
            <w:pPr>
              <w:pStyle w:val="TableContents"/>
              <w:bidi w:val="0"/>
              <w:spacing w:before="0" w:after="283"/>
              <w:jc w:val="left"/>
              <w:rPr/>
            </w:pPr>
            <w:r>
              <w:rPr/>
              <w:t>)</w:t>
            </w:r>
          </w:p>
        </w:tc>
      </w:tr>
      <w:tr>
        <w:trPr/>
        <w:tc>
          <w:tcPr>
            <w:tcW w:w="3155" w:type="dxa"/>
            <w:tcBorders/>
            <w:shd w:fill="FFFFFF" w:val="clear"/>
            <w:vAlign w:val="center"/>
          </w:tcPr>
          <w:p>
            <w:pPr>
              <w:pStyle w:val="TableContents"/>
              <w:bidi w:val="0"/>
              <w:spacing w:before="0" w:after="283"/>
              <w:jc w:val="left"/>
              <w:rPr/>
            </w:pPr>
            <w:r>
              <w:rPr/>
              <w:t>Machinery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(994,282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(791,695</w:t>
            </w:r>
          </w:p>
        </w:tc>
        <w:tc>
          <w:tcPr>
            <w:tcW w:w="110" w:type="dxa"/>
            <w:tcBorders/>
            <w:shd w:fill="FFFFFF" w:val="clear"/>
            <w:vAlign w:val="center"/>
          </w:tcPr>
          <w:p>
            <w:pPr>
              <w:pStyle w:val="TableContents"/>
              <w:bidi w:val="0"/>
              <w:spacing w:before="0" w:after="283"/>
              <w:jc w:val="left"/>
              <w:rPr/>
            </w:pPr>
            <w:r>
              <w:rPr/>
              <w:t>)</w:t>
            </w:r>
          </w:p>
        </w:tc>
      </w:tr>
      <w:tr>
        <w:trPr/>
        <w:tc>
          <w:tcPr>
            <w:tcW w:w="3155"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(53,319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(41,496</w:t>
            </w:r>
          </w:p>
        </w:tc>
        <w:tc>
          <w:tcPr>
            <w:tcW w:w="110" w:type="dxa"/>
            <w:tcBorders/>
            <w:shd w:fill="CCEEFF" w:val="clear"/>
            <w:vAlign w:val="center"/>
          </w:tcPr>
          <w:p>
            <w:pPr>
              <w:pStyle w:val="TableContents"/>
              <w:bidi w:val="0"/>
              <w:spacing w:before="0" w:after="283"/>
              <w:jc w:val="left"/>
              <w:rPr/>
            </w:pPr>
            <w:r>
              <w:rPr/>
              <w:t>)</w:t>
            </w:r>
          </w:p>
        </w:tc>
      </w:tr>
      <w:tr>
        <w:trPr/>
        <w:tc>
          <w:tcPr>
            <w:tcW w:w="3155" w:type="dxa"/>
            <w:tcBorders/>
            <w:shd w:fill="FFFFFF" w:val="clear"/>
            <w:vAlign w:val="center"/>
          </w:tcPr>
          <w:p>
            <w:pPr>
              <w:pStyle w:val="TableContents"/>
              <w:bidi w:val="0"/>
              <w:spacing w:before="0" w:after="283"/>
              <w:jc w:val="left"/>
              <w:rPr/>
            </w:pPr>
            <w:r>
              <w:rPr/>
              <w:t>Total depreciation</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(1,564,771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(1,245,189</w:t>
            </w:r>
          </w:p>
        </w:tc>
        <w:tc>
          <w:tcPr>
            <w:tcW w:w="110" w:type="dxa"/>
            <w:tcBorders/>
            <w:shd w:fill="FFFFFF" w:val="clear"/>
            <w:vAlign w:val="center"/>
          </w:tcPr>
          <w:p>
            <w:pPr>
              <w:pStyle w:val="TableContents"/>
              <w:bidi w:val="0"/>
              <w:spacing w:before="0" w:after="283"/>
              <w:jc w:val="left"/>
              <w:rPr/>
            </w:pPr>
            <w:r>
              <w:rPr/>
              <w:t>)</w:t>
            </w:r>
          </w:p>
        </w:tc>
      </w:tr>
      <w:tr>
        <w:trPr/>
        <w:tc>
          <w:tcPr>
            <w:tcW w:w="3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b/>
              </w:rPr>
            </w:pPr>
            <w:r>
              <w:rPr>
                <w:b/>
              </w:rPr>
              <w:t>Property and equipment, net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4,518,397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4,267,528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from continuing operations: USD 191,982 (FY2025); USD 173,709 (FY2024).</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Accounts Payable and Accrued Liabilities</w:t>
      </w:r>
    </w:p>
    <w:tbl>
      <w:tblPr>
        <w:tblW w:w="4960" w:type="dxa"/>
        <w:jc w:val="left"/>
        <w:tblInd w:w="0" w:type="dxa"/>
        <w:tblLayout w:type="fixed"/>
        <w:tblCellMar>
          <w:top w:w="0" w:type="dxa"/>
          <w:left w:w="0" w:type="dxa"/>
          <w:bottom w:w="0" w:type="dxa"/>
          <w:right w:w="0" w:type="dxa"/>
        </w:tblCellMar>
      </w:tblPr>
      <w:tblGrid>
        <w:gridCol w:w="185"/>
        <w:gridCol w:w="477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47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PAYABLE AND ACCRUED LIABILITIES</w:t>
            </w:r>
          </w:p>
        </w:tc>
      </w:tr>
    </w:tbl>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Accounts Payable and Accrued Liabilities</w:t>
      </w:r>
    </w:p>
    <w:tbl>
      <w:tblPr>
        <w:tblW w:w="6875" w:type="dxa"/>
        <w:jc w:val="left"/>
        <w:tblInd w:w="0" w:type="dxa"/>
        <w:tblLayout w:type="fixed"/>
        <w:tblCellMar>
          <w:top w:w="0" w:type="dxa"/>
          <w:left w:w="0" w:type="dxa"/>
          <w:bottom w:w="0" w:type="dxa"/>
          <w:right w:w="0" w:type="dxa"/>
        </w:tblCellMar>
      </w:tblPr>
      <w:tblGrid>
        <w:gridCol w:w="3980"/>
        <w:gridCol w:w="60"/>
        <w:gridCol w:w="500"/>
        <w:gridCol w:w="60"/>
        <w:gridCol w:w="60"/>
        <w:gridCol w:w="980"/>
        <w:gridCol w:w="60"/>
        <w:gridCol w:w="60"/>
        <w:gridCol w:w="60"/>
        <w:gridCol w:w="980"/>
        <w:gridCol w:w="75"/>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i/>
              </w:rPr>
            </w:pPr>
            <w:r>
              <w:rPr>
                <w:i/>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i/>
              </w:rPr>
            </w:pPr>
            <w:r>
              <w:rPr>
                <w:i/>
              </w:rPr>
              <w:t>(USD)</w:t>
            </w:r>
          </w:p>
        </w:tc>
        <w:tc>
          <w:tcPr>
            <w:tcW w:w="7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Trade payables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24,355</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Amount due to ultimate holding company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4,655,340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2,154,420</w:t>
            </w:r>
          </w:p>
        </w:tc>
        <w:tc>
          <w:tcPr>
            <w:tcW w:w="7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Amount due to related companies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838,928</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Amount due to companies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838,928</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Accrual for material litigation</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405,565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368,004</w:t>
            </w:r>
          </w:p>
        </w:tc>
        <w:tc>
          <w:tcPr>
            <w:tcW w:w="7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Deposit received</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14,774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24,578</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Transportation fee payables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33,740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30,615</w:t>
            </w:r>
          </w:p>
        </w:tc>
        <w:tc>
          <w:tcPr>
            <w:tcW w:w="7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5,113,187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3,440,900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various transactions with its ultimate holding company, Fitters Diversified Berhad, and other related companies within the same group in the ordinary course of business. These transactions primarily consist of payments made on behalf by the ultimate holding company and related entities for the Company’s operational expenses, statutory obligations, and administrative costs in the normal course of business. The amount due to the ultimate holding company and related companies is unsecured, interest-free, and repayable on demand. These balances represent non-trade financing provided to the Company to support its working capital requirements. No guarantees have been given or received regarding these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accrual relates to a legal provision associated with the biomass gasification plant is described in Note 13. Refer to Note 14 for details of the post-year-end settlement of the payable to Fitters Diversified Berhad.</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Stockholders’ Equity</w:t>
      </w:r>
    </w:p>
    <w:tbl>
      <w:tblPr>
        <w:tblW w:w="2710" w:type="dxa"/>
        <w:jc w:val="left"/>
        <w:tblInd w:w="0" w:type="dxa"/>
        <w:tblLayout w:type="fixed"/>
        <w:tblCellMar>
          <w:top w:w="0" w:type="dxa"/>
          <w:left w:w="0" w:type="dxa"/>
          <w:bottom w:w="0" w:type="dxa"/>
          <w:right w:w="0" w:type="dxa"/>
        </w:tblCellMar>
      </w:tblPr>
      <w:tblGrid>
        <w:gridCol w:w="185"/>
        <w:gridCol w:w="252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25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EQUITY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28,000,000 shares authorized, issued, and outstanding at RM 1 (USD 0.22 at December 31, 2025) per share. No shares were issued or repurchased during FY2025 or FY2024. Each share carries one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REVENUE FROM CONTINUING OPERATIONS Revenue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Revenue from Continuing Operations</w:t>
      </w:r>
    </w:p>
    <w:tbl>
      <w:tblPr>
        <w:tblW w:w="5975" w:type="dxa"/>
        <w:jc w:val="left"/>
        <w:tblInd w:w="0" w:type="dxa"/>
        <w:tblLayout w:type="fixed"/>
        <w:tblCellMar>
          <w:top w:w="0" w:type="dxa"/>
          <w:left w:w="0" w:type="dxa"/>
          <w:bottom w:w="0" w:type="dxa"/>
          <w:right w:w="0" w:type="dxa"/>
        </w:tblCellMar>
      </w:tblPr>
      <w:tblGrid>
        <w:gridCol w:w="3440"/>
        <w:gridCol w:w="60"/>
        <w:gridCol w:w="500"/>
        <w:gridCol w:w="60"/>
        <w:gridCol w:w="60"/>
        <w:gridCol w:w="800"/>
        <w:gridCol w:w="60"/>
        <w:gridCol w:w="60"/>
        <w:gridCol w:w="60"/>
        <w:gridCol w:w="800"/>
        <w:gridCol w:w="75"/>
      </w:tblGrid>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i/>
              </w:rPr>
            </w:pPr>
            <w:r>
              <w:rPr>
                <w:i/>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i/>
              </w:rPr>
            </w:pPr>
            <w:r>
              <w:rPr>
                <w:i/>
              </w:rPr>
              <w:t>(USD)</w:t>
            </w:r>
          </w:p>
        </w:tc>
        <w:tc>
          <w:tcPr>
            <w:tcW w:w="75"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pPr>
            <w:r>
              <w:rPr/>
              <w:t>Clinic waste generator services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640,321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671,032</w:t>
            </w:r>
          </w:p>
        </w:tc>
        <w:tc>
          <w:tcPr>
            <w:tcW w:w="75"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pPr>
            <w:r>
              <w:rPr/>
              <w:t>Clinic waste logistics services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209,915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196,179</w:t>
            </w:r>
          </w:p>
        </w:tc>
        <w:tc>
          <w:tcPr>
            <w:tcW w:w="7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pPr>
            <w:r>
              <w:rPr/>
              <w:t>Other revenue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4,101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4,530</w:t>
            </w:r>
          </w:p>
        </w:tc>
        <w:tc>
          <w:tcPr>
            <w:tcW w:w="75"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854,337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871,741</w:t>
            </w:r>
          </w:p>
        </w:tc>
        <w:tc>
          <w:tcPr>
            <w:tcW w:w="7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pPr>
            <w:r>
              <w:rPr/>
              <w:t>Revenue recognized at point in time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854,337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871,741</w:t>
            </w:r>
          </w:p>
        </w:tc>
        <w:tc>
          <w:tcPr>
            <w:tcW w:w="7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pPr>
            <w:r>
              <w:rPr/>
              <w:t>Geography: Malaysia</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854,337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871,741</w:t>
            </w:r>
          </w:p>
        </w:tc>
        <w:tc>
          <w:tcPr>
            <w:tcW w:w="75" w:type="dxa"/>
            <w:tcBorders/>
            <w:shd w:fill="CCEEFF" w:val="clear"/>
            <w:vAlign w:val="center"/>
          </w:tcPr>
          <w:p>
            <w:pPr>
              <w:pStyle w:val="TableContents"/>
              <w:bidi w:val="0"/>
              <w:spacing w:before="0" w:after="283"/>
              <w:jc w:val="left"/>
              <w:rPr/>
            </w:pPr>
            <w:r>
              <w:rPr/>
              <w:t> </w:t>
            </w:r>
          </w:p>
        </w:tc>
      </w:tr>
    </w:tbl>
    <w:p>
      <w:pPr>
        <w:pStyle w:val="TextBody"/>
        <w:bidi w:val="0"/>
        <w:ind w:left="0" w:right="0" w:hanging="0"/>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EARNINGS/(LOSS) PER SHARE </w:t>
      </w:r>
    </w:p>
    <w:p>
      <w:pPr>
        <w:pStyle w:val="TextBody"/>
        <w:bidi w:val="0"/>
        <w:spacing w:before="0" w:after="0"/>
        <w:jc w:val="left"/>
        <w:rPr>
          <w:caps w:val="false"/>
          <w:smallCaps w:val="false"/>
        </w:rPr>
      </w:pPr>
      <w:r>
        <w:rPr>
          <w:caps w:val="false"/>
          <w:smallCaps w:val="false"/>
        </w:rPr>
        <w:t> </w:t>
      </w:r>
      <w:r>
        <w:rPr>
          <w:rFonts w:ascii="Times New Roman;Times;Serif" w:hAnsi="Times New Roman;Times;Serif"/>
          <w:b/>
          <w:i w:val="false"/>
          <w:caps w:val="false"/>
          <w:smallCaps w:val="false"/>
          <w:sz w:val="20"/>
        </w:rPr>
        <w:t>Net Loss Per Common Share</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Earnings or Loss Per Share</w:t>
      </w:r>
    </w:p>
    <w:tbl>
      <w:tblPr>
        <w:tblW w:w="8355" w:type="dxa"/>
        <w:jc w:val="left"/>
        <w:tblInd w:w="0" w:type="dxa"/>
        <w:tblLayout w:type="fixed"/>
        <w:tblCellMar>
          <w:top w:w="0" w:type="dxa"/>
          <w:left w:w="0" w:type="dxa"/>
          <w:bottom w:w="0" w:type="dxa"/>
          <w:right w:w="0" w:type="dxa"/>
        </w:tblCellMar>
      </w:tblPr>
      <w:tblGrid>
        <w:gridCol w:w="5150"/>
        <w:gridCol w:w="60"/>
        <w:gridCol w:w="500"/>
        <w:gridCol w:w="60"/>
        <w:gridCol w:w="60"/>
        <w:gridCol w:w="1100"/>
        <w:gridCol w:w="95"/>
        <w:gridCol w:w="60"/>
        <w:gridCol w:w="60"/>
        <w:gridCol w:w="1100"/>
        <w:gridCol w:w="110"/>
      </w:tblGrid>
      <w:tr>
        <w:trPr/>
        <w:tc>
          <w:tcPr>
            <w:tcW w:w="5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5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i/>
              </w:rPr>
            </w:pPr>
            <w:r>
              <w:rPr>
                <w:i/>
              </w:rPr>
              <w:t>(USD)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i/>
              </w:rPr>
            </w:pPr>
            <w:r>
              <w:rPr>
                <w:i/>
              </w:rPr>
              <w:t>(USD)</w:t>
            </w:r>
          </w:p>
        </w:tc>
        <w:tc>
          <w:tcPr>
            <w:tcW w:w="110" w:type="dxa"/>
            <w:tcBorders/>
            <w:vAlign w:val="center"/>
          </w:tcPr>
          <w:p>
            <w:pPr>
              <w:pStyle w:val="TableContents"/>
              <w:bidi w:val="0"/>
              <w:spacing w:before="0" w:after="283"/>
              <w:jc w:val="center"/>
              <w:rPr/>
            </w:pPr>
            <w:r>
              <w:rPr/>
              <w:t> </w:t>
            </w:r>
          </w:p>
        </w:tc>
      </w:tr>
      <w:tr>
        <w:trPr/>
        <w:tc>
          <w:tcPr>
            <w:tcW w:w="5150" w:type="dxa"/>
            <w:tcBorders/>
            <w:shd w:fill="CCEEFF" w:val="clear"/>
            <w:vAlign w:val="center"/>
          </w:tcPr>
          <w:p>
            <w:pPr>
              <w:pStyle w:val="TableContents"/>
              <w:bidi w:val="0"/>
              <w:spacing w:before="0" w:after="283"/>
              <w:jc w:val="left"/>
              <w:rPr/>
            </w:pPr>
            <w:r>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(67,140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(123,433</w:t>
            </w:r>
          </w:p>
        </w:tc>
        <w:tc>
          <w:tcPr>
            <w:tcW w:w="110" w:type="dxa"/>
            <w:tcBorders/>
            <w:shd w:fill="CCEEFF" w:val="clear"/>
            <w:vAlign w:val="center"/>
          </w:tcPr>
          <w:p>
            <w:pPr>
              <w:pStyle w:val="TableContents"/>
              <w:bidi w:val="0"/>
              <w:spacing w:before="0" w:after="283"/>
              <w:jc w:val="left"/>
              <w:rPr/>
            </w:pPr>
            <w:r>
              <w:rPr/>
              <w:t>)</w:t>
            </w:r>
          </w:p>
        </w:tc>
      </w:tr>
      <w:tr>
        <w:trPr/>
        <w:tc>
          <w:tcPr>
            <w:tcW w:w="5150" w:type="dxa"/>
            <w:tcBorders/>
            <w:shd w:fill="FFFFFF" w:val="clear"/>
            <w:vAlign w:val="center"/>
          </w:tcPr>
          <w:p>
            <w:pPr>
              <w:pStyle w:val="TableContents"/>
              <w:bidi w:val="0"/>
              <w:spacing w:before="0" w:after="283"/>
              <w:jc w:val="left"/>
              <w:rPr/>
            </w:pPr>
            <w:r>
              <w:rPr/>
              <w:t>Net income from discontinued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2,557,550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921,119</w:t>
            </w:r>
          </w:p>
        </w:tc>
        <w:tc>
          <w:tcPr>
            <w:tcW w:w="11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2,490,410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797,686</w:t>
            </w:r>
          </w:p>
        </w:tc>
        <w:tc>
          <w:tcPr>
            <w:tcW w:w="11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pPr>
            <w:r>
              <w:rPr/>
              <w:t>Weighted average shares outstanding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28,000,000</w:t>
            </w:r>
          </w:p>
        </w:tc>
        <w:tc>
          <w:tcPr>
            <w:tcW w:w="11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i/>
              </w:rPr>
            </w:pPr>
            <w:r>
              <w:rPr>
                <w:i/>
              </w:rPr>
              <w:t>Earnings (loss) per share — basic and diluted (USD):</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pPr>
            <w:r>
              <w:rPr/>
              <w:t>Continuing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(0.0024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(0.0044</w:t>
            </w:r>
          </w:p>
        </w:tc>
        <w:tc>
          <w:tcPr>
            <w:tcW w:w="110" w:type="dxa"/>
            <w:tcBorders/>
            <w:shd w:fill="FFFFFF" w:val="clear"/>
            <w:vAlign w:val="center"/>
          </w:tcPr>
          <w:p>
            <w:pPr>
              <w:pStyle w:val="TableContents"/>
              <w:bidi w:val="0"/>
              <w:spacing w:before="0" w:after="283"/>
              <w:jc w:val="left"/>
              <w:rPr/>
            </w:pPr>
            <w:r>
              <w:rPr/>
              <w:t>)</w:t>
            </w:r>
          </w:p>
        </w:tc>
      </w:tr>
      <w:tr>
        <w:trPr/>
        <w:tc>
          <w:tcPr>
            <w:tcW w:w="5150" w:type="dxa"/>
            <w:tcBorders/>
            <w:shd w:fill="CCEEFF" w:val="clear"/>
            <w:vAlign w:val="center"/>
          </w:tcPr>
          <w:p>
            <w:pPr>
              <w:pStyle w:val="TableContents"/>
              <w:bidi w:val="0"/>
              <w:spacing w:before="0" w:after="283"/>
              <w:jc w:val="left"/>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0.0913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0.0329</w:t>
            </w:r>
          </w:p>
        </w:tc>
        <w:tc>
          <w:tcPr>
            <w:tcW w:w="11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0.0889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0.0285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potentially dilutive securities existed in either period. Basic and diluted EPS are identical.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FAIR VALUE MEASUREMENT</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of Financial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applies the following fair value hierarchy: Level 1 — quoted prices in active markets; Level 2 — observable inputs other than Level 1; Level 3 — unobservable inputs reflecting management’s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had no financial assets or liabilities measured at fair value on a recurring basis as of December 31, 2025 or 2024. The carrying amounts of cash and cash equivalents, accounts receivable, and accounts payable approximate fair value due to their short-term nature.</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260"/>
        <w:gridCol w:w="1295"/>
      </w:tblGrid>
      <w:tr>
        <w:trPr/>
        <w:tc>
          <w:tcPr>
            <w:tcW w:w="26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w:t>
            </w:r>
          </w:p>
        </w:tc>
        <w:tc>
          <w:tcPr>
            <w:tcW w:w="129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evaluates whether conditions and events, considered in aggregate, raise substantial doubt about the Company’s ability to continue as a going concern within the twelve-month period following the date these financial statements are issued.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the Company reported a loss from continuing operations before income taxes of RM 271,526 (USD 66,862) compared to a loss of RM 552,425 (USD 123,433) in 2024. As at December 31, 2025, the current liabilities of continuing operations exceeded current assets of continuing operations by RM 18,373,451 (USD 4,524,366) (December 31, 2024: RM 12,362,067 (USD 2,762,164)). This working capital deficiency is primarily attributable to amounts payable to the ultimate holding company and related companies within the Fitters Diversified Berhad group, totaling RM 18,905,336 (USD 4,655,340) as of December 31, 2025 (2024: RM 19,885,572 in aggregate). Additionally, for the year ended December 31, 2025, continuing operations generated a negative operating cash flow of RM 350,174 (USD 86,228), whereas the prior year generated a positive operating cash flow of RM 784,774.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ultimate holding company, Fitters Diversified Berhad, has not made any demand for the repayment of outstanding intercompany balances. Furthermore, the ultimate holding company has formally confirmed its commitment to provide continued financial and operational support to the Company to ensure that the Company is able to meet its financial obligations and settle its liabilities as and when they fall due.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reporting date, as disclosed in Note 14, the Company executed a significant reorganization and capital restructuring plan. The proceeds from this disposal of RM10,500,000 were applied toward the offset of outstanding amounts due to the ultimate holding company. Subsequent to the completion of the disposal of SOH, Fitters Diversified Berhad has in March 2026 formally and unconditionally waived approximately RM 7,855,337 (USD 1,934,289) of the balance of all outstanding amount due from the Company.</w:t>
      </w:r>
    </w:p>
    <w:p>
      <w:pPr>
        <w:pStyle w:val="TextBody"/>
        <w:bidi w:val="0"/>
        <w:spacing w:before="0" w:after="0"/>
        <w:ind w:left="0" w:right="0" w:hanging="0"/>
        <w:jc w:val="both"/>
        <w:rPr>
          <w:caps w:val="false"/>
          <w:smallCaps w:val="false"/>
        </w:rPr>
      </w:pPr>
      <w:r>
        <w:rPr>
          <w:caps w:val="false"/>
          <w:smallCaps w:val="false"/>
        </w:rPr>
        <w:t> </w:t>
      </w:r>
    </w:p>
    <w:tbl>
      <w:tblPr>
        <w:tblW w:w="850" w:type="dxa"/>
        <w:jc w:val="left"/>
        <w:tblInd w:w="0" w:type="dxa"/>
        <w:tblLayout w:type="fixed"/>
        <w:tblCellMar>
          <w:top w:w="0" w:type="dxa"/>
          <w:left w:w="0" w:type="dxa"/>
          <w:bottom w:w="0" w:type="dxa"/>
          <w:right w:w="0" w:type="dxa"/>
        </w:tblCellMar>
      </w:tblPr>
      <w:tblGrid>
        <w:gridCol w:w="260"/>
        <w:gridCol w:w="590"/>
      </w:tblGrid>
      <w:tr>
        <w:trPr/>
        <w:tc>
          <w:tcPr>
            <w:tcW w:w="26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w:t>
            </w:r>
          </w:p>
        </w:tc>
        <w:tc>
          <w:tcPr>
            <w:tcW w:w="59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premises under short-term non-cancellable operating leases qualify for the ASC 842 short-term lease exemption. Lease expense for FY2025 was USD 8,864 (FY2024: USD nil). No right-of-use asset or lease liability has been recognized.</w:t>
      </w:r>
    </w:p>
    <w:p>
      <w:pPr>
        <w:pStyle w:val="TextBody"/>
        <w:bidi w:val="0"/>
        <w:spacing w:before="0" w:after="0"/>
        <w:ind w:left="0" w:right="0" w:hanging="0"/>
        <w:jc w:val="both"/>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245"/>
        <w:gridCol w:w="1580"/>
      </w:tblGrid>
      <w:tr>
        <w:trPr/>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w:t>
            </w:r>
          </w:p>
        </w:tc>
        <w:tc>
          <w:tcPr>
            <w:tcW w:w="1580"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Proceedings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Case 1 — Shah Alam High Court Civil Suit BA-22NCC-104-08/2021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AHT Syngas Technology NV (“AHT”) claimed EUR 1,783,810 against the Company for allegedly unpaid invoices relating to the construction of a coal gasification system. AHT’s claim was struck out on September 8, 2025 due to non-compliance with a security-for-costs order. AHT has appealed (Appeal No. B-02(IM)(NCC)-1992-10/2025); a strike-out application is fixed for hearing on May 14, 2026. AHT’s appeal is fixed for hearing before the Court of Appeal on April 28, 2027.</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counterclaim of EUR 200,000 was dismissed on December 1, 2025 and the Company has appealed (Appeal No. B-02(NCC)(W)-9-01/2026). No provision has been recognized as it is not probable that a loss has been incurred.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Case 2 — Shah Alam High Court Civil Suit BA-22NCC-57-04/2022</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AHT claimed EUR 342,857 against the Company in respect of an alleged unpaid balance under a biomass gasification plant contract. The Company denies the claim and counterclaims EUR 949,000 for alleged overpayment. Trial dates have been fixed for July 31, August 14, and September 25,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recognized a provision of USD 405,566 (RM 1,647,000) as of December 31, 2025 and 2024, as it is considered probable that a loss has been incurred and the amount can be reasonably estimated. The actual loss may differ.</w:t>
      </w:r>
    </w:p>
    <w:p>
      <w:pPr>
        <w:pStyle w:val="TextBody"/>
        <w:bidi w:val="0"/>
        <w:spacing w:before="0" w:after="0"/>
        <w:ind w:left="72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F-60</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Subsequent Events</w:t>
      </w:r>
    </w:p>
    <w:tbl>
      <w:tblPr>
        <w:tblW w:w="2455" w:type="dxa"/>
        <w:jc w:val="left"/>
        <w:tblInd w:w="0" w:type="dxa"/>
        <w:tblLayout w:type="fixed"/>
        <w:tblCellMar>
          <w:top w:w="0" w:type="dxa"/>
          <w:left w:w="0" w:type="dxa"/>
          <w:bottom w:w="0" w:type="dxa"/>
          <w:right w:w="0" w:type="dxa"/>
        </w:tblCellMar>
      </w:tblPr>
      <w:tblGrid>
        <w:gridCol w:w="290"/>
        <w:gridCol w:w="216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21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SUBSEQUENT EVENTS</w:t>
            </w:r>
          </w:p>
        </w:tc>
      </w:tr>
    </w:tbl>
    <w:p>
      <w:pPr>
        <w:pStyle w:val="TextBody"/>
        <w:bidi w:val="0"/>
        <w:spacing w:before="0" w:after="0"/>
        <w:ind w:left="0" w:right="0" w:hanging="0"/>
        <w:jc w:val="both"/>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260"/>
        <w:gridCol w:w="1925"/>
      </w:tblGrid>
      <w:tr>
        <w:trPr/>
        <w:tc>
          <w:tcPr>
            <w:tcW w:w="26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w:t>
            </w:r>
          </w:p>
        </w:tc>
        <w:tc>
          <w:tcPr>
            <w:tcW w:w="192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of shareholder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16 March 2026, the holding company, Fitters, entered into Share Sale Agreements with multiple purchasers for the disposal of 28,000,000 ordinary shares in the Company, representing its entire equity interest, for a total cash consideration of RM15,200,000,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5,600,000 shares to Ng Kok Yung, Tan Siew Ching, Ng Ling Hong, Wong Min Lin, Toh Jia Ying, Ng Kok Yee, Tan Sui Hua, Loh Yoke Mooi, and Liew Kim Foong, representing 20% of the total shareholding, for an aggregate consideration of RM3.04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15,400,000 shares to Perfect Energy Sdn. Bhd., representing 55% of the total shareholding, for a consideration of RM8.36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7,000,000 shares to Antbiz Sdn. Bhd., representing 25% of the total shareholding, for a consideration of RM3.80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transaction, the Company will cease to be a wholly-owned subsidiary of Fitters. There have been no additional subsequent events that would require disclosure in, or adjustment to, the parent company financial statements as of and for the year ended December 31, 2025. On March 26, 2026, the conditions precedent in the Agreements have been fulfilled and hence become unconditional. Both the Company and the Purchasers have executed the registrable forms of transfer of securities and mutually agreed that the completion is effective on March 26, 2026.</w:t>
      </w:r>
    </w:p>
    <w:p>
      <w:pPr>
        <w:pStyle w:val="TextBody"/>
        <w:bidi w:val="0"/>
        <w:spacing w:before="0" w:after="0"/>
        <w:ind w:left="0" w:right="0" w:hanging="0"/>
        <w:jc w:val="both"/>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260"/>
        <w:gridCol w:w="4610"/>
      </w:tblGrid>
      <w:tr>
        <w:trPr/>
        <w:tc>
          <w:tcPr>
            <w:tcW w:w="26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w:t>
            </w:r>
          </w:p>
        </w:tc>
        <w:tc>
          <w:tcPr>
            <w:tcW w:w="4610"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Disposal of subsidiary, Solid Orient Holdings Sdn. Bhd.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2025, the Company entered into a Share Sale Agreement (“SSA”) with the ultimate holding company, Fitters to dispose of its 100% equity interest in SOH, which represents the Company’s entire palm oil milling segment. On January 8, 2026, the Company’s wholly-owned subsidiary, SOH, allotted 46,700,000 new ordinary shares at an issue price of RM1.00 per share to the ultimate holding company, Fitters for a total cash consideration of RM46,700,000. As a result of this share allotment, the Company’s equity interest in SOH was diluted from 100% to 18.36%, and the Company ceased to exercise a controlling financial interest, leading to the deconsolidation of SOH as a subsidiary effective from that date. In conjunction with this restructuring, the intercompany payable previously due to the ultimate holding company was settled through a combination of this capital injection and a subsequent waiver of the remaining balance, which is expected to result in a gain on debt settlement in the 2026 fiscal year.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completed the disposal of its remaining 18.36% equity interest (comprising 10,500,000 shares) in SOH to the ultimate holding company on January 23, 2026 pursuant to the Share Sale Agreement (“SSA”) executed on December 22, 2025. The transaction was finalized for a total cash consideration of RM10,500,000 (equivalent to USD 2,585,620). Proceeds from the sale were utilized to settle outstanding obligations and provide additional working capital for the Company’s continuing operations. The disposal proceeds were applied toward the reduction of outstanding payables due to Fitters Diversified Berhad. Any resulting gain or loss arising from the disposal will be recognized in the Group’s consolidated financial statements for the year ending December 31,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subsequent events requiring disclosure or adjustment have occurred.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Benefit Plans</w:t>
      </w:r>
    </w:p>
    <w:tbl>
      <w:tblPr>
        <w:tblW w:w="3040" w:type="dxa"/>
        <w:jc w:val="left"/>
        <w:tblInd w:w="0" w:type="dxa"/>
        <w:tblLayout w:type="fixed"/>
        <w:tblCellMar>
          <w:top w:w="0" w:type="dxa"/>
          <w:left w:w="0" w:type="dxa"/>
          <w:bottom w:w="0" w:type="dxa"/>
          <w:right w:w="0" w:type="dxa"/>
        </w:tblCellMar>
      </w:tblPr>
      <w:tblGrid>
        <w:gridCol w:w="290"/>
        <w:gridCol w:w="275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27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BENEFIT PLANS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Included in the compensation and benefits included in operating cost of USD 97,826 (FY 2024 : USD86,105) are statutory defined contribution of USD 11,706 (FY2024: USD10,619). The statutory defined contribution plans for its employees in Malaysia include contributions to the Employees Provident Fund (“EPF”), Social Security Organization (“SOCSO”), Employment Insurance System (“EIS”), and Human Resource Development Fund (“HRDF”)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Employee Benefit Plans</w:t>
      </w:r>
    </w:p>
    <w:tbl>
      <w:tblPr>
        <w:tblW w:w="5704" w:type="dxa"/>
        <w:jc w:val="left"/>
        <w:tblInd w:w="0" w:type="dxa"/>
        <w:tblLayout w:type="fixed"/>
        <w:tblCellMar>
          <w:top w:w="0" w:type="dxa"/>
          <w:left w:w="0" w:type="dxa"/>
          <w:bottom w:w="0" w:type="dxa"/>
          <w:right w:w="0" w:type="dxa"/>
        </w:tblCellMar>
      </w:tblPr>
      <w:tblGrid>
        <w:gridCol w:w="3500"/>
        <w:gridCol w:w="60"/>
        <w:gridCol w:w="500"/>
        <w:gridCol w:w="60"/>
        <w:gridCol w:w="60"/>
        <w:gridCol w:w="680"/>
        <w:gridCol w:w="60"/>
        <w:gridCol w:w="60"/>
        <w:gridCol w:w="62"/>
        <w:gridCol w:w="587"/>
        <w:gridCol w:w="75"/>
      </w:tblGrid>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center"/>
              <w:rPr/>
            </w:pPr>
            <w:r>
              <w:rPr/>
              <w:t> </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vAlign w:val="center"/>
          </w:tcPr>
          <w:p>
            <w:pPr>
              <w:pStyle w:val="TableContents"/>
              <w:bidi w:val="0"/>
              <w:spacing w:before="0" w:after="283"/>
              <w:jc w:val="center"/>
              <w:rPr>
                <w:i/>
              </w:rPr>
            </w:pPr>
            <w:r>
              <w:rPr>
                <w:i/>
              </w:rPr>
              <w:t>(USD)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49" w:type="dxa"/>
            <w:gridSpan w:val="2"/>
            <w:tcBorders/>
            <w:vAlign w:val="center"/>
          </w:tcPr>
          <w:p>
            <w:pPr>
              <w:pStyle w:val="TableContents"/>
              <w:bidi w:val="0"/>
              <w:spacing w:before="0" w:after="283"/>
              <w:jc w:val="center"/>
              <w:rPr>
                <w:i/>
              </w:rPr>
            </w:pPr>
            <w:r>
              <w:rPr>
                <w:i/>
              </w:rPr>
              <w:t>(USD)</w:t>
            </w:r>
          </w:p>
        </w:tc>
        <w:tc>
          <w:tcPr>
            <w:tcW w:w="75" w:type="dxa"/>
            <w:tcBorders/>
            <w:vAlign w:val="center"/>
          </w:tcPr>
          <w:p>
            <w:pPr>
              <w:pStyle w:val="TableContents"/>
              <w:bidi w:val="0"/>
              <w:spacing w:before="0" w:after="283"/>
              <w:jc w:val="center"/>
              <w:rPr/>
            </w:pPr>
            <w:r>
              <w:rPr/>
              <w:t> </w:t>
            </w:r>
          </w:p>
        </w:tc>
      </w:tr>
      <w:tr>
        <w:trPr/>
        <w:tc>
          <w:tcPr>
            <w:tcW w:w="3500" w:type="dxa"/>
            <w:tcBorders/>
            <w:shd w:fill="CCEEFF" w:val="clear"/>
            <w:vAlign w:val="center"/>
          </w:tcPr>
          <w:p>
            <w:pPr>
              <w:pStyle w:val="TableContents"/>
              <w:bidi w:val="0"/>
              <w:spacing w:before="0" w:after="283"/>
              <w:jc w:val="left"/>
              <w:rPr>
                <w:i/>
              </w:rPr>
            </w:pPr>
            <w:r>
              <w:rPr>
                <w:i/>
              </w:rPr>
              <w:t>Employee contributions: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EPF</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9,345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pPr>
            <w:r>
              <w:rPr/>
              <w:t>5,176</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SOCSO</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650</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EIS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pPr>
            <w:r>
              <w:rPr/>
              <w:t>74</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HRDF</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373</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HRDC contributions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Total employee benefit plan expense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11,201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87" w:type="dxa"/>
            <w:tcBorders>
              <w:bottom w:val="single" w:sz="8" w:space="0" w:color="000000"/>
            </w:tcBorders>
            <w:shd w:fill="FFFFFF" w:val="clear"/>
            <w:tcMar>
              <w:bottom w:w="28" w:type="dxa"/>
            </w:tcMar>
            <w:vAlign w:val="center"/>
          </w:tcPr>
          <w:p>
            <w:pPr>
              <w:pStyle w:val="TableContents"/>
              <w:bidi w:val="0"/>
              <w:spacing w:before="0" w:after="283"/>
              <w:jc w:val="right"/>
              <w:rPr/>
            </w:pPr>
            <w:r>
              <w:rPr/>
              <w:t>6,272</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i/>
              </w:rPr>
            </w:pPr>
            <w:r>
              <w:rPr>
                <w:i/>
              </w:rPr>
              <w:t>Director statutory contributions: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EPF</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3,781</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SOCSO</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pPr>
            <w:r>
              <w:rPr/>
              <w:t>244</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EIS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28</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HRDF</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pPr>
            <w:r>
              <w:rPr/>
              <w:t>295</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HRDC contributions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Total director statutory contributions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87" w:type="dxa"/>
            <w:tcBorders>
              <w:bottom w:val="single" w:sz="8" w:space="0" w:color="000000"/>
            </w:tcBorders>
            <w:shd w:fill="CCEEFF" w:val="clear"/>
            <w:tcMar>
              <w:bottom w:w="28" w:type="dxa"/>
            </w:tcMar>
            <w:vAlign w:val="center"/>
          </w:tcPr>
          <w:p>
            <w:pPr>
              <w:pStyle w:val="TableContents"/>
              <w:bidi w:val="0"/>
              <w:spacing w:before="0" w:after="283"/>
              <w:jc w:val="right"/>
              <w:rPr/>
            </w:pPr>
            <w:r>
              <w:rPr/>
              <w:t>4,347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the Financial Statements</w:t>
      </w:r>
    </w:p>
    <w:tbl>
      <w:tblPr>
        <w:tblW w:w="4675" w:type="dxa"/>
        <w:jc w:val="left"/>
        <w:tblInd w:w="0" w:type="dxa"/>
        <w:tblLayout w:type="fixed"/>
        <w:tblCellMar>
          <w:top w:w="0" w:type="dxa"/>
          <w:left w:w="0" w:type="dxa"/>
          <w:bottom w:w="0" w:type="dxa"/>
          <w:right w:w="0" w:type="dxa"/>
        </w:tblCellMar>
      </w:tblPr>
      <w:tblGrid>
        <w:gridCol w:w="290"/>
        <w:gridCol w:w="438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c>
          <w:tcPr>
            <w:tcW w:w="43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THE 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were approved and authorized for issuance by the Board of Directors of the Company on May 28,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F-61</w:t>
            </w:r>
          </w:p>
        </w:tc>
      </w:tr>
    </w:tbl>
    <w:p>
      <w:pPr>
        <w:pStyle w:val="TextBody"/>
        <w:bidi w:val="0"/>
        <w:spacing w:before="0" w:after="0"/>
        <w:ind w:left="0" w:right="0" w:hanging="0"/>
        <w:jc w:val="left"/>
        <w:rPr/>
      </w:pPr>
      <w:r>
        <w:rPr/>
        <w:t> </w:t>
      </w:r>
    </w:p>
    <w:p>
      <w:pPr>
        <w:pStyle w:val="TextBody"/>
        <w:bidi w:val="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24" w:name="am_001"/>
      <w:bookmarkEnd w:id="124"/>
      <w:r>
        <w:rPr>
          <w:rFonts w:ascii="Times New Roman;Times;Serif" w:hAnsi="Times New Roman;Times;Serif"/>
          <w:b/>
          <w:i w:val="false"/>
          <w:caps w:val="false"/>
          <w:smallCaps w:val="false"/>
          <w:sz w:val="20"/>
        </w:rPr>
        <w:t>FUTURE NRG SDN.</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BHD.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17"/>
        <w:gridCol w:w="60"/>
        <w:gridCol w:w="500"/>
        <w:gridCol w:w="60"/>
        <w:gridCol w:w="93"/>
        <w:gridCol w:w="1621"/>
        <w:gridCol w:w="95"/>
        <w:gridCol w:w="60"/>
        <w:gridCol w:w="75"/>
        <w:gridCol w:w="1410"/>
        <w:gridCol w:w="114"/>
      </w:tblGrid>
      <w:tr>
        <w:trPr/>
        <w:tc>
          <w:tcPr>
            <w:tcW w:w="61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p>
        </w:tc>
        <w:tc>
          <w:tcPr>
            <w:tcW w:w="17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 31, 2025</w:t>
            </w:r>
          </w:p>
        </w:tc>
        <w:tc>
          <w:tcPr>
            <w:tcW w:w="114" w:type="dxa"/>
            <w:tcBorders/>
            <w:vAlign w:val="center"/>
          </w:tcPr>
          <w:p>
            <w:pPr>
              <w:pStyle w:val="TableContents"/>
              <w:bidi w:val="0"/>
              <w:spacing w:before="0" w:after="283"/>
              <w:jc w:val="center"/>
              <w:rPr/>
            </w:pPr>
            <w:r>
              <w:rPr/>
              <w:t> </w:t>
            </w:r>
          </w:p>
        </w:tc>
      </w:tr>
      <w:tr>
        <w:trPr/>
        <w:tc>
          <w:tcPr>
            <w:tcW w:w="611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14" w:type="dxa"/>
            <w:gridSpan w:val="2"/>
            <w:tcBorders/>
            <w:vAlign w:val="center"/>
          </w:tcPr>
          <w:p>
            <w:pPr>
              <w:pStyle w:val="TableContents"/>
              <w:bidi w:val="0"/>
              <w:spacing w:before="0" w:after="283"/>
              <w:jc w:val="center"/>
              <w:rPr>
                <w:b/>
              </w:rPr>
            </w:pPr>
            <w:r>
              <w:rPr>
                <w:b/>
              </w:rPr>
              <w:t>(Unaudited) 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85" w:type="dxa"/>
            <w:gridSpan w:val="2"/>
            <w:tcBorders/>
            <w:vAlign w:val="center"/>
          </w:tcPr>
          <w:p>
            <w:pPr>
              <w:pStyle w:val="TableContents"/>
              <w:bidi w:val="0"/>
              <w:spacing w:before="0" w:after="283"/>
              <w:jc w:val="center"/>
              <w:rPr>
                <w:b/>
              </w:rPr>
            </w:pPr>
            <w:r>
              <w:rPr>
                <w:b/>
              </w:rPr>
              <w:t>(Audited) USD</w:t>
            </w:r>
          </w:p>
        </w:tc>
        <w:tc>
          <w:tcPr>
            <w:tcW w:w="114" w:type="dxa"/>
            <w:tcBorders/>
            <w:vAlign w:val="center"/>
          </w:tcPr>
          <w:p>
            <w:pPr>
              <w:pStyle w:val="TableContents"/>
              <w:bidi w:val="0"/>
              <w:spacing w:before="0" w:after="283"/>
              <w:jc w:val="left"/>
              <w:rPr/>
            </w:pPr>
            <w:r>
              <w:rPr/>
              <w:t> </w:t>
            </w:r>
          </w:p>
        </w:tc>
      </w:tr>
      <w:tr>
        <w:trPr/>
        <w:tc>
          <w:tcPr>
            <w:tcW w:w="6117"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117"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117"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4</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27,109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202,716</w:t>
            </w:r>
          </w:p>
        </w:tc>
        <w:tc>
          <w:tcPr>
            <w:tcW w:w="114" w:type="dxa"/>
            <w:tcBorders/>
            <w:shd w:fill="CCEEFF" w:val="clear"/>
            <w:vAlign w:val="center"/>
          </w:tcPr>
          <w:p>
            <w:pPr>
              <w:pStyle w:val="TableContents"/>
              <w:bidi w:val="0"/>
              <w:spacing w:before="0" w:after="283"/>
              <w:jc w:val="left"/>
              <w:rPr/>
            </w:pPr>
            <w:r>
              <w:rPr/>
              <w:t> </w:t>
            </w:r>
          </w:p>
        </w:tc>
      </w:tr>
      <w:tr>
        <w:trPr/>
        <w:tc>
          <w:tcPr>
            <w:tcW w:w="6117"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5</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292,693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320,516</w:t>
            </w:r>
          </w:p>
        </w:tc>
        <w:tc>
          <w:tcPr>
            <w:tcW w:w="114" w:type="dxa"/>
            <w:tcBorders/>
            <w:shd w:fill="FFFFFF" w:val="clear"/>
            <w:vAlign w:val="center"/>
          </w:tcPr>
          <w:p>
            <w:pPr>
              <w:pStyle w:val="TableContents"/>
              <w:bidi w:val="0"/>
              <w:spacing w:before="0" w:after="283"/>
              <w:jc w:val="left"/>
              <w:rPr/>
            </w:pPr>
            <w:r>
              <w:rPr/>
              <w:t> </w:t>
            </w:r>
          </w:p>
        </w:tc>
      </w:tr>
      <w:tr>
        <w:trPr/>
        <w:tc>
          <w:tcPr>
            <w:tcW w:w="6117"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6</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78,725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65,076</w:t>
            </w:r>
          </w:p>
        </w:tc>
        <w:tc>
          <w:tcPr>
            <w:tcW w:w="114" w:type="dxa"/>
            <w:tcBorders/>
            <w:shd w:fill="CCEEFF" w:val="clear"/>
            <w:vAlign w:val="center"/>
          </w:tcPr>
          <w:p>
            <w:pPr>
              <w:pStyle w:val="TableContents"/>
              <w:bidi w:val="0"/>
              <w:spacing w:before="0" w:after="283"/>
              <w:jc w:val="left"/>
              <w:rPr/>
            </w:pPr>
            <w:r>
              <w:rPr/>
              <w:t> </w:t>
            </w:r>
          </w:p>
        </w:tc>
      </w:tr>
      <w:tr>
        <w:trPr/>
        <w:tc>
          <w:tcPr>
            <w:tcW w:w="6117" w:type="dxa"/>
            <w:tcBorders/>
            <w:shd w:fill="FFFFFF" w:val="clear"/>
            <w:vAlign w:val="center"/>
          </w:tcPr>
          <w:p>
            <w:pPr>
              <w:pStyle w:val="TableContents"/>
              <w:bidi w:val="0"/>
              <w:spacing w:before="0" w:after="283"/>
              <w:jc w:val="left"/>
              <w:rPr/>
            </w:pPr>
            <w:r>
              <w:rPr/>
              <w:t>Income taxes receivable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511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513</w:t>
            </w:r>
          </w:p>
        </w:tc>
        <w:tc>
          <w:tcPr>
            <w:tcW w:w="114" w:type="dxa"/>
            <w:tcBorders/>
            <w:shd w:fill="FFFFFF" w:val="clear"/>
            <w:vAlign w:val="center"/>
          </w:tcPr>
          <w:p>
            <w:pPr>
              <w:pStyle w:val="TableContents"/>
              <w:bidi w:val="0"/>
              <w:spacing w:before="0" w:after="283"/>
              <w:jc w:val="left"/>
              <w:rPr/>
            </w:pPr>
            <w:r>
              <w:rPr/>
              <w:t> </w:t>
            </w:r>
          </w:p>
        </w:tc>
      </w:tr>
      <w:tr>
        <w:trPr/>
        <w:tc>
          <w:tcPr>
            <w:tcW w:w="6117"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6117" w:type="dxa"/>
            <w:tcBorders/>
            <w:shd w:fill="FFFFFF" w:val="clear"/>
            <w:vAlign w:val="center"/>
          </w:tcPr>
          <w:p>
            <w:pPr>
              <w:pStyle w:val="TableContents"/>
              <w:bidi w:val="0"/>
              <w:spacing w:before="0" w:after="283"/>
              <w:jc w:val="left"/>
              <w:rPr>
                <w:b/>
              </w:rPr>
            </w:pPr>
            <w:r>
              <w:rPr>
                <w:b/>
              </w:rPr>
              <w:t>Total current assets — continuing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b/>
              </w:rPr>
            </w:pPr>
            <w:r>
              <w:rPr>
                <w:b/>
              </w:rPr>
              <w:t>399,038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b/>
              </w:rPr>
            </w:pPr>
            <w:r>
              <w:rPr>
                <w:b/>
              </w:rPr>
              <w:t>588,821</w:t>
            </w:r>
          </w:p>
        </w:tc>
        <w:tc>
          <w:tcPr>
            <w:tcW w:w="114" w:type="dxa"/>
            <w:tcBorders/>
            <w:shd w:fill="FFFFFF" w:val="clear"/>
            <w:vAlign w:val="center"/>
          </w:tcPr>
          <w:p>
            <w:pPr>
              <w:pStyle w:val="TableContents"/>
              <w:bidi w:val="0"/>
              <w:spacing w:before="0" w:after="283"/>
              <w:jc w:val="left"/>
              <w:rPr/>
            </w:pPr>
            <w:r>
              <w:rPr/>
              <w:t> </w:t>
            </w:r>
          </w:p>
        </w:tc>
      </w:tr>
      <w:tr>
        <w:trPr/>
        <w:tc>
          <w:tcPr>
            <w:tcW w:w="6117"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b/>
              </w:rPr>
            </w:pPr>
            <w:r>
              <w:rPr>
                <w:b/>
              </w:rPr>
              <w:t>399,038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b/>
              </w:rPr>
            </w:pPr>
            <w:r>
              <w:rPr>
                <w:b/>
              </w:rPr>
              <w:t>588,821</w:t>
            </w:r>
          </w:p>
        </w:tc>
        <w:tc>
          <w:tcPr>
            <w:tcW w:w="114" w:type="dxa"/>
            <w:tcBorders/>
            <w:shd w:fill="FFFFFF" w:val="clear"/>
            <w:vAlign w:val="center"/>
          </w:tcPr>
          <w:p>
            <w:pPr>
              <w:pStyle w:val="TableContents"/>
              <w:bidi w:val="0"/>
              <w:spacing w:before="0" w:after="283"/>
              <w:jc w:val="left"/>
              <w:rPr/>
            </w:pPr>
            <w:r>
              <w:rPr/>
              <w:t> </w:t>
            </w:r>
          </w:p>
        </w:tc>
      </w:tr>
      <w:tr>
        <w:trPr/>
        <w:tc>
          <w:tcPr>
            <w:tcW w:w="61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117" w:type="dxa"/>
            <w:tcBorders/>
            <w:shd w:fill="FFFFFF" w:val="clear"/>
            <w:vAlign w:val="center"/>
          </w:tcPr>
          <w:p>
            <w:pPr>
              <w:pStyle w:val="TableContents"/>
              <w:bidi w:val="0"/>
              <w:spacing w:before="0" w:after="283"/>
              <w:jc w:val="left"/>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117"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7</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4,403,609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4,518,397</w:t>
            </w:r>
          </w:p>
        </w:tc>
        <w:tc>
          <w:tcPr>
            <w:tcW w:w="114" w:type="dxa"/>
            <w:tcBorders/>
            <w:shd w:fill="CCEEFF" w:val="clear"/>
            <w:vAlign w:val="center"/>
          </w:tcPr>
          <w:p>
            <w:pPr>
              <w:pStyle w:val="TableContents"/>
              <w:bidi w:val="0"/>
              <w:spacing w:before="0" w:after="283"/>
              <w:jc w:val="left"/>
              <w:rPr/>
            </w:pPr>
            <w:r>
              <w:rPr/>
              <w:t> </w:t>
            </w:r>
          </w:p>
        </w:tc>
      </w:tr>
      <w:tr>
        <w:trPr/>
        <w:tc>
          <w:tcPr>
            <w:tcW w:w="6117" w:type="dxa"/>
            <w:tcBorders/>
            <w:shd w:fill="FFFFFF" w:val="clear"/>
            <w:vAlign w:val="center"/>
          </w:tcPr>
          <w:p>
            <w:pPr>
              <w:pStyle w:val="TableContents"/>
              <w:bidi w:val="0"/>
              <w:spacing w:before="0" w:after="283"/>
              <w:jc w:val="left"/>
              <w:rPr>
                <w:b/>
              </w:rPr>
            </w:pPr>
            <w:r>
              <w:rPr>
                <w:b/>
              </w:rPr>
              <w:t>Total non-current assets — continuing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b/>
              </w:rPr>
            </w:pPr>
            <w:r>
              <w:rPr>
                <w:b/>
              </w:rPr>
              <w:t>4,403,609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b/>
              </w:rPr>
            </w:pPr>
            <w:r>
              <w:rPr>
                <w:b/>
              </w:rPr>
              <w:t>4,518,397</w:t>
            </w:r>
          </w:p>
        </w:tc>
        <w:tc>
          <w:tcPr>
            <w:tcW w:w="114" w:type="dxa"/>
            <w:tcBorders/>
            <w:shd w:fill="FFFFFF" w:val="clear"/>
            <w:vAlign w:val="center"/>
          </w:tcPr>
          <w:p>
            <w:pPr>
              <w:pStyle w:val="TableContents"/>
              <w:bidi w:val="0"/>
              <w:spacing w:before="0" w:after="283"/>
              <w:jc w:val="left"/>
              <w:rPr/>
            </w:pPr>
            <w:r>
              <w:rPr/>
              <w:t> </w:t>
            </w:r>
          </w:p>
        </w:tc>
      </w:tr>
      <w:tr>
        <w:trPr/>
        <w:tc>
          <w:tcPr>
            <w:tcW w:w="61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117" w:type="dxa"/>
            <w:tcBorders/>
            <w:shd w:fill="FFFFFF" w:val="clear"/>
            <w:vAlign w:val="center"/>
          </w:tcPr>
          <w:p>
            <w:pPr>
              <w:pStyle w:val="TableContents"/>
              <w:bidi w:val="0"/>
              <w:spacing w:before="0" w:after="283"/>
              <w:jc w:val="left"/>
              <w:rPr>
                <w:i/>
              </w:rPr>
            </w:pPr>
            <w:r>
              <w:rPr>
                <w:i/>
              </w:rPr>
              <w:t>Assets of discontinued operations held for sale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21,407,221</w:t>
            </w:r>
          </w:p>
        </w:tc>
        <w:tc>
          <w:tcPr>
            <w:tcW w:w="114" w:type="dxa"/>
            <w:tcBorders/>
            <w:shd w:fill="FFFFFF" w:val="clear"/>
            <w:vAlign w:val="center"/>
          </w:tcPr>
          <w:p>
            <w:pPr>
              <w:pStyle w:val="TableContents"/>
              <w:bidi w:val="0"/>
              <w:spacing w:before="0" w:after="283"/>
              <w:jc w:val="left"/>
              <w:rPr/>
            </w:pPr>
            <w:r>
              <w:rPr/>
              <w:t> </w:t>
            </w:r>
          </w:p>
        </w:tc>
      </w:tr>
      <w:tr>
        <w:trPr/>
        <w:tc>
          <w:tcPr>
            <w:tcW w:w="61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117"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b/>
              </w:rPr>
            </w:pPr>
            <w:r>
              <w:rPr>
                <w:b/>
              </w:rPr>
              <w:t>4,802,647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b/>
              </w:rPr>
            </w:pPr>
            <w:r>
              <w:rPr>
                <w:b/>
              </w:rPr>
              <w:t>26,514,439</w:t>
            </w:r>
          </w:p>
        </w:tc>
        <w:tc>
          <w:tcPr>
            <w:tcW w:w="114" w:type="dxa"/>
            <w:tcBorders/>
            <w:shd w:fill="FFFFFF" w:val="clear"/>
            <w:vAlign w:val="center"/>
          </w:tcPr>
          <w:p>
            <w:pPr>
              <w:pStyle w:val="TableContents"/>
              <w:bidi w:val="0"/>
              <w:spacing w:before="0" w:after="283"/>
              <w:jc w:val="left"/>
              <w:rPr/>
            </w:pPr>
            <w:r>
              <w:rPr/>
              <w:t> </w:t>
            </w:r>
          </w:p>
        </w:tc>
      </w:tr>
      <w:tr>
        <w:trPr/>
        <w:tc>
          <w:tcPr>
            <w:tcW w:w="61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117" w:type="dxa"/>
            <w:tcBorders/>
            <w:shd w:fill="FFFFFF" w:val="clear"/>
            <w:vAlign w:val="center"/>
          </w:tcPr>
          <w:p>
            <w:pPr>
              <w:pStyle w:val="TableContents"/>
              <w:bidi w:val="0"/>
              <w:spacing w:before="0" w:after="283"/>
              <w:jc w:val="left"/>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117"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117" w:type="dxa"/>
            <w:tcBorders/>
            <w:shd w:fill="FFFFFF" w:val="clear"/>
            <w:vAlign w:val="center"/>
          </w:tcPr>
          <w:p>
            <w:pPr>
              <w:pStyle w:val="TableContents"/>
              <w:bidi w:val="0"/>
              <w:spacing w:before="0" w:after="283"/>
              <w:jc w:val="left"/>
              <w:rPr/>
            </w:pPr>
            <w:r>
              <w:rPr/>
              <w:t>Accounts payable and accrued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8</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483,836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5,113,187</w:t>
            </w:r>
          </w:p>
        </w:tc>
        <w:tc>
          <w:tcPr>
            <w:tcW w:w="114" w:type="dxa"/>
            <w:tcBorders/>
            <w:shd w:fill="FFFFFF" w:val="clear"/>
            <w:vAlign w:val="center"/>
          </w:tcPr>
          <w:p>
            <w:pPr>
              <w:pStyle w:val="TableContents"/>
              <w:bidi w:val="0"/>
              <w:spacing w:before="0" w:after="283"/>
              <w:jc w:val="left"/>
              <w:rPr/>
            </w:pPr>
            <w:r>
              <w:rPr/>
              <w:t> </w:t>
            </w:r>
          </w:p>
        </w:tc>
      </w:tr>
      <w:tr>
        <w:trPr/>
        <w:tc>
          <w:tcPr>
            <w:tcW w:w="6117" w:type="dxa"/>
            <w:tcBorders/>
            <w:shd w:fill="CCEEFF" w:val="clear"/>
            <w:vAlign w:val="center"/>
          </w:tcPr>
          <w:p>
            <w:pPr>
              <w:pStyle w:val="TableContents"/>
              <w:bidi w:val="0"/>
              <w:spacing w:before="0" w:after="283"/>
              <w:jc w:val="left"/>
              <w:rPr>
                <w:b/>
              </w:rPr>
            </w:pPr>
            <w:r>
              <w:rPr>
                <w:b/>
              </w:rPr>
              <w:t>Total current liabilities — 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b/>
              </w:rPr>
            </w:pPr>
            <w:r>
              <w:rPr>
                <w:b/>
              </w:rPr>
              <w:t>483,836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b/>
              </w:rPr>
            </w:pPr>
            <w:r>
              <w:rPr>
                <w:b/>
              </w:rPr>
              <w:t>5,113,187</w:t>
            </w:r>
          </w:p>
        </w:tc>
        <w:tc>
          <w:tcPr>
            <w:tcW w:w="114" w:type="dxa"/>
            <w:tcBorders/>
            <w:shd w:fill="CCEEFF" w:val="clear"/>
            <w:vAlign w:val="center"/>
          </w:tcPr>
          <w:p>
            <w:pPr>
              <w:pStyle w:val="TableContents"/>
              <w:bidi w:val="0"/>
              <w:spacing w:before="0" w:after="283"/>
              <w:jc w:val="left"/>
              <w:rPr/>
            </w:pPr>
            <w:r>
              <w:rPr/>
              <w:t> </w:t>
            </w:r>
          </w:p>
        </w:tc>
      </w:tr>
      <w:tr>
        <w:trPr/>
        <w:tc>
          <w:tcPr>
            <w:tcW w:w="6117"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b/>
              </w:rPr>
            </w:pPr>
            <w:r>
              <w:rPr>
                <w:b/>
              </w:rPr>
              <w:t>477,406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5,113,187</w:t>
            </w:r>
          </w:p>
        </w:tc>
        <w:tc>
          <w:tcPr>
            <w:tcW w:w="114" w:type="dxa"/>
            <w:tcBorders/>
            <w:shd w:fill="FFFFFF" w:val="clear"/>
            <w:vAlign w:val="center"/>
          </w:tcPr>
          <w:p>
            <w:pPr>
              <w:pStyle w:val="TableContents"/>
              <w:bidi w:val="0"/>
              <w:spacing w:before="0" w:after="283"/>
              <w:jc w:val="left"/>
              <w:rPr/>
            </w:pPr>
            <w:r>
              <w:rPr/>
              <w:t> </w:t>
            </w:r>
          </w:p>
        </w:tc>
      </w:tr>
      <w:tr>
        <w:trPr/>
        <w:tc>
          <w:tcPr>
            <w:tcW w:w="61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117" w:type="dxa"/>
            <w:tcBorders/>
            <w:shd w:fill="FFFFFF" w:val="clear"/>
            <w:vAlign w:val="center"/>
          </w:tcPr>
          <w:p>
            <w:pPr>
              <w:pStyle w:val="TableContents"/>
              <w:bidi w:val="0"/>
              <w:spacing w:before="0" w:after="283"/>
              <w:jc w:val="left"/>
              <w:rPr>
                <w:i/>
              </w:rPr>
            </w:pPr>
            <w:r>
              <w:rPr>
                <w:i/>
              </w:rPr>
              <w:t>Liabilities of discontinued operations held for sale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16,941,462</w:t>
            </w:r>
          </w:p>
        </w:tc>
        <w:tc>
          <w:tcPr>
            <w:tcW w:w="114" w:type="dxa"/>
            <w:tcBorders/>
            <w:shd w:fill="FFFFFF" w:val="clear"/>
            <w:vAlign w:val="center"/>
          </w:tcPr>
          <w:p>
            <w:pPr>
              <w:pStyle w:val="TableContents"/>
              <w:bidi w:val="0"/>
              <w:spacing w:before="0" w:after="283"/>
              <w:jc w:val="left"/>
              <w:rPr/>
            </w:pPr>
            <w:r>
              <w:rPr/>
              <w:t> </w:t>
            </w:r>
          </w:p>
        </w:tc>
      </w:tr>
      <w:tr>
        <w:trPr/>
        <w:tc>
          <w:tcPr>
            <w:tcW w:w="61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117"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b/>
              </w:rPr>
            </w:pPr>
            <w:r>
              <w:rPr>
                <w:b/>
              </w:rPr>
              <w:t>483,836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b/>
              </w:rPr>
            </w:pPr>
            <w:r>
              <w:rPr>
                <w:b/>
              </w:rPr>
              <w:t>22,054,649</w:t>
            </w:r>
          </w:p>
        </w:tc>
        <w:tc>
          <w:tcPr>
            <w:tcW w:w="114" w:type="dxa"/>
            <w:tcBorders/>
            <w:shd w:fill="FFFFFF" w:val="clear"/>
            <w:vAlign w:val="center"/>
          </w:tcPr>
          <w:p>
            <w:pPr>
              <w:pStyle w:val="TableContents"/>
              <w:bidi w:val="0"/>
              <w:spacing w:before="0" w:after="283"/>
              <w:jc w:val="left"/>
              <w:rPr/>
            </w:pPr>
            <w:r>
              <w:rPr/>
              <w:t> </w:t>
            </w:r>
          </w:p>
        </w:tc>
      </w:tr>
      <w:tr>
        <w:trPr/>
        <w:tc>
          <w:tcPr>
            <w:tcW w:w="61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117" w:type="dxa"/>
            <w:tcBorders/>
            <w:shd w:fill="FFFFFF" w:val="clear"/>
            <w:vAlign w:val="center"/>
          </w:tcPr>
          <w:p>
            <w:pPr>
              <w:pStyle w:val="TableContents"/>
              <w:bidi w:val="0"/>
              <w:spacing w:before="0" w:after="283"/>
              <w:jc w:val="left"/>
              <w:rPr>
                <w:b/>
              </w:rPr>
            </w:pPr>
            <w:r>
              <w:rPr>
                <w:b/>
              </w:rPr>
              <w:t>Stockholders’ equity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117" w:type="dxa"/>
            <w:tcBorders/>
            <w:shd w:fill="CCEEFF" w:val="clear"/>
            <w:vAlign w:val="center"/>
          </w:tcPr>
          <w:p>
            <w:pPr>
              <w:pStyle w:val="TableContents"/>
              <w:bidi w:val="0"/>
              <w:spacing w:before="0" w:after="283"/>
              <w:jc w:val="left"/>
              <w:rPr/>
            </w:pPr>
            <w:r>
              <w:rPr/>
              <w:t>Common stock — 28,000,000 shares authorized, issued and outstanding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9</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6,100,218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6,100,218</w:t>
            </w:r>
          </w:p>
        </w:tc>
        <w:tc>
          <w:tcPr>
            <w:tcW w:w="114" w:type="dxa"/>
            <w:tcBorders/>
            <w:shd w:fill="CCEEFF" w:val="clear"/>
            <w:vAlign w:val="center"/>
          </w:tcPr>
          <w:p>
            <w:pPr>
              <w:pStyle w:val="TableContents"/>
              <w:bidi w:val="0"/>
              <w:spacing w:before="0" w:after="283"/>
              <w:jc w:val="left"/>
              <w:rPr/>
            </w:pPr>
            <w:r>
              <w:rPr/>
              <w:t> </w:t>
            </w:r>
          </w:p>
        </w:tc>
      </w:tr>
      <w:tr>
        <w:trPr/>
        <w:tc>
          <w:tcPr>
            <w:tcW w:w="6117" w:type="dxa"/>
            <w:tcBorders/>
            <w:shd w:fill="FFFFFF" w:val="clear"/>
            <w:vAlign w:val="center"/>
          </w:tcPr>
          <w:p>
            <w:pPr>
              <w:pStyle w:val="TableContents"/>
              <w:bidi w:val="0"/>
              <w:spacing w:before="0" w:after="283"/>
              <w:jc w:val="left"/>
              <w:rPr/>
            </w:pPr>
            <w:r>
              <w:rPr/>
              <w:t>Retained earnings / (Accumulated deficit)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(1,954,843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(1,847,502</w:t>
            </w:r>
          </w:p>
        </w:tc>
        <w:tc>
          <w:tcPr>
            <w:tcW w:w="114" w:type="dxa"/>
            <w:tcBorders/>
            <w:shd w:fill="FFFFFF" w:val="clear"/>
            <w:vAlign w:val="center"/>
          </w:tcPr>
          <w:p>
            <w:pPr>
              <w:pStyle w:val="TableContents"/>
              <w:bidi w:val="0"/>
              <w:spacing w:before="0" w:after="283"/>
              <w:jc w:val="left"/>
              <w:rPr/>
            </w:pPr>
            <w:r>
              <w:rPr/>
              <w:t>)</w:t>
            </w:r>
          </w:p>
        </w:tc>
      </w:tr>
      <w:tr>
        <w:trPr/>
        <w:tc>
          <w:tcPr>
            <w:tcW w:w="6117" w:type="dxa"/>
            <w:tcBorders/>
            <w:shd w:fill="CCEEFF" w:val="clear"/>
            <w:vAlign w:val="center"/>
          </w:tcPr>
          <w:p>
            <w:pPr>
              <w:pStyle w:val="TableContents"/>
              <w:bidi w:val="0"/>
              <w:spacing w:before="0" w:after="283"/>
              <w:jc w:val="left"/>
              <w:rPr/>
            </w:pPr>
            <w:r>
              <w:rPr/>
              <w:t>Accumulated other comprehensive income (loss)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173,436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207,074</w:t>
            </w:r>
          </w:p>
        </w:tc>
        <w:tc>
          <w:tcPr>
            <w:tcW w:w="114" w:type="dxa"/>
            <w:tcBorders/>
            <w:shd w:fill="CCEEFF" w:val="clear"/>
            <w:vAlign w:val="center"/>
          </w:tcPr>
          <w:p>
            <w:pPr>
              <w:pStyle w:val="TableContents"/>
              <w:bidi w:val="0"/>
              <w:spacing w:before="0" w:after="283"/>
              <w:jc w:val="left"/>
              <w:rPr/>
            </w:pPr>
            <w:r>
              <w:rPr/>
              <w:t> </w:t>
            </w:r>
          </w:p>
        </w:tc>
      </w:tr>
      <w:tr>
        <w:trPr/>
        <w:tc>
          <w:tcPr>
            <w:tcW w:w="6117" w:type="dxa"/>
            <w:tcBorders/>
            <w:shd w:fill="FFFFFF" w:val="clear"/>
            <w:vAlign w:val="center"/>
          </w:tcPr>
          <w:p>
            <w:pPr>
              <w:pStyle w:val="TableContents"/>
              <w:bidi w:val="0"/>
              <w:spacing w:before="0" w:after="283"/>
              <w:jc w:val="left"/>
              <w:rPr>
                <w:b/>
              </w:rPr>
            </w:pPr>
            <w:r>
              <w:rPr>
                <w:b/>
              </w:rPr>
              <w:t>Total stockholders’ equity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b/>
              </w:rPr>
            </w:pPr>
            <w:r>
              <w:rPr>
                <w:b/>
              </w:rPr>
              <w:t>4,318,811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b/>
              </w:rPr>
            </w:pPr>
            <w:r>
              <w:rPr>
                <w:b/>
              </w:rPr>
              <w:t>4,459,790</w:t>
            </w:r>
          </w:p>
        </w:tc>
        <w:tc>
          <w:tcPr>
            <w:tcW w:w="114" w:type="dxa"/>
            <w:tcBorders/>
            <w:shd w:fill="FFFFFF" w:val="clear"/>
            <w:vAlign w:val="center"/>
          </w:tcPr>
          <w:p>
            <w:pPr>
              <w:pStyle w:val="TableContents"/>
              <w:bidi w:val="0"/>
              <w:spacing w:before="0" w:after="283"/>
              <w:jc w:val="left"/>
              <w:rPr/>
            </w:pPr>
            <w:r>
              <w:rPr/>
              <w:t> </w:t>
            </w:r>
          </w:p>
        </w:tc>
      </w:tr>
      <w:tr>
        <w:trPr/>
        <w:tc>
          <w:tcPr>
            <w:tcW w:w="61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117" w:type="dxa"/>
            <w:tcBorders/>
            <w:shd w:fill="FFFFFF" w:val="clear"/>
            <w:vAlign w:val="center"/>
          </w:tcPr>
          <w:p>
            <w:pPr>
              <w:pStyle w:val="TableContents"/>
              <w:bidi w:val="0"/>
              <w:spacing w:before="0" w:after="283"/>
              <w:jc w:val="left"/>
              <w:rPr>
                <w:b/>
              </w:rPr>
            </w:pPr>
            <w:r>
              <w:rPr>
                <w:b/>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b/>
              </w:rPr>
            </w:pPr>
            <w:r>
              <w:rPr>
                <w:b/>
              </w:rPr>
              <w:t>4,802,647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b/>
              </w:rPr>
            </w:pPr>
            <w:r>
              <w:rPr>
                <w:b/>
              </w:rPr>
              <w:t>26,514,439</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5" w:name="am_002"/>
      <w:bookmarkEnd w:id="125"/>
      <w:r>
        <w:rPr>
          <w:rFonts w:ascii="Times New Roman;Times;Serif" w:hAnsi="Times New Roman;Times;Serif"/>
          <w:b/>
          <w:i w:val="false"/>
          <w:caps w:val="false"/>
          <w:smallCaps w:val="false"/>
          <w:sz w:val="20"/>
        </w:rPr>
        <w:t>FUTURE NRG SDN. BHD.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OPERATIONS AND COMPREHENSIVE INCOME</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20"/>
        <w:gridCol w:w="60"/>
        <w:gridCol w:w="500"/>
        <w:gridCol w:w="60"/>
        <w:gridCol w:w="73"/>
        <w:gridCol w:w="1373"/>
        <w:gridCol w:w="95"/>
        <w:gridCol w:w="60"/>
        <w:gridCol w:w="73"/>
        <w:gridCol w:w="1373"/>
        <w:gridCol w:w="95"/>
        <w:gridCol w:w="60"/>
        <w:gridCol w:w="73"/>
        <w:gridCol w:w="1373"/>
        <w:gridCol w:w="95"/>
        <w:gridCol w:w="60"/>
        <w:gridCol w:w="73"/>
        <w:gridCol w:w="1373"/>
        <w:gridCol w:w="116"/>
      </w:tblGrid>
      <w:tr>
        <w:trPr/>
        <w:tc>
          <w:tcPr>
            <w:tcW w:w="3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p>
        </w:tc>
        <w:tc>
          <w:tcPr>
            <w:tcW w:w="14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 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 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 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 USD</w:t>
            </w:r>
          </w:p>
        </w:tc>
        <w:tc>
          <w:tcPr>
            <w:tcW w:w="116" w:type="dxa"/>
            <w:tcBorders/>
            <w:vAlign w:val="center"/>
          </w:tcPr>
          <w:p>
            <w:pPr>
              <w:pStyle w:val="TableContents"/>
              <w:bidi w:val="0"/>
              <w:spacing w:before="0" w:after="283"/>
              <w:jc w:val="left"/>
              <w:rPr/>
            </w:pPr>
            <w:r>
              <w:rPr/>
              <w:t> </w:t>
            </w:r>
          </w:p>
        </w:tc>
      </w:tr>
      <w:tr>
        <w:trPr/>
        <w:tc>
          <w:tcPr>
            <w:tcW w:w="3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04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Six Months Ended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163" w:type="dxa"/>
            <w:gridSpan w:val="7"/>
            <w:tcBorders>
              <w:bottom w:val="single" w:sz="8" w:space="0" w:color="000000"/>
            </w:tcBorders>
            <w:tcMar>
              <w:bottom w:w="28" w:type="dxa"/>
            </w:tcMar>
            <w:vAlign w:val="center"/>
          </w:tcPr>
          <w:p>
            <w:pPr>
              <w:pStyle w:val="TableContents"/>
              <w:bidi w:val="0"/>
              <w:spacing w:before="0" w:after="283"/>
              <w:jc w:val="center"/>
              <w:rPr>
                <w:b/>
              </w:rPr>
            </w:pPr>
            <w:r>
              <w:rPr>
                <w:b/>
              </w:rPr>
              <w:t xml:space="preserve">Three Months Ended </w:t>
            </w:r>
          </w:p>
        </w:tc>
      </w:tr>
      <w:tr>
        <w:trPr/>
        <w:tc>
          <w:tcPr>
            <w:tcW w:w="3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6" w:type="dxa"/>
            <w:gridSpan w:val="2"/>
            <w:tcBorders/>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6" w:type="dxa"/>
            <w:gridSpan w:val="2"/>
            <w:tcBorders/>
            <w:vAlign w:val="center"/>
          </w:tcPr>
          <w:p>
            <w:pPr>
              <w:pStyle w:val="TableContents"/>
              <w:bidi w:val="0"/>
              <w:spacing w:before="0" w:after="283"/>
              <w:jc w:val="center"/>
              <w:rPr>
                <w:b/>
              </w:rPr>
            </w:pPr>
            <w:r>
              <w:rPr>
                <w:b/>
              </w:rPr>
              <w:t>June 30, 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6" w:type="dxa"/>
            <w:gridSpan w:val="2"/>
            <w:tcBorders/>
            <w:vAlign w:val="center"/>
          </w:tcPr>
          <w:p>
            <w:pPr>
              <w:pStyle w:val="TableContents"/>
              <w:bidi w:val="0"/>
              <w:spacing w:before="0" w:after="283"/>
              <w:jc w:val="center"/>
              <w:rPr>
                <w:b/>
              </w:rPr>
            </w:pPr>
            <w:r>
              <w:rPr>
                <w:b/>
              </w:rPr>
              <w:t>Mar 31,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6" w:type="dxa"/>
            <w:gridSpan w:val="2"/>
            <w:tcBorders/>
            <w:vAlign w:val="center"/>
          </w:tcPr>
          <w:p>
            <w:pPr>
              <w:pStyle w:val="TableContents"/>
              <w:bidi w:val="0"/>
              <w:spacing w:before="0" w:after="283"/>
              <w:jc w:val="center"/>
              <w:rPr>
                <w:b/>
              </w:rPr>
            </w:pPr>
            <w:r>
              <w:rPr>
                <w:b/>
              </w:rPr>
              <w:t>Mar 31, 2025</w:t>
            </w:r>
          </w:p>
        </w:tc>
        <w:tc>
          <w:tcPr>
            <w:tcW w:w="116" w:type="dxa"/>
            <w:tcBorders/>
            <w:vAlign w:val="center"/>
          </w:tcPr>
          <w:p>
            <w:pPr>
              <w:pStyle w:val="TableContents"/>
              <w:bidi w:val="0"/>
              <w:spacing w:before="0" w:after="283"/>
              <w:jc w:val="center"/>
              <w:rPr/>
            </w:pPr>
            <w:r>
              <w:rPr/>
              <w:t> </w:t>
            </w:r>
          </w:p>
        </w:tc>
      </w:tr>
      <w:tr>
        <w:trPr/>
        <w:tc>
          <w:tcPr>
            <w:tcW w:w="3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p>
        </w:tc>
        <w:tc>
          <w:tcPr>
            <w:tcW w:w="14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 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 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 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 USD</w:t>
            </w:r>
          </w:p>
        </w:tc>
        <w:tc>
          <w:tcPr>
            <w:tcW w:w="116" w:type="dxa"/>
            <w:tcBorders/>
            <w:vAlign w:val="center"/>
          </w:tcPr>
          <w:p>
            <w:pPr>
              <w:pStyle w:val="TableContents"/>
              <w:bidi w:val="0"/>
              <w:spacing w:before="0" w:after="283"/>
              <w:jc w:val="left"/>
              <w:rPr/>
            </w:pPr>
            <w:r>
              <w:rPr/>
              <w:t> </w:t>
            </w:r>
          </w:p>
        </w:tc>
      </w:tr>
      <w:tr>
        <w:trPr/>
        <w:tc>
          <w:tcPr>
            <w:tcW w:w="3220" w:type="dxa"/>
            <w:tcBorders/>
            <w:shd w:fill="CCEEFF" w:val="clear"/>
            <w:vAlign w:val="center"/>
          </w:tcPr>
          <w:p>
            <w:pPr>
              <w:pStyle w:val="TableContents"/>
              <w:bidi w:val="0"/>
              <w:spacing w:before="0" w:after="283"/>
              <w:jc w:val="left"/>
              <w:rPr>
                <w:b/>
              </w:rPr>
            </w:pPr>
            <w:r>
              <w:rPr>
                <w:b/>
              </w:rPr>
              <w:t>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3220" w:type="dxa"/>
            <w:tcBorders/>
            <w:shd w:fill="FFFFFF" w:val="clear"/>
            <w:vAlign w:val="center"/>
          </w:tcPr>
          <w:p>
            <w:pPr>
              <w:pStyle w:val="TableContents"/>
              <w:bidi w:val="0"/>
              <w:spacing w:before="0" w:after="283"/>
              <w:jc w:val="left"/>
              <w:rPr/>
            </w:pPr>
            <w:r>
              <w:rPr/>
              <w:t>Revenue from services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10</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373,123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421,912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183,976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203,630</w:t>
            </w:r>
          </w:p>
        </w:tc>
        <w:tc>
          <w:tcPr>
            <w:tcW w:w="116" w:type="dxa"/>
            <w:tcBorders/>
            <w:shd w:fill="FFFFFF" w:val="clear"/>
            <w:vAlign w:val="center"/>
          </w:tcPr>
          <w:p>
            <w:pPr>
              <w:pStyle w:val="TableContents"/>
              <w:bidi w:val="0"/>
              <w:spacing w:before="0" w:after="283"/>
              <w:jc w:val="left"/>
              <w:rPr/>
            </w:pPr>
            <w:r>
              <w:rPr/>
              <w:t> </w:t>
            </w:r>
          </w:p>
        </w:tc>
      </w:tr>
      <w:tr>
        <w:trPr/>
        <w:tc>
          <w:tcPr>
            <w:tcW w:w="3220" w:type="dxa"/>
            <w:tcBorders/>
            <w:shd w:fill="CCEEFF" w:val="clear"/>
            <w:vAlign w:val="center"/>
          </w:tcPr>
          <w:p>
            <w:pPr>
              <w:pStyle w:val="TableContents"/>
              <w:bidi w:val="0"/>
              <w:spacing w:before="0" w:after="283"/>
              <w:jc w:val="left"/>
              <w:rPr>
                <w:b/>
              </w:rPr>
            </w:pPr>
            <w:r>
              <w:rPr>
                <w:b/>
              </w:rPr>
              <w:t>Total revenues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373,123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421,912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183,976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203,630</w:t>
            </w:r>
          </w:p>
        </w:tc>
        <w:tc>
          <w:tcPr>
            <w:tcW w:w="116" w:type="dxa"/>
            <w:tcBorders/>
            <w:shd w:fill="CCEEFF" w:val="clear"/>
            <w:vAlign w:val="center"/>
          </w:tcPr>
          <w:p>
            <w:pPr>
              <w:pStyle w:val="TableContents"/>
              <w:bidi w:val="0"/>
              <w:spacing w:before="0" w:after="283"/>
              <w:jc w:val="left"/>
              <w:rPr/>
            </w:pPr>
            <w:r>
              <w:rPr/>
              <w:t> </w:t>
            </w:r>
          </w:p>
        </w:tc>
      </w:tr>
      <w:tr>
        <w:trPr/>
        <w:tc>
          <w:tcPr>
            <w:tcW w:w="3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3220" w:type="dxa"/>
            <w:tcBorders/>
            <w:shd w:fill="CCEEFF" w:val="clear"/>
            <w:vAlign w:val="center"/>
          </w:tcPr>
          <w:p>
            <w:pPr>
              <w:pStyle w:val="TableContents"/>
              <w:bidi w:val="0"/>
              <w:spacing w:before="0" w:after="283"/>
              <w:jc w:val="left"/>
              <w:rPr>
                <w:b/>
              </w:rPr>
            </w:pPr>
            <w:r>
              <w:rPr>
                <w:b/>
              </w:rPr>
              <w:t>Cost of revenues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3220" w:type="dxa"/>
            <w:tcBorders/>
            <w:shd w:fill="FFFFFF" w:val="clear"/>
            <w:vAlign w:val="center"/>
          </w:tcPr>
          <w:p>
            <w:pPr>
              <w:pStyle w:val="TableContents"/>
              <w:bidi w:val="0"/>
              <w:spacing w:before="0" w:after="283"/>
              <w:jc w:val="left"/>
              <w:rPr/>
            </w:pPr>
            <w:r>
              <w:rPr/>
              <w:t>Compensation and benefits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(39,753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(32,655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(20,691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(15,640</w:t>
            </w:r>
          </w:p>
        </w:tc>
        <w:tc>
          <w:tcPr>
            <w:tcW w:w="116" w:type="dxa"/>
            <w:tcBorders/>
            <w:shd w:fill="FFFFFF" w:val="clear"/>
            <w:vAlign w:val="center"/>
          </w:tcPr>
          <w:p>
            <w:pPr>
              <w:pStyle w:val="TableContents"/>
              <w:bidi w:val="0"/>
              <w:spacing w:before="0" w:after="283"/>
              <w:jc w:val="left"/>
              <w:rPr/>
            </w:pPr>
            <w:r>
              <w:rPr/>
              <w:t>)</w:t>
            </w:r>
          </w:p>
        </w:tc>
      </w:tr>
      <w:tr>
        <w:trPr/>
        <w:tc>
          <w:tcPr>
            <w:tcW w:w="3220" w:type="dxa"/>
            <w:tcBorders/>
            <w:shd w:fill="CCEEFF" w:val="clear"/>
            <w:vAlign w:val="center"/>
          </w:tcPr>
          <w:p>
            <w:pPr>
              <w:pStyle w:val="TableContents"/>
              <w:bidi w:val="0"/>
              <w:spacing w:before="0" w:after="283"/>
              <w:jc w:val="left"/>
              <w:rPr/>
            </w:pPr>
            <w:r>
              <w:rPr/>
              <w:t>Upkeep of plant and materials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(169,126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(159,072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(86,163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(81,852</w:t>
            </w:r>
          </w:p>
        </w:tc>
        <w:tc>
          <w:tcPr>
            <w:tcW w:w="116" w:type="dxa"/>
            <w:tcBorders/>
            <w:shd w:fill="CCEEFF" w:val="clear"/>
            <w:vAlign w:val="center"/>
          </w:tcPr>
          <w:p>
            <w:pPr>
              <w:pStyle w:val="TableContents"/>
              <w:bidi w:val="0"/>
              <w:spacing w:before="0" w:after="283"/>
              <w:jc w:val="left"/>
              <w:rPr/>
            </w:pPr>
            <w:r>
              <w:rPr/>
              <w:t>)</w:t>
            </w:r>
          </w:p>
        </w:tc>
      </w:tr>
      <w:tr>
        <w:trPr/>
        <w:tc>
          <w:tcPr>
            <w:tcW w:w="3220" w:type="dxa"/>
            <w:tcBorders/>
            <w:shd w:fill="FFFFFF" w:val="clear"/>
            <w:vAlign w:val="center"/>
          </w:tcPr>
          <w:p>
            <w:pPr>
              <w:pStyle w:val="TableContents"/>
              <w:bidi w:val="0"/>
              <w:spacing w:before="0" w:after="283"/>
              <w:jc w:val="left"/>
              <w:rPr/>
            </w:pPr>
            <w:r>
              <w:rPr/>
              <w:t>Other cost of revenues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(51,107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(65,173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(30,834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(29,392</w:t>
            </w:r>
          </w:p>
        </w:tc>
        <w:tc>
          <w:tcPr>
            <w:tcW w:w="116" w:type="dxa"/>
            <w:tcBorders/>
            <w:shd w:fill="FFFFFF" w:val="clear"/>
            <w:vAlign w:val="center"/>
          </w:tcPr>
          <w:p>
            <w:pPr>
              <w:pStyle w:val="TableContents"/>
              <w:bidi w:val="0"/>
              <w:spacing w:before="0" w:after="283"/>
              <w:jc w:val="left"/>
              <w:rPr/>
            </w:pPr>
            <w:r>
              <w:rPr/>
              <w:t>)</w:t>
            </w:r>
          </w:p>
        </w:tc>
      </w:tr>
      <w:tr>
        <w:trPr/>
        <w:tc>
          <w:tcPr>
            <w:tcW w:w="3220" w:type="dxa"/>
            <w:tcBorders/>
            <w:shd w:fill="CCEEFF" w:val="clear"/>
            <w:vAlign w:val="center"/>
          </w:tcPr>
          <w:p>
            <w:pPr>
              <w:pStyle w:val="TableContents"/>
              <w:bidi w:val="0"/>
              <w:spacing w:before="0" w:after="283"/>
              <w:jc w:val="left"/>
              <w:rPr>
                <w:b/>
              </w:rPr>
            </w:pPr>
            <w:r>
              <w:rPr>
                <w:b/>
              </w:rPr>
              <w:t>Total cost of revenues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(259,986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(256,900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(137,688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(126,884</w:t>
            </w:r>
          </w:p>
        </w:tc>
        <w:tc>
          <w:tcPr>
            <w:tcW w:w="116" w:type="dxa"/>
            <w:tcBorders/>
            <w:shd w:fill="CCEEFF" w:val="clear"/>
            <w:vAlign w:val="center"/>
          </w:tcPr>
          <w:p>
            <w:pPr>
              <w:pStyle w:val="TableContents"/>
              <w:bidi w:val="0"/>
              <w:spacing w:before="0" w:after="283"/>
              <w:jc w:val="left"/>
              <w:rPr>
                <w:b/>
              </w:rPr>
            </w:pPr>
            <w:r>
              <w:rPr>
                <w:b/>
              </w:rPr>
              <w:t>)</w:t>
            </w:r>
          </w:p>
        </w:tc>
      </w:tr>
      <w:tr>
        <w:trPr/>
        <w:tc>
          <w:tcPr>
            <w:tcW w:w="3220" w:type="dxa"/>
            <w:tcBorders/>
            <w:shd w:fill="FFFFFF" w:val="clear"/>
            <w:vAlign w:val="center"/>
          </w:tcPr>
          <w:p>
            <w:pPr>
              <w:pStyle w:val="TableContents"/>
              <w:bidi w:val="0"/>
              <w:spacing w:before="0" w:after="283"/>
              <w:jc w:val="left"/>
              <w:rPr>
                <w:b/>
              </w:rPr>
            </w:pPr>
            <w:r>
              <w:rPr>
                <w:b/>
              </w:rPr>
              <w:t>Gross profit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113,137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165,012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46,288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76,746</w:t>
            </w:r>
          </w:p>
        </w:tc>
        <w:tc>
          <w:tcPr>
            <w:tcW w:w="116" w:type="dxa"/>
            <w:tcBorders/>
            <w:shd w:fill="FFFFFF" w:val="clear"/>
            <w:vAlign w:val="center"/>
          </w:tcPr>
          <w:p>
            <w:pPr>
              <w:pStyle w:val="TableContents"/>
              <w:bidi w:val="0"/>
              <w:spacing w:before="0" w:after="283"/>
              <w:jc w:val="left"/>
              <w:rPr/>
            </w:pPr>
            <w:r>
              <w:rPr/>
              <w:t> </w:t>
            </w:r>
          </w:p>
        </w:tc>
      </w:tr>
      <w:tr>
        <w:trPr/>
        <w:tc>
          <w:tcPr>
            <w:tcW w:w="3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3220"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3220" w:type="dxa"/>
            <w:tcBorders/>
            <w:shd w:fill="CCEEFF" w:val="clear"/>
            <w:vAlign w:val="center"/>
          </w:tcPr>
          <w:p>
            <w:pPr>
              <w:pStyle w:val="TableContents"/>
              <w:bidi w:val="0"/>
              <w:spacing w:before="0" w:after="283"/>
              <w:jc w:val="left"/>
              <w:rPr/>
            </w:pPr>
            <w:r>
              <w:rPr/>
              <w:t>Selling and distribution costs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(24,832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(803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(324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(408</w:t>
            </w:r>
          </w:p>
        </w:tc>
        <w:tc>
          <w:tcPr>
            <w:tcW w:w="116" w:type="dxa"/>
            <w:tcBorders/>
            <w:shd w:fill="CCEEFF" w:val="clear"/>
            <w:vAlign w:val="center"/>
          </w:tcPr>
          <w:p>
            <w:pPr>
              <w:pStyle w:val="TableContents"/>
              <w:bidi w:val="0"/>
              <w:spacing w:before="0" w:after="283"/>
              <w:jc w:val="left"/>
              <w:rPr/>
            </w:pPr>
            <w:r>
              <w:rPr/>
              <w:t>)</w:t>
            </w:r>
          </w:p>
        </w:tc>
      </w:tr>
      <w:tr>
        <w:trPr/>
        <w:tc>
          <w:tcPr>
            <w:tcW w:w="322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7</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(96,504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(92,277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(48,114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(44,090</w:t>
            </w:r>
          </w:p>
        </w:tc>
        <w:tc>
          <w:tcPr>
            <w:tcW w:w="116" w:type="dxa"/>
            <w:tcBorders/>
            <w:shd w:fill="FFFFFF" w:val="clear"/>
            <w:vAlign w:val="center"/>
          </w:tcPr>
          <w:p>
            <w:pPr>
              <w:pStyle w:val="TableContents"/>
              <w:bidi w:val="0"/>
              <w:spacing w:before="0" w:after="283"/>
              <w:jc w:val="left"/>
              <w:rPr/>
            </w:pPr>
            <w:r>
              <w:rPr/>
              <w:t>)</w:t>
            </w:r>
          </w:p>
        </w:tc>
      </w:tr>
      <w:tr>
        <w:trPr/>
        <w:tc>
          <w:tcPr>
            <w:tcW w:w="3220" w:type="dxa"/>
            <w:tcBorders/>
            <w:shd w:fill="CCEEFF" w:val="clear"/>
            <w:vAlign w:val="center"/>
          </w:tcPr>
          <w:p>
            <w:pPr>
              <w:pStyle w:val="TableContents"/>
              <w:bidi w:val="0"/>
              <w:spacing w:before="0" w:after="283"/>
              <w:jc w:val="left"/>
              <w:rPr/>
            </w:pPr>
            <w:r>
              <w:rPr/>
              <w:t>Compensation and benefits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(55,104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(50,839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(28,433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(23,919</w:t>
            </w:r>
          </w:p>
        </w:tc>
        <w:tc>
          <w:tcPr>
            <w:tcW w:w="116" w:type="dxa"/>
            <w:tcBorders/>
            <w:shd w:fill="CCEEFF" w:val="clear"/>
            <w:vAlign w:val="center"/>
          </w:tcPr>
          <w:p>
            <w:pPr>
              <w:pStyle w:val="TableContents"/>
              <w:bidi w:val="0"/>
              <w:spacing w:before="0" w:after="283"/>
              <w:jc w:val="left"/>
              <w:rPr/>
            </w:pPr>
            <w:r>
              <w:rPr/>
              <w:t>)</w:t>
            </w:r>
          </w:p>
        </w:tc>
      </w:tr>
      <w:tr>
        <w:trPr/>
        <w:tc>
          <w:tcPr>
            <w:tcW w:w="3220" w:type="dxa"/>
            <w:tcBorders/>
            <w:shd w:fill="FFFFFF" w:val="clear"/>
            <w:vAlign w:val="center"/>
          </w:tcPr>
          <w:p>
            <w:pPr>
              <w:pStyle w:val="TableContents"/>
              <w:bidi w:val="0"/>
              <w:spacing w:before="0" w:after="283"/>
              <w:jc w:val="left"/>
              <w:rPr/>
            </w:pPr>
            <w:r>
              <w:rPr/>
              <w:t>Professional fees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(45,030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(345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(24,157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(63</w:t>
            </w:r>
          </w:p>
        </w:tc>
        <w:tc>
          <w:tcPr>
            <w:tcW w:w="116" w:type="dxa"/>
            <w:tcBorders/>
            <w:shd w:fill="FFFFFF" w:val="clear"/>
            <w:vAlign w:val="center"/>
          </w:tcPr>
          <w:p>
            <w:pPr>
              <w:pStyle w:val="TableContents"/>
              <w:bidi w:val="0"/>
              <w:spacing w:before="0" w:after="283"/>
              <w:jc w:val="left"/>
              <w:rPr/>
            </w:pPr>
            <w:r>
              <w:rPr/>
              <w:t>)</w:t>
            </w:r>
          </w:p>
        </w:tc>
      </w:tr>
      <w:tr>
        <w:trPr/>
        <w:tc>
          <w:tcPr>
            <w:tcW w:w="3220"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(23,544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(19,101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(13,406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(9,292</w:t>
            </w:r>
          </w:p>
        </w:tc>
        <w:tc>
          <w:tcPr>
            <w:tcW w:w="116" w:type="dxa"/>
            <w:tcBorders/>
            <w:shd w:fill="CCEEFF" w:val="clear"/>
            <w:vAlign w:val="center"/>
          </w:tcPr>
          <w:p>
            <w:pPr>
              <w:pStyle w:val="TableContents"/>
              <w:bidi w:val="0"/>
              <w:spacing w:before="0" w:after="283"/>
              <w:jc w:val="left"/>
              <w:rPr/>
            </w:pPr>
            <w:r>
              <w:rPr/>
              <w:t>)</w:t>
            </w:r>
          </w:p>
        </w:tc>
      </w:tr>
      <w:tr>
        <w:trPr/>
        <w:tc>
          <w:tcPr>
            <w:tcW w:w="3220" w:type="dxa"/>
            <w:tcBorders/>
            <w:shd w:fill="FFFFFF" w:val="clear"/>
            <w:vAlign w:val="center"/>
          </w:tcPr>
          <w:p>
            <w:pPr>
              <w:pStyle w:val="TableContents"/>
              <w:bidi w:val="0"/>
              <w:spacing w:before="0" w:after="283"/>
              <w:jc w:val="left"/>
              <w:rPr/>
            </w:pPr>
            <w:r>
              <w:rPr/>
              <w:t>Loss on disposal of equity interest in subsidiary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(1,904,424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(1,919,251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p>
        </w:tc>
      </w:tr>
      <w:tr>
        <w:trPr/>
        <w:tc>
          <w:tcPr>
            <w:tcW w:w="3220" w:type="dxa"/>
            <w:tcBorders/>
            <w:shd w:fill="CCEEFF" w:val="clear"/>
            <w:vAlign w:val="center"/>
          </w:tcPr>
          <w:p>
            <w:pPr>
              <w:pStyle w:val="TableContents"/>
              <w:bidi w:val="0"/>
              <w:spacing w:before="0" w:after="283"/>
              <w:jc w:val="left"/>
              <w:rPr/>
            </w:pPr>
            <w:r>
              <w:rPr/>
              <w:t>Impairment on financial assets / ECL</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2,452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 </w:t>
            </w:r>
          </w:p>
        </w:tc>
      </w:tr>
      <w:tr>
        <w:trPr/>
        <w:tc>
          <w:tcPr>
            <w:tcW w:w="322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(2,146,986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(163,365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(2,033,685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(77,772</w:t>
            </w:r>
          </w:p>
        </w:tc>
        <w:tc>
          <w:tcPr>
            <w:tcW w:w="116" w:type="dxa"/>
            <w:tcBorders/>
            <w:shd w:fill="FFFFFF" w:val="clear"/>
            <w:vAlign w:val="center"/>
          </w:tcPr>
          <w:p>
            <w:pPr>
              <w:pStyle w:val="TableContents"/>
              <w:bidi w:val="0"/>
              <w:spacing w:before="0" w:after="283"/>
              <w:jc w:val="left"/>
              <w:rPr>
                <w:b/>
              </w:rPr>
            </w:pPr>
            <w:r>
              <w:rPr>
                <w:b/>
              </w:rPr>
              <w:t>)</w:t>
            </w:r>
          </w:p>
        </w:tc>
      </w:tr>
      <w:tr>
        <w:trPr/>
        <w:tc>
          <w:tcPr>
            <w:tcW w:w="3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3220" w:type="dxa"/>
            <w:tcBorders/>
            <w:shd w:fill="FFFFFF" w:val="clear"/>
            <w:vAlign w:val="center"/>
          </w:tcPr>
          <w:p>
            <w:pPr>
              <w:pStyle w:val="TableContents"/>
              <w:bidi w:val="0"/>
              <w:spacing w:before="0" w:after="283"/>
              <w:jc w:val="left"/>
              <w:rPr>
                <w:b/>
              </w:rPr>
            </w:pPr>
            <w:r>
              <w:rPr>
                <w:b/>
              </w:rPr>
              <w:t>Operating loss from continuing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(2,033,849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(1,987,397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(1,026</w:t>
            </w:r>
          </w:p>
        </w:tc>
        <w:tc>
          <w:tcPr>
            <w:tcW w:w="116" w:type="dxa"/>
            <w:tcBorders/>
            <w:shd w:fill="FFFFFF" w:val="clear"/>
            <w:vAlign w:val="center"/>
          </w:tcPr>
          <w:p>
            <w:pPr>
              <w:pStyle w:val="TableContents"/>
              <w:bidi w:val="0"/>
              <w:spacing w:before="0" w:after="283"/>
              <w:jc w:val="left"/>
              <w:rPr/>
            </w:pPr>
            <w:r>
              <w:rPr/>
              <w:t> </w:t>
            </w:r>
          </w:p>
        </w:tc>
      </w:tr>
      <w:tr>
        <w:trPr/>
        <w:tc>
          <w:tcPr>
            <w:tcW w:w="3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3220" w:type="dxa"/>
            <w:tcBorders/>
            <w:shd w:fill="FFFFFF" w:val="clear"/>
            <w:vAlign w:val="center"/>
          </w:tcPr>
          <w:p>
            <w:pPr>
              <w:pStyle w:val="TableContents"/>
              <w:bidi w:val="0"/>
              <w:spacing w:before="0" w:after="283"/>
              <w:jc w:val="left"/>
              <w:rPr>
                <w:b/>
              </w:rPr>
            </w:pPr>
            <w:r>
              <w:rPr>
                <w:b/>
              </w:rPr>
              <w:t>Other income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3220" w:type="dxa"/>
            <w:tcBorders/>
            <w:shd w:fill="CCEEFF" w:val="clear"/>
            <w:vAlign w:val="center"/>
          </w:tcPr>
          <w:p>
            <w:pPr>
              <w:pStyle w:val="TableContents"/>
              <w:bidi w:val="0"/>
              <w:spacing w:before="0" w:after="283"/>
              <w:jc w:val="left"/>
              <w:rPr/>
            </w:pPr>
            <w:r>
              <w:rPr/>
              <w:t>Waiver of debts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1,926,508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1,941,507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 </w:t>
            </w:r>
          </w:p>
        </w:tc>
      </w:tr>
      <w:tr>
        <w:trPr/>
        <w:tc>
          <w:tcPr>
            <w:tcW w:w="3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income, net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1,926,508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1,941,507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 </w:t>
            </w:r>
          </w:p>
        </w:tc>
      </w:tr>
      <w:tr>
        <w:trPr/>
        <w:tc>
          <w:tcPr>
            <w:tcW w:w="3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3220" w:type="dxa"/>
            <w:tcBorders/>
            <w:shd w:fill="CCEEFF" w:val="clear"/>
            <w:vAlign w:val="center"/>
          </w:tcPr>
          <w:p>
            <w:pPr>
              <w:pStyle w:val="TableContents"/>
              <w:bidi w:val="0"/>
              <w:spacing w:before="0" w:after="283"/>
              <w:jc w:val="left"/>
              <w:rPr>
                <w:b/>
              </w:rPr>
            </w:pPr>
            <w:r>
              <w:rPr>
                <w:b/>
              </w:rPr>
              <w:t>Income / (loss) before income taxes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b/>
              </w:rPr>
            </w:pPr>
            <w:r>
              <w:rPr>
                <w:b/>
              </w:rPr>
              <w:t>(107,341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b/>
              </w:rPr>
            </w:pPr>
            <w:r>
              <w:rPr>
                <w:b/>
              </w:rPr>
              <w:t>1,647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b/>
              </w:rPr>
            </w:pPr>
            <w:r>
              <w:rPr>
                <w:b/>
              </w:rPr>
              <w:t>(45,890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b/>
              </w:rPr>
            </w:pPr>
            <w:r>
              <w:rPr>
                <w:b/>
              </w:rPr>
              <w:t>(1,026</w:t>
            </w:r>
          </w:p>
        </w:tc>
        <w:tc>
          <w:tcPr>
            <w:tcW w:w="116" w:type="dxa"/>
            <w:tcBorders/>
            <w:shd w:fill="CCEEFF" w:val="clear"/>
            <w:vAlign w:val="center"/>
          </w:tcPr>
          <w:p>
            <w:pPr>
              <w:pStyle w:val="TableContents"/>
              <w:bidi w:val="0"/>
              <w:spacing w:before="0" w:after="283"/>
              <w:jc w:val="left"/>
              <w:rPr/>
            </w:pPr>
            <w:r>
              <w:rPr/>
              <w:t> </w:t>
            </w:r>
          </w:p>
        </w:tc>
      </w:tr>
      <w:tr>
        <w:trPr/>
        <w:tc>
          <w:tcPr>
            <w:tcW w:w="3220" w:type="dxa"/>
            <w:tcBorders/>
            <w:shd w:fill="FFFFFF" w:val="clear"/>
            <w:vAlign w:val="center"/>
          </w:tcPr>
          <w:p>
            <w:pPr>
              <w:pStyle w:val="TableContents"/>
              <w:bidi w:val="0"/>
              <w:spacing w:before="0" w:after="283"/>
              <w:jc w:val="left"/>
              <w:rPr/>
            </w:pPr>
            <w:r>
              <w:rPr/>
              <w:t>Income tax provision</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p>
        </w:tc>
      </w:tr>
      <w:tr>
        <w:trPr/>
        <w:tc>
          <w:tcPr>
            <w:tcW w:w="3220" w:type="dxa"/>
            <w:tcBorders/>
            <w:shd w:fill="CCEEFF" w:val="clear"/>
            <w:vAlign w:val="center"/>
          </w:tcPr>
          <w:p>
            <w:pPr>
              <w:pStyle w:val="TableContents"/>
              <w:bidi w:val="0"/>
              <w:spacing w:before="0" w:after="283"/>
              <w:jc w:val="left"/>
              <w:rPr>
                <w:b/>
              </w:rPr>
            </w:pPr>
            <w:r>
              <w:rPr>
                <w:b/>
              </w:rPr>
              <w:t>Net income / (loss) from 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(107,341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1,647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(45,890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(1,026</w:t>
            </w:r>
          </w:p>
        </w:tc>
        <w:tc>
          <w:tcPr>
            <w:tcW w:w="116" w:type="dxa"/>
            <w:tcBorders/>
            <w:shd w:fill="CCEEFF" w:val="clear"/>
            <w:vAlign w:val="center"/>
          </w:tcPr>
          <w:p>
            <w:pPr>
              <w:pStyle w:val="TableContents"/>
              <w:bidi w:val="0"/>
              <w:spacing w:before="0" w:after="283"/>
              <w:jc w:val="left"/>
              <w:rPr/>
            </w:pPr>
            <w:r>
              <w:rPr/>
              <w:t> </w:t>
            </w:r>
          </w:p>
        </w:tc>
      </w:tr>
      <w:tr>
        <w:trPr/>
        <w:tc>
          <w:tcPr>
            <w:tcW w:w="3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3220" w:type="dxa"/>
            <w:tcBorders/>
            <w:shd w:fill="CCEEFF" w:val="clear"/>
            <w:vAlign w:val="center"/>
          </w:tcPr>
          <w:p>
            <w:pPr>
              <w:pStyle w:val="TableContents"/>
              <w:bidi w:val="0"/>
              <w:spacing w:before="0" w:after="283"/>
              <w:jc w:val="left"/>
              <w:rPr>
                <w:b/>
              </w:rPr>
            </w:pPr>
            <w:r>
              <w:rPr>
                <w:b/>
              </w:rPr>
              <w:t>DISCONTINUED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3220" w:type="dxa"/>
            <w:tcBorders/>
            <w:shd w:fill="FFFFFF" w:val="clear"/>
            <w:vAlign w:val="center"/>
          </w:tcPr>
          <w:p>
            <w:pPr>
              <w:pStyle w:val="TableContents"/>
              <w:bidi w:val="0"/>
              <w:spacing w:before="0" w:after="283"/>
              <w:jc w:val="left"/>
              <w:rPr>
                <w:i/>
              </w:rPr>
            </w:pPr>
            <w:r>
              <w:rPr>
                <w:i/>
              </w:rPr>
              <w:t>Net income from discontinued operations, net of tax</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p>
        </w:tc>
      </w:tr>
      <w:tr>
        <w:trPr/>
        <w:tc>
          <w:tcPr>
            <w:tcW w:w="3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3220" w:type="dxa"/>
            <w:tcBorders/>
            <w:shd w:fill="FFFFFF" w:val="clear"/>
            <w:vAlign w:val="center"/>
          </w:tcPr>
          <w:p>
            <w:pPr>
              <w:pStyle w:val="TableContents"/>
              <w:bidi w:val="0"/>
              <w:spacing w:before="0" w:after="283"/>
              <w:jc w:val="left"/>
              <w:rPr>
                <w:b/>
              </w:rPr>
            </w:pPr>
            <w:r>
              <w:rPr>
                <w:b/>
              </w:rPr>
              <w:t>NET INCOME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(107,341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(45,890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(1,026</w:t>
            </w:r>
          </w:p>
        </w:tc>
        <w:tc>
          <w:tcPr>
            <w:tcW w:w="116" w:type="dxa"/>
            <w:tcBorders/>
            <w:shd w:fill="FFFFFF" w:val="clear"/>
            <w:vAlign w:val="center"/>
          </w:tcPr>
          <w:p>
            <w:pPr>
              <w:pStyle w:val="TableContents"/>
              <w:bidi w:val="0"/>
              <w:spacing w:before="0" w:after="283"/>
              <w:jc w:val="left"/>
              <w:rPr>
                <w:b/>
              </w:rPr>
            </w:pPr>
            <w:r>
              <w:rPr>
                <w:b/>
              </w:rPr>
              <w:t>)</w:t>
            </w:r>
          </w:p>
        </w:tc>
      </w:tr>
      <w:tr>
        <w:trPr/>
        <w:tc>
          <w:tcPr>
            <w:tcW w:w="322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INCOME (LOSS)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(107,341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(45,890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(1,026</w:t>
            </w:r>
          </w:p>
        </w:tc>
        <w:tc>
          <w:tcPr>
            <w:tcW w:w="116" w:type="dxa"/>
            <w:tcBorders/>
            <w:shd w:fill="FFFFFF" w:val="clear"/>
            <w:vAlign w:val="center"/>
          </w:tcPr>
          <w:p>
            <w:pPr>
              <w:pStyle w:val="TableContents"/>
              <w:bidi w:val="0"/>
              <w:spacing w:before="0" w:after="283"/>
              <w:jc w:val="left"/>
              <w:rPr>
                <w:b/>
              </w:rPr>
            </w:pPr>
            <w:r>
              <w:rPr>
                <w:b/>
              </w:rPr>
              <w:t>)</w:t>
            </w:r>
          </w:p>
        </w:tc>
      </w:tr>
      <w:tr>
        <w:trPr/>
        <w:tc>
          <w:tcPr>
            <w:tcW w:w="3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3220" w:type="dxa"/>
            <w:tcBorders/>
            <w:shd w:fill="FFFFFF" w:val="clear"/>
            <w:vAlign w:val="center"/>
          </w:tcPr>
          <w:p>
            <w:pPr>
              <w:pStyle w:val="TableContents"/>
              <w:bidi w:val="0"/>
              <w:spacing w:before="0" w:after="283"/>
              <w:jc w:val="left"/>
              <w:rPr>
                <w:b/>
              </w:rPr>
            </w:pPr>
            <w:r>
              <w:rPr>
                <w:b/>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3220" w:type="dxa"/>
            <w:tcBorders/>
            <w:shd w:fill="CCEEFF" w:val="clear"/>
            <w:vAlign w:val="center"/>
          </w:tcPr>
          <w:p>
            <w:pPr>
              <w:pStyle w:val="TableContents"/>
              <w:bidi w:val="0"/>
              <w:spacing w:before="0" w:after="283"/>
              <w:jc w:val="left"/>
              <w:rPr/>
            </w:pPr>
            <w:r>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(96,372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(137,614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(28,493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(119,311</w:t>
            </w:r>
          </w:p>
        </w:tc>
        <w:tc>
          <w:tcPr>
            <w:tcW w:w="116" w:type="dxa"/>
            <w:tcBorders/>
            <w:shd w:fill="CCEEFF" w:val="clear"/>
            <w:vAlign w:val="center"/>
          </w:tcPr>
          <w:p>
            <w:pPr>
              <w:pStyle w:val="TableContents"/>
              <w:bidi w:val="0"/>
              <w:spacing w:before="0" w:after="283"/>
              <w:jc w:val="left"/>
              <w:rPr/>
            </w:pPr>
            <w:r>
              <w:rPr/>
              <w:t>)</w:t>
            </w:r>
          </w:p>
        </w:tc>
      </w:tr>
      <w:tr>
        <w:trPr/>
        <w:tc>
          <w:tcPr>
            <w:tcW w:w="3220" w:type="dxa"/>
            <w:tcBorders/>
            <w:shd w:fill="FFFFFF" w:val="clear"/>
            <w:vAlign w:val="center"/>
          </w:tcPr>
          <w:p>
            <w:pPr>
              <w:pStyle w:val="TableContents"/>
              <w:bidi w:val="0"/>
              <w:spacing w:before="0" w:after="283"/>
              <w:jc w:val="left"/>
              <w:rPr>
                <w:b/>
              </w:rPr>
            </w:pPr>
            <w:r>
              <w:rPr>
                <w:b/>
              </w:rPr>
              <w:t>Total comprehensive income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(203,713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(135,967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(74,383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(120,337</w:t>
            </w:r>
          </w:p>
        </w:tc>
        <w:tc>
          <w:tcPr>
            <w:tcW w:w="116" w:type="dxa"/>
            <w:tcBorders/>
            <w:shd w:fill="FFFFFF" w:val="clear"/>
            <w:vAlign w:val="center"/>
          </w:tcPr>
          <w:p>
            <w:pPr>
              <w:pStyle w:val="TableContents"/>
              <w:bidi w:val="0"/>
              <w:spacing w:before="0" w:after="283"/>
              <w:jc w:val="left"/>
              <w:rPr>
                <w:b/>
              </w:rPr>
            </w:pPr>
            <w:r>
              <w:rPr>
                <w:b/>
              </w:rPr>
              <w:t>)</w:t>
            </w:r>
          </w:p>
        </w:tc>
      </w:tr>
      <w:tr>
        <w:trPr/>
        <w:tc>
          <w:tcPr>
            <w:tcW w:w="3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3220" w:type="dxa"/>
            <w:tcBorders/>
            <w:shd w:fill="FFFFFF" w:val="clear"/>
            <w:vAlign w:val="center"/>
          </w:tcPr>
          <w:p>
            <w:pPr>
              <w:pStyle w:val="TableContents"/>
              <w:bidi w:val="0"/>
              <w:spacing w:before="0" w:after="283"/>
              <w:jc w:val="left"/>
              <w:rPr>
                <w:b/>
              </w:rPr>
            </w:pPr>
            <w:r>
              <w:rPr>
                <w:b/>
              </w:rPr>
              <w:t>EARNINGS PER SHARE — basic and diluted*</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3220" w:type="dxa"/>
            <w:tcBorders/>
            <w:shd w:fill="CCEEFF" w:val="clear"/>
            <w:vAlign w:val="center"/>
          </w:tcPr>
          <w:p>
            <w:pPr>
              <w:pStyle w:val="TableContents"/>
              <w:bidi w:val="0"/>
              <w:spacing w:before="0" w:after="283"/>
              <w:jc w:val="left"/>
              <w:rPr/>
            </w:pPr>
            <w:r>
              <w:rPr/>
              <w:t>Continuing operations (USD per share)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(0.0038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0.0001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(0.0016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(0.0000</w:t>
            </w:r>
          </w:p>
        </w:tc>
        <w:tc>
          <w:tcPr>
            <w:tcW w:w="116" w:type="dxa"/>
            <w:tcBorders/>
            <w:shd w:fill="CCEEFF" w:val="clear"/>
            <w:vAlign w:val="center"/>
          </w:tcPr>
          <w:p>
            <w:pPr>
              <w:pStyle w:val="TableContents"/>
              <w:bidi w:val="0"/>
              <w:spacing w:before="0" w:after="283"/>
              <w:jc w:val="left"/>
              <w:rPr/>
            </w:pPr>
            <w:r>
              <w:rPr/>
              <w:t>)</w:t>
            </w:r>
          </w:p>
        </w:tc>
      </w:tr>
      <w:tr>
        <w:trPr/>
        <w:tc>
          <w:tcPr>
            <w:tcW w:w="3220" w:type="dxa"/>
            <w:tcBorders/>
            <w:shd w:fill="FFFFFF" w:val="clear"/>
            <w:vAlign w:val="center"/>
          </w:tcPr>
          <w:p>
            <w:pPr>
              <w:pStyle w:val="TableContents"/>
              <w:bidi w:val="0"/>
              <w:spacing w:before="0" w:after="283"/>
              <w:jc w:val="left"/>
              <w:rPr/>
            </w:pPr>
            <w:r>
              <w:rPr/>
              <w:t>Discontinued operations (USD per share)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rFonts w:ascii="Times New Roman;Times;Serif" w:hAnsi="Times New Roman;Times;Serif"/>
                <w:sz w:val="20"/>
              </w:rPr>
              <w:t>-</w:t>
            </w: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rFonts w:ascii="Times New Roman;Times;Serif" w:hAnsi="Times New Roman;Times;Serif"/>
                <w:sz w:val="20"/>
              </w:rPr>
              <w:t>-</w:t>
            </w: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p>
        </w:tc>
      </w:tr>
      <w:tr>
        <w:trPr/>
        <w:tc>
          <w:tcPr>
            <w:tcW w:w="3220" w:type="dxa"/>
            <w:tcBorders/>
            <w:shd w:fill="CCEEFF" w:val="clear"/>
            <w:vAlign w:val="center"/>
          </w:tcPr>
          <w:p>
            <w:pPr>
              <w:pStyle w:val="TableContents"/>
              <w:bidi w:val="0"/>
              <w:spacing w:before="0" w:after="283"/>
              <w:jc w:val="left"/>
              <w:rPr/>
            </w:pPr>
            <w:r>
              <w:rPr/>
              <w:t>Weighted average shares outstanding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28,000,000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28,000,000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28,000,000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28,000,000</w:t>
            </w:r>
          </w:p>
        </w:tc>
        <w:tc>
          <w:tcPr>
            <w:tcW w:w="11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155"/>
        <w:gridCol w:w="8285"/>
      </w:tblGrid>
      <w:tr>
        <w:trPr/>
        <w:tc>
          <w:tcPr>
            <w:tcW w:w="155" w:type="dxa"/>
            <w:tcBorders/>
            <w:vAlign w:val="center"/>
          </w:tcPr>
          <w:p>
            <w:pPr>
              <w:pStyle w:val="TableContents"/>
              <w:bidi w:val="0"/>
              <w:spacing w:before="0" w:after="283"/>
              <w:jc w:val="right"/>
              <w:rPr/>
            </w:pPr>
            <w:r>
              <w:rPr/>
              <w:t>*</w:t>
            </w:r>
          </w:p>
        </w:tc>
        <w:tc>
          <w:tcPr>
            <w:tcW w:w="82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potentially dilutive securities existed in any period presented. Basic and diluted EPS are identical.</w:t>
            </w:r>
          </w:p>
        </w:tc>
      </w:tr>
    </w:tbl>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6" w:name="am_003"/>
      <w:bookmarkEnd w:id="126"/>
      <w:r>
        <w:rPr>
          <w:rFonts w:ascii="Times New Roman;Times;Serif" w:hAnsi="Times New Roman;Times;Serif"/>
          <w:b/>
          <w:i w:val="false"/>
          <w:caps w:val="false"/>
          <w:smallCaps w:val="false"/>
          <w:sz w:val="20"/>
        </w:rPr>
        <w:t>FUTURE NRG SDN. BHD.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CHANGES IN STOCKHOLDERS’ EQUITY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23"/>
        <w:gridCol w:w="60"/>
        <w:gridCol w:w="84"/>
        <w:gridCol w:w="1372"/>
        <w:gridCol w:w="60"/>
        <w:gridCol w:w="60"/>
        <w:gridCol w:w="93"/>
        <w:gridCol w:w="1640"/>
        <w:gridCol w:w="151"/>
        <w:gridCol w:w="60"/>
        <w:gridCol w:w="103"/>
        <w:gridCol w:w="1389"/>
        <w:gridCol w:w="95"/>
        <w:gridCol w:w="60"/>
        <w:gridCol w:w="71"/>
        <w:gridCol w:w="1170"/>
        <w:gridCol w:w="114"/>
      </w:tblGrid>
      <w:tr>
        <w:trPr/>
        <w:tc>
          <w:tcPr>
            <w:tcW w:w="36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6"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33" w:type="dxa"/>
            <w:gridSpan w:val="2"/>
            <w:tcBorders/>
            <w:vAlign w:val="center"/>
          </w:tcPr>
          <w:p>
            <w:pPr>
              <w:pStyle w:val="TableContents"/>
              <w:bidi w:val="0"/>
              <w:spacing w:before="0" w:after="283"/>
              <w:jc w:val="center"/>
              <w:rPr>
                <w:b/>
              </w:rPr>
            </w:pPr>
            <w:r>
              <w:rPr>
                <w:b/>
              </w:rPr>
              <w:t>Retained</w:t>
            </w:r>
          </w:p>
        </w:tc>
        <w:tc>
          <w:tcPr>
            <w:tcW w:w="15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92"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1" w:type="dxa"/>
            <w:gridSpan w:val="2"/>
            <w:tcBorders/>
            <w:vAlign w:val="center"/>
          </w:tcPr>
          <w:p>
            <w:pPr>
              <w:pStyle w:val="TableContents"/>
              <w:bidi w:val="0"/>
              <w:spacing w:before="0" w:after="283"/>
              <w:jc w:val="center"/>
              <w:rPr/>
            </w:pPr>
            <w:r>
              <w:rPr/>
              <w:t> </w:t>
            </w:r>
          </w:p>
        </w:tc>
        <w:tc>
          <w:tcPr>
            <w:tcW w:w="114" w:type="dxa"/>
            <w:tcBorders/>
            <w:vAlign w:val="center"/>
          </w:tcPr>
          <w:p>
            <w:pPr>
              <w:pStyle w:val="TableContents"/>
              <w:bidi w:val="0"/>
              <w:spacing w:before="0" w:after="283"/>
              <w:jc w:val="center"/>
              <w:rPr/>
            </w:pPr>
            <w:r>
              <w:rPr/>
              <w:t> </w:t>
            </w:r>
          </w:p>
        </w:tc>
      </w:tr>
      <w:tr>
        <w:trPr/>
        <w:tc>
          <w:tcPr>
            <w:tcW w:w="36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56" w:type="dxa"/>
            <w:gridSpan w:val="2"/>
            <w:tcBorders/>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33" w:type="dxa"/>
            <w:gridSpan w:val="2"/>
            <w:tcBorders/>
            <w:vAlign w:val="center"/>
          </w:tcPr>
          <w:p>
            <w:pPr>
              <w:pStyle w:val="TableContents"/>
              <w:bidi w:val="0"/>
              <w:spacing w:before="0" w:after="283"/>
              <w:jc w:val="center"/>
              <w:rPr>
                <w:b/>
              </w:rPr>
            </w:pPr>
            <w:r>
              <w:rPr>
                <w:b/>
              </w:rPr>
              <w:t>Earnings / (Deficit)</w:t>
            </w:r>
          </w:p>
        </w:tc>
        <w:tc>
          <w:tcPr>
            <w:tcW w:w="15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92" w:type="dxa"/>
            <w:gridSpan w:val="2"/>
            <w:tcBorders/>
            <w:vAlign w:val="center"/>
          </w:tcPr>
          <w:p>
            <w:pPr>
              <w:pStyle w:val="TableContents"/>
              <w:bidi w:val="0"/>
              <w:spacing w:before="0" w:after="283"/>
              <w:jc w:val="center"/>
              <w:rPr>
                <w:b/>
              </w:rPr>
            </w:pPr>
            <w:r>
              <w:rPr>
                <w:b/>
              </w:rPr>
              <w:t>AOCI / (AOCL)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1" w:type="dxa"/>
            <w:gridSpan w:val="2"/>
            <w:tcBorders/>
            <w:vAlign w:val="center"/>
          </w:tcPr>
          <w:p>
            <w:pPr>
              <w:pStyle w:val="TableContents"/>
              <w:bidi w:val="0"/>
              <w:spacing w:before="0" w:after="283"/>
              <w:jc w:val="center"/>
              <w:rPr>
                <w:b/>
              </w:rPr>
            </w:pPr>
            <w:r>
              <w:rPr>
                <w:b/>
              </w:rPr>
              <w:t>Total Equity</w:t>
            </w:r>
          </w:p>
        </w:tc>
        <w:tc>
          <w:tcPr>
            <w:tcW w:w="114" w:type="dxa"/>
            <w:tcBorders/>
            <w:vAlign w:val="center"/>
          </w:tcPr>
          <w:p>
            <w:pPr>
              <w:pStyle w:val="TableContents"/>
              <w:bidi w:val="0"/>
              <w:spacing w:before="0" w:after="283"/>
              <w:jc w:val="center"/>
              <w:rPr/>
            </w:pPr>
            <w:r>
              <w:rPr/>
              <w:t> </w:t>
            </w:r>
          </w:p>
        </w:tc>
      </w:tr>
      <w:tr>
        <w:trPr/>
        <w:tc>
          <w:tcPr>
            <w:tcW w:w="36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5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(USD)</w:t>
            </w:r>
          </w:p>
        </w:tc>
        <w:tc>
          <w:tcPr>
            <w:tcW w:w="15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9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(USD)</w:t>
            </w:r>
          </w:p>
        </w:tc>
        <w:tc>
          <w:tcPr>
            <w:tcW w:w="114" w:type="dxa"/>
            <w:tcBorders/>
            <w:vAlign w:val="center"/>
          </w:tcPr>
          <w:p>
            <w:pPr>
              <w:pStyle w:val="TableContents"/>
              <w:bidi w:val="0"/>
              <w:spacing w:before="0" w:after="283"/>
              <w:jc w:val="left"/>
              <w:rPr/>
            </w:pPr>
            <w:r>
              <w:rPr/>
              <w:t> </w:t>
            </w:r>
          </w:p>
        </w:tc>
      </w:tr>
      <w:tr>
        <w:trPr/>
        <w:tc>
          <w:tcPr>
            <w:tcW w:w="3623" w:type="dxa"/>
            <w:tcBorders/>
            <w:shd w:fill="CCEEFF" w:val="clear"/>
            <w:vAlign w:val="center"/>
          </w:tcPr>
          <w:p>
            <w:pPr>
              <w:pStyle w:val="TableContents"/>
              <w:bidi w:val="0"/>
              <w:spacing w:before="0" w:after="283"/>
              <w:jc w:val="left"/>
              <w:rPr>
                <w:b/>
              </w:rPr>
            </w:pPr>
            <w:r>
              <w:rPr>
                <w:b/>
              </w:rPr>
              <w:t>Balance, December 31, 2025</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b/>
              </w:rPr>
            </w:pPr>
            <w:r>
              <w:rPr>
                <w:b/>
              </w:rPr>
              <w:t>6,100,218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b/>
              </w:rPr>
            </w:pPr>
            <w:r>
              <w:rPr>
                <w:b/>
              </w:rPr>
              <w:t>(1,847,502</w:t>
            </w:r>
          </w:p>
        </w:tc>
        <w:tc>
          <w:tcPr>
            <w:tcW w:w="151"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b/>
              </w:rPr>
            </w:pPr>
            <w:r>
              <w:rPr>
                <w:b/>
              </w:rPr>
              <w:t>207,074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b/>
              </w:rPr>
            </w:pPr>
            <w:r>
              <w:rPr>
                <w:b/>
              </w:rPr>
              <w:t>4,459,790</w:t>
            </w:r>
          </w:p>
        </w:tc>
        <w:tc>
          <w:tcPr>
            <w:tcW w:w="114" w:type="dxa"/>
            <w:tcBorders/>
            <w:shd w:fill="CCEEFF" w:val="clear"/>
            <w:vAlign w:val="center"/>
          </w:tcPr>
          <w:p>
            <w:pPr>
              <w:pStyle w:val="TableContents"/>
              <w:bidi w:val="0"/>
              <w:spacing w:before="0" w:after="283"/>
              <w:jc w:val="left"/>
              <w:rPr/>
            </w:pPr>
            <w:r>
              <w:rPr/>
              <w:t> </w:t>
            </w:r>
          </w:p>
        </w:tc>
      </w:tr>
      <w:tr>
        <w:trPr/>
        <w:tc>
          <w:tcPr>
            <w:tcW w:w="3623"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b/>
              </w:rPr>
            </w:pPr>
            <w:r>
              <w:rPr>
                <w:b/>
              </w:rPr>
              <w:t>6,100,218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b/>
              </w:rPr>
            </w:pPr>
            <w:r>
              <w:rPr>
                <w:b/>
              </w:rPr>
              <w:t>(1,847,502</w:t>
            </w:r>
          </w:p>
        </w:tc>
        <w:tc>
          <w:tcPr>
            <w:tcW w:w="151"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b/>
              </w:rPr>
            </w:pPr>
            <w:r>
              <w:rPr>
                <w:b/>
              </w:rPr>
              <w:t>207,074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b/>
              </w:rPr>
            </w:pPr>
            <w:r>
              <w:rPr>
                <w:b/>
              </w:rPr>
              <w:t>4,459,790</w:t>
            </w:r>
          </w:p>
        </w:tc>
        <w:tc>
          <w:tcPr>
            <w:tcW w:w="114" w:type="dxa"/>
            <w:tcBorders/>
            <w:shd w:fill="CCEEFF" w:val="clear"/>
            <w:vAlign w:val="center"/>
          </w:tcPr>
          <w:p>
            <w:pPr>
              <w:pStyle w:val="TableContents"/>
              <w:bidi w:val="0"/>
              <w:spacing w:before="0" w:after="283"/>
              <w:jc w:val="left"/>
              <w:rPr/>
            </w:pPr>
            <w:r>
              <w:rPr/>
              <w:t> </w:t>
            </w:r>
          </w:p>
        </w:tc>
      </w:tr>
      <w:tr>
        <w:trPr/>
        <w:tc>
          <w:tcPr>
            <w:tcW w:w="3623" w:type="dxa"/>
            <w:tcBorders/>
            <w:shd w:fill="FFFFFF" w:val="clear"/>
            <w:vAlign w:val="center"/>
          </w:tcPr>
          <w:p>
            <w:pPr>
              <w:pStyle w:val="TableContents"/>
              <w:bidi w:val="0"/>
              <w:spacing w:before="0" w:after="283"/>
              <w:jc w:val="left"/>
              <w:rPr/>
            </w:pPr>
            <w:r>
              <w:rPr/>
              <w:t>Net loss for three months ended June 30, 2026</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3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pPr>
            <w:r>
              <w:rPr/>
              <w:t>(107,341</w:t>
            </w:r>
          </w:p>
        </w:tc>
        <w:tc>
          <w:tcPr>
            <w:tcW w:w="151"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(107,341</w:t>
            </w:r>
          </w:p>
        </w:tc>
        <w:tc>
          <w:tcPr>
            <w:tcW w:w="114" w:type="dxa"/>
            <w:tcBorders/>
            <w:shd w:fill="FFFFFF" w:val="clear"/>
            <w:vAlign w:val="center"/>
          </w:tcPr>
          <w:p>
            <w:pPr>
              <w:pStyle w:val="TableContents"/>
              <w:bidi w:val="0"/>
              <w:spacing w:before="0" w:after="283"/>
              <w:jc w:val="left"/>
              <w:rPr/>
            </w:pPr>
            <w:r>
              <w:rPr/>
              <w:t>)</w:t>
            </w:r>
          </w:p>
        </w:tc>
      </w:tr>
      <w:tr>
        <w:trPr/>
        <w:tc>
          <w:tcPr>
            <w:tcW w:w="3623"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3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pPr>
            <w:r>
              <w:rPr/>
              <w:t>(107,341</w:t>
            </w:r>
          </w:p>
        </w:tc>
        <w:tc>
          <w:tcPr>
            <w:tcW w:w="151"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(107,341</w:t>
            </w:r>
          </w:p>
        </w:tc>
        <w:tc>
          <w:tcPr>
            <w:tcW w:w="114" w:type="dxa"/>
            <w:tcBorders/>
            <w:shd w:fill="FFFFFF" w:val="clear"/>
            <w:vAlign w:val="center"/>
          </w:tcPr>
          <w:p>
            <w:pPr>
              <w:pStyle w:val="TableContents"/>
              <w:bidi w:val="0"/>
              <w:spacing w:before="0" w:after="283"/>
              <w:jc w:val="left"/>
              <w:rPr/>
            </w:pPr>
            <w:r>
              <w:rPr/>
              <w:t>)</w:t>
            </w:r>
          </w:p>
        </w:tc>
      </w:tr>
      <w:tr>
        <w:trPr/>
        <w:tc>
          <w:tcPr>
            <w:tcW w:w="3623" w:type="dxa"/>
            <w:tcBorders/>
            <w:shd w:fill="CCEEFF" w:val="clear"/>
            <w:vAlign w:val="center"/>
          </w:tcPr>
          <w:p>
            <w:pPr>
              <w:pStyle w:val="TableContents"/>
              <w:bidi w:val="0"/>
              <w:spacing w:before="0" w:after="283"/>
              <w:jc w:val="left"/>
              <w:rPr/>
            </w:pPr>
            <w:r>
              <w:rPr/>
              <w:t>Disposal of a subsidiary</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w:t>
            </w:r>
          </w:p>
        </w:tc>
        <w:tc>
          <w:tcPr>
            <w:tcW w:w="1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62,734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62,734</w:t>
            </w:r>
          </w:p>
        </w:tc>
        <w:tc>
          <w:tcPr>
            <w:tcW w:w="114" w:type="dxa"/>
            <w:tcBorders/>
            <w:shd w:fill="CCEEFF" w:val="clear"/>
            <w:vAlign w:val="center"/>
          </w:tcPr>
          <w:p>
            <w:pPr>
              <w:pStyle w:val="TableContents"/>
              <w:bidi w:val="0"/>
              <w:spacing w:before="0" w:after="283"/>
              <w:jc w:val="left"/>
              <w:rPr/>
            </w:pPr>
            <w:r>
              <w:rPr/>
              <w:t> </w:t>
            </w:r>
          </w:p>
        </w:tc>
      </w:tr>
      <w:tr>
        <w:trPr/>
        <w:tc>
          <w:tcPr>
            <w:tcW w:w="3623" w:type="dxa"/>
            <w:tcBorders/>
            <w:shd w:fill="FFFFFF" w:val="clear"/>
            <w:vAlign w:val="center"/>
          </w:tcPr>
          <w:p>
            <w:pPr>
              <w:pStyle w:val="TableContents"/>
              <w:bidi w:val="0"/>
              <w:spacing w:before="0" w:after="283"/>
              <w:jc w:val="left"/>
              <w:rPr/>
            </w:pPr>
            <w:r>
              <w:rPr/>
              <w:t>Foreign currency translation</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4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(96,372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8" w:space="0" w:color="000000"/>
            </w:tcBorders>
            <w:shd w:fill="FFFFFF" w:val="clear"/>
            <w:tcMar>
              <w:bottom w:w="28" w:type="dxa"/>
            </w:tcMar>
            <w:vAlign w:val="center"/>
          </w:tcPr>
          <w:p>
            <w:pPr>
              <w:pStyle w:val="TableContents"/>
              <w:bidi w:val="0"/>
              <w:spacing w:before="0" w:after="283"/>
              <w:jc w:val="right"/>
              <w:rPr/>
            </w:pPr>
            <w:r>
              <w:rPr/>
              <w:t>(96,372</w:t>
            </w:r>
          </w:p>
        </w:tc>
        <w:tc>
          <w:tcPr>
            <w:tcW w:w="114" w:type="dxa"/>
            <w:tcBorders/>
            <w:shd w:fill="FFFFFF" w:val="clear"/>
            <w:vAlign w:val="center"/>
          </w:tcPr>
          <w:p>
            <w:pPr>
              <w:pStyle w:val="TableContents"/>
              <w:bidi w:val="0"/>
              <w:spacing w:before="0" w:after="283"/>
              <w:jc w:val="left"/>
              <w:rPr/>
            </w:pPr>
            <w:r>
              <w:rPr/>
              <w:t>)</w:t>
            </w:r>
          </w:p>
        </w:tc>
      </w:tr>
      <w:tr>
        <w:trPr/>
        <w:tc>
          <w:tcPr>
            <w:tcW w:w="3623" w:type="dxa"/>
            <w:tcBorders/>
            <w:shd w:fill="CCEEFF" w:val="clear"/>
            <w:vAlign w:val="center"/>
          </w:tcPr>
          <w:p>
            <w:pPr>
              <w:pStyle w:val="TableContents"/>
              <w:bidi w:val="0"/>
              <w:spacing w:before="0" w:after="283"/>
              <w:jc w:val="left"/>
              <w:rPr>
                <w:b/>
              </w:rPr>
            </w:pPr>
            <w:r>
              <w:rPr>
                <w:b/>
              </w:rPr>
              <w:t>Balance, June 30, 2026 (Unaudited)</w:t>
            </w:r>
          </w:p>
        </w:tc>
        <w:tc>
          <w:tcPr>
            <w:tcW w:w="60" w:type="dxa"/>
            <w:tcBorders/>
            <w:shd w:fill="CCEEFF" w:val="clear"/>
            <w:vAlign w:val="center"/>
          </w:tcPr>
          <w:p>
            <w:pPr>
              <w:pStyle w:val="TableContents"/>
              <w:bidi w:val="0"/>
              <w:spacing w:before="0" w:after="283"/>
              <w:jc w:val="left"/>
              <w:rPr/>
            </w:pPr>
            <w:r>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6,100,218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4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(1,954,843</w:t>
            </w:r>
          </w:p>
        </w:tc>
        <w:tc>
          <w:tcPr>
            <w:tcW w:w="151"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173,436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4,318,811</w:t>
            </w:r>
          </w:p>
        </w:tc>
        <w:tc>
          <w:tcPr>
            <w:tcW w:w="114" w:type="dxa"/>
            <w:tcBorders/>
            <w:shd w:fill="CCEEFF" w:val="clear"/>
            <w:vAlign w:val="center"/>
          </w:tcPr>
          <w:p>
            <w:pPr>
              <w:pStyle w:val="TableContents"/>
              <w:bidi w:val="0"/>
              <w:spacing w:before="0" w:after="283"/>
              <w:jc w:val="left"/>
              <w:rPr/>
            </w:pPr>
            <w:r>
              <w:rPr/>
              <w:t> </w:t>
            </w:r>
          </w:p>
        </w:tc>
      </w:tr>
      <w:tr>
        <w:trPr/>
        <w:tc>
          <w:tcPr>
            <w:tcW w:w="3623"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6,100,218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4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(1,954,843</w:t>
            </w:r>
          </w:p>
        </w:tc>
        <w:tc>
          <w:tcPr>
            <w:tcW w:w="151"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173,436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4,318,811</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7" w:name="am_004"/>
      <w:bookmarkEnd w:id="127"/>
      <w:r>
        <w:rPr>
          <w:rFonts w:ascii="Times New Roman;Times;Serif" w:hAnsi="Times New Roman;Times;Serif"/>
          <w:b/>
          <w:i w:val="false"/>
          <w:caps w:val="false"/>
          <w:smallCaps w:val="false"/>
          <w:sz w:val="20"/>
        </w:rPr>
        <w:t>FUTURE NRG SDN. BHD.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CASH FLOWS</w:t>
      </w:r>
    </w:p>
    <w:p>
      <w:pPr>
        <w:pStyle w:val="TextBody"/>
        <w:bidi w:val="0"/>
        <w:spacing w:before="0" w:after="0"/>
        <w:ind w:left="0" w:right="0" w:hanging="0"/>
        <w:jc w:val="center"/>
        <w:rPr>
          <w:caps w:val="false"/>
          <w:smallCaps w:val="false"/>
        </w:rPr>
      </w:pPr>
      <w:r>
        <w:rPr>
          <w:caps w:val="false"/>
          <w:smallCaps w:val="false"/>
        </w:rPr>
        <w:t> </w:t>
      </w:r>
    </w:p>
    <w:tbl>
      <w:tblPr>
        <w:tblW w:w="10063" w:type="dxa"/>
        <w:jc w:val="left"/>
        <w:tblInd w:w="0" w:type="dxa"/>
        <w:tblLayout w:type="fixed"/>
        <w:tblCellMar>
          <w:top w:w="0" w:type="dxa"/>
          <w:left w:w="0" w:type="dxa"/>
          <w:bottom w:w="0" w:type="dxa"/>
          <w:right w:w="0" w:type="dxa"/>
        </w:tblCellMar>
      </w:tblPr>
      <w:tblGrid>
        <w:gridCol w:w="5570"/>
        <w:gridCol w:w="60"/>
        <w:gridCol w:w="500"/>
        <w:gridCol w:w="60"/>
        <w:gridCol w:w="96"/>
        <w:gridCol w:w="1708"/>
        <w:gridCol w:w="95"/>
        <w:gridCol w:w="60"/>
        <w:gridCol w:w="115"/>
        <w:gridCol w:w="1689"/>
        <w:gridCol w:w="110"/>
      </w:tblGrid>
      <w:tr>
        <w:trPr/>
        <w:tc>
          <w:tcPr>
            <w:tcW w:w="55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p>
        </w:tc>
        <w:tc>
          <w:tcPr>
            <w:tcW w:w="18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 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 USD</w:t>
            </w:r>
          </w:p>
        </w:tc>
        <w:tc>
          <w:tcPr>
            <w:tcW w:w="110" w:type="dxa"/>
            <w:tcBorders/>
            <w:vAlign w:val="center"/>
          </w:tcPr>
          <w:p>
            <w:pPr>
              <w:pStyle w:val="TableContents"/>
              <w:bidi w:val="0"/>
              <w:spacing w:before="0" w:after="283"/>
              <w:jc w:val="left"/>
              <w:rPr/>
            </w:pPr>
            <w:r>
              <w:rPr/>
              <w:t> </w:t>
            </w:r>
          </w:p>
        </w:tc>
      </w:tr>
      <w:tr>
        <w:trPr/>
        <w:tc>
          <w:tcPr>
            <w:tcW w:w="5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6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Six Months Ended </w:t>
            </w:r>
          </w:p>
        </w:tc>
        <w:tc>
          <w:tcPr>
            <w:tcW w:w="110" w:type="dxa"/>
            <w:tcBorders/>
            <w:vAlign w:val="center"/>
          </w:tcPr>
          <w:p>
            <w:pPr>
              <w:pStyle w:val="TableContents"/>
              <w:bidi w:val="0"/>
              <w:spacing w:before="0" w:after="283"/>
              <w:jc w:val="center"/>
              <w:rPr/>
            </w:pPr>
            <w:r>
              <w:rPr/>
              <w:t> </w:t>
            </w:r>
          </w:p>
        </w:tc>
      </w:tr>
      <w:tr>
        <w:trPr/>
        <w:tc>
          <w:tcPr>
            <w:tcW w:w="55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04" w:type="dxa"/>
            <w:gridSpan w:val="2"/>
            <w:tcBorders/>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04" w:type="dxa"/>
            <w:gridSpan w:val="2"/>
            <w:tcBorders/>
            <w:vAlign w:val="center"/>
          </w:tcPr>
          <w:p>
            <w:pPr>
              <w:pStyle w:val="TableContents"/>
              <w:bidi w:val="0"/>
              <w:spacing w:before="0" w:after="283"/>
              <w:jc w:val="center"/>
              <w:rPr>
                <w:b/>
              </w:rPr>
            </w:pPr>
            <w:r>
              <w:rPr>
                <w:b/>
              </w:rPr>
              <w:t>June 30, 2025</w:t>
            </w:r>
          </w:p>
        </w:tc>
        <w:tc>
          <w:tcPr>
            <w:tcW w:w="110" w:type="dxa"/>
            <w:tcBorders/>
            <w:vAlign w:val="center"/>
          </w:tcPr>
          <w:p>
            <w:pPr>
              <w:pStyle w:val="TableContents"/>
              <w:bidi w:val="0"/>
              <w:spacing w:before="0" w:after="283"/>
              <w:jc w:val="center"/>
              <w:rPr/>
            </w:pPr>
            <w:r>
              <w:rPr/>
              <w:t> </w:t>
            </w:r>
          </w:p>
        </w:tc>
      </w:tr>
      <w:tr>
        <w:trPr/>
        <w:tc>
          <w:tcPr>
            <w:tcW w:w="55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p>
        </w:tc>
        <w:tc>
          <w:tcPr>
            <w:tcW w:w="18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 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 USD</w:t>
            </w:r>
          </w:p>
        </w:tc>
        <w:tc>
          <w:tcPr>
            <w:tcW w:w="110" w:type="dxa"/>
            <w:tcBorders/>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pPr>
            <w:r>
              <w:rPr/>
              <w:t>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pPr>
            <w:r>
              <w:rPr/>
              <w:t>CASH FLOWS FROM OPERATING ACTIVITIES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pPr>
            <w:r>
              <w:rPr/>
              <w:t>Net income for the period / year</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right"/>
              <w:rPr/>
            </w:pPr>
            <w:r>
              <w:rPr/>
              <w:t>(107,341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1,647</w:t>
            </w:r>
          </w:p>
        </w:tc>
        <w:tc>
          <w:tcPr>
            <w:tcW w:w="110"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pPr>
            <w:r>
              <w:rPr/>
              <w:t>Adjustments for non-cash items: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7</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right"/>
              <w:rPr/>
            </w:pPr>
            <w:r>
              <w:rPr/>
              <w:t>96,504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92,277</w:t>
            </w:r>
          </w:p>
        </w:tc>
        <w:tc>
          <w:tcPr>
            <w:tcW w:w="110"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pPr>
            <w:r>
              <w:rPr/>
              <w:t>Allowance for expected credit losses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5</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pPr>
            <w:r>
              <w:rPr/>
              <w:t>(2,452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pPr>
            <w:r>
              <w:rPr/>
              <w:t>Loss on disposal of equity interest in subsidiary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right"/>
              <w:rPr/>
            </w:pPr>
            <w:r>
              <w:rPr/>
              <w:t>1,904,424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pPr>
            <w:r>
              <w:rPr/>
              <w:t>Waiver of debts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pPr>
            <w:r>
              <w:rPr/>
              <w:t>(1,926,508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pPr>
            <w:r>
              <w:rPr/>
              <w:t>Trade accounts receivable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pPr>
            <w:r>
              <w:rPr/>
              <w:t>27,823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right"/>
              <w:rPr/>
            </w:pPr>
            <w:r>
              <w:rPr/>
              <w:t>148,910</w:t>
            </w:r>
          </w:p>
        </w:tc>
        <w:tc>
          <w:tcPr>
            <w:tcW w:w="110" w:type="dxa"/>
            <w:tcBorders/>
            <w:shd w:fill="FFFFFF" w:val="clear"/>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right"/>
              <w:rPr/>
            </w:pPr>
            <w:r>
              <w:rPr/>
              <w:t>(13,649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2,490</w:t>
            </w:r>
          </w:p>
        </w:tc>
        <w:tc>
          <w:tcPr>
            <w:tcW w:w="110"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pPr>
            <w:r>
              <w:rPr/>
              <w:t>Accounts payable and accrued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08" w:type="dxa"/>
            <w:tcBorders>
              <w:bottom w:val="single" w:sz="8" w:space="0" w:color="000000"/>
            </w:tcBorders>
            <w:shd w:fill="FFFFFF" w:val="clear"/>
            <w:tcMar>
              <w:bottom w:w="28" w:type="dxa"/>
            </w:tcMar>
            <w:vAlign w:val="center"/>
          </w:tcPr>
          <w:p>
            <w:pPr>
              <w:pStyle w:val="TableContents"/>
              <w:bidi w:val="0"/>
              <w:spacing w:before="0" w:after="283"/>
              <w:jc w:val="right"/>
              <w:rPr/>
            </w:pPr>
            <w:r>
              <w:rPr/>
              <w:t>(8,303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9" w:type="dxa"/>
            <w:tcBorders>
              <w:bottom w:val="single" w:sz="8" w:space="0" w:color="000000"/>
            </w:tcBorders>
            <w:shd w:fill="FFFFFF" w:val="clear"/>
            <w:tcMar>
              <w:bottom w:w="28" w:type="dxa"/>
            </w:tcMar>
            <w:vAlign w:val="center"/>
          </w:tcPr>
          <w:p>
            <w:pPr>
              <w:pStyle w:val="TableContents"/>
              <w:bidi w:val="0"/>
              <w:spacing w:before="0" w:after="283"/>
              <w:jc w:val="right"/>
              <w:rPr/>
            </w:pPr>
            <w:r>
              <w:rPr/>
              <w:t>(382,577</w:t>
            </w:r>
          </w:p>
        </w:tc>
        <w:tc>
          <w:tcPr>
            <w:tcW w:w="110" w:type="dxa"/>
            <w:tcBorders/>
            <w:shd w:fill="FFFFFF" w:val="clear"/>
            <w:vAlign w:val="center"/>
          </w:tcPr>
          <w:p>
            <w:pPr>
              <w:pStyle w:val="TableContents"/>
              <w:bidi w:val="0"/>
              <w:spacing w:before="0" w:after="283"/>
              <w:jc w:val="left"/>
              <w:rPr/>
            </w:pPr>
            <w:r>
              <w:rPr/>
              <w:t>)</w:t>
            </w:r>
          </w:p>
        </w:tc>
      </w:tr>
      <w:tr>
        <w:trPr/>
        <w:tc>
          <w:tcPr>
            <w:tcW w:w="5570" w:type="dxa"/>
            <w:tcBorders/>
            <w:shd w:fill="CCEEFF" w:val="clear"/>
            <w:vAlign w:val="center"/>
          </w:tcPr>
          <w:p>
            <w:pPr>
              <w:pStyle w:val="TableContents"/>
              <w:bidi w:val="0"/>
              <w:spacing w:before="0" w:after="283"/>
              <w:jc w:val="left"/>
              <w:rPr/>
            </w:pPr>
            <w:r>
              <w:rPr/>
              <w:t>Net cash from operating activities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08" w:type="dxa"/>
            <w:tcBorders>
              <w:bottom w:val="double" w:sz="6" w:space="0" w:color="000000"/>
            </w:tcBorders>
            <w:shd w:fill="CCEEFF" w:val="clear"/>
            <w:tcMar>
              <w:bottom w:w="28" w:type="dxa"/>
            </w:tcMar>
            <w:vAlign w:val="center"/>
          </w:tcPr>
          <w:p>
            <w:pPr>
              <w:pStyle w:val="TableContents"/>
              <w:bidi w:val="0"/>
              <w:spacing w:before="0" w:after="283"/>
              <w:jc w:val="right"/>
              <w:rPr/>
            </w:pPr>
            <w:r>
              <w:rPr/>
              <w:t>(29,502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89" w:type="dxa"/>
            <w:tcBorders>
              <w:bottom w:val="double" w:sz="6" w:space="0" w:color="000000"/>
            </w:tcBorders>
            <w:shd w:fill="CCEEFF" w:val="clear"/>
            <w:tcMar>
              <w:bottom w:w="28" w:type="dxa"/>
            </w:tcMar>
            <w:vAlign w:val="center"/>
          </w:tcPr>
          <w:p>
            <w:pPr>
              <w:pStyle w:val="TableContents"/>
              <w:bidi w:val="0"/>
              <w:spacing w:before="0" w:after="283"/>
              <w:jc w:val="right"/>
              <w:rPr/>
            </w:pPr>
            <w:r>
              <w:rPr/>
              <w:t>(137,253</w:t>
            </w:r>
          </w:p>
        </w:tc>
        <w:tc>
          <w:tcPr>
            <w:tcW w:w="110" w:type="dxa"/>
            <w:tcBorders/>
            <w:shd w:fill="CCEEFF" w:val="clear"/>
            <w:vAlign w:val="center"/>
          </w:tcPr>
          <w:p>
            <w:pPr>
              <w:pStyle w:val="TableContents"/>
              <w:bidi w:val="0"/>
              <w:spacing w:before="0" w:after="283"/>
              <w:jc w:val="left"/>
              <w:rPr/>
            </w:pPr>
            <w:r>
              <w:rPr/>
              <w:t>)</w:t>
            </w:r>
          </w:p>
        </w:tc>
      </w:tr>
      <w:tr>
        <w:trPr/>
        <w:tc>
          <w:tcPr>
            <w:tcW w:w="5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pPr>
            <w:r>
              <w:rPr/>
              <w:t>Effect of exchange rate changes on cash</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right"/>
              <w:rPr/>
            </w:pPr>
            <w:r>
              <w:rPr/>
              <w:t>(146,105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4,452</w:t>
            </w:r>
          </w:p>
        </w:tc>
        <w:tc>
          <w:tcPr>
            <w:tcW w:w="110"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pPr>
            <w:r>
              <w:rPr/>
              <w:t>Net (decrease) /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right"/>
              <w:rPr/>
            </w:pPr>
            <w:r>
              <w:rPr/>
              <w:t>(175,607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(132,801</w:t>
            </w:r>
          </w:p>
        </w:tc>
        <w:tc>
          <w:tcPr>
            <w:tcW w:w="110" w:type="dxa"/>
            <w:tcBorders/>
            <w:shd w:fill="CCEEFF" w:val="clear"/>
            <w:vAlign w:val="center"/>
          </w:tcPr>
          <w:p>
            <w:pPr>
              <w:pStyle w:val="TableContents"/>
              <w:bidi w:val="0"/>
              <w:spacing w:before="0" w:after="283"/>
              <w:jc w:val="left"/>
              <w:rPr/>
            </w:pPr>
            <w:r>
              <w:rPr/>
              <w:t>)</w:t>
            </w:r>
          </w:p>
        </w:tc>
      </w:tr>
      <w:tr>
        <w:trPr/>
        <w:tc>
          <w:tcPr>
            <w:tcW w:w="5570" w:type="dxa"/>
            <w:tcBorders/>
            <w:shd w:fill="FFFFFF" w:val="clear"/>
            <w:vAlign w:val="center"/>
          </w:tcPr>
          <w:p>
            <w:pPr>
              <w:pStyle w:val="TableContents"/>
              <w:bidi w:val="0"/>
              <w:spacing w:before="0" w:after="283"/>
              <w:jc w:val="left"/>
              <w:rPr/>
            </w:pPr>
            <w:r>
              <w:rPr/>
              <w:t>Cash — beginning of period / year (continuing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08" w:type="dxa"/>
            <w:tcBorders>
              <w:bottom w:val="single" w:sz="8" w:space="0" w:color="000000"/>
            </w:tcBorders>
            <w:shd w:fill="FFFFFF" w:val="clear"/>
            <w:tcMar>
              <w:bottom w:w="28" w:type="dxa"/>
            </w:tcMar>
            <w:vAlign w:val="center"/>
          </w:tcPr>
          <w:p>
            <w:pPr>
              <w:pStyle w:val="TableContents"/>
              <w:bidi w:val="0"/>
              <w:spacing w:before="0" w:after="283"/>
              <w:jc w:val="right"/>
              <w:rPr/>
            </w:pPr>
            <w:r>
              <w:rPr/>
              <w:t>202,716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9" w:type="dxa"/>
            <w:tcBorders>
              <w:bottom w:val="single" w:sz="8" w:space="0" w:color="000000"/>
            </w:tcBorders>
            <w:shd w:fill="FFFFFF" w:val="clear"/>
            <w:tcMar>
              <w:bottom w:w="28" w:type="dxa"/>
            </w:tcMar>
            <w:vAlign w:val="center"/>
          </w:tcPr>
          <w:p>
            <w:pPr>
              <w:pStyle w:val="TableContents"/>
              <w:bidi w:val="0"/>
              <w:spacing w:before="0" w:after="283"/>
              <w:jc w:val="right"/>
              <w:rPr/>
            </w:pPr>
            <w:r>
              <w:rPr/>
              <w:t>268,780</w:t>
            </w:r>
          </w:p>
        </w:tc>
        <w:tc>
          <w:tcPr>
            <w:tcW w:w="110" w:type="dxa"/>
            <w:tcBorders/>
            <w:shd w:fill="FFFFFF" w:val="clear"/>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pPr>
            <w:r>
              <w:rPr/>
              <w:t>Cash — end of period / year</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08" w:type="dxa"/>
            <w:tcBorders>
              <w:bottom w:val="double" w:sz="6" w:space="0" w:color="000000"/>
            </w:tcBorders>
            <w:shd w:fill="CCEEFF" w:val="clear"/>
            <w:tcMar>
              <w:bottom w:w="28" w:type="dxa"/>
            </w:tcMar>
            <w:vAlign w:val="center"/>
          </w:tcPr>
          <w:p>
            <w:pPr>
              <w:pStyle w:val="TableContents"/>
              <w:bidi w:val="0"/>
              <w:spacing w:before="0" w:after="283"/>
              <w:jc w:val="right"/>
              <w:rPr/>
            </w:pPr>
            <w:r>
              <w:rPr/>
              <w:t>27,109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89" w:type="dxa"/>
            <w:tcBorders>
              <w:bottom w:val="double" w:sz="6" w:space="0" w:color="000000"/>
            </w:tcBorders>
            <w:shd w:fill="CCEEFF" w:val="clear"/>
            <w:tcMar>
              <w:bottom w:w="28" w:type="dxa"/>
            </w:tcMar>
            <w:vAlign w:val="center"/>
          </w:tcPr>
          <w:p>
            <w:pPr>
              <w:pStyle w:val="TableContents"/>
              <w:bidi w:val="0"/>
              <w:spacing w:before="0" w:after="283"/>
              <w:jc w:val="right"/>
              <w:rPr/>
            </w:pPr>
            <w:r>
              <w:rPr/>
              <w:t>135,979</w:t>
            </w:r>
          </w:p>
        </w:tc>
        <w:tc>
          <w:tcPr>
            <w:tcW w:w="110"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pPr>
            <w:r>
              <w:rPr/>
              <w:t>Composition of cash at end of period / year:</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pPr>
            <w:r>
              <w:rPr/>
              <w:t>Continuing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pPr>
            <w:r>
              <w:rPr/>
              <w:t>27,109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right"/>
              <w:rPr/>
            </w:pPr>
            <w:r>
              <w:rPr/>
              <w:t>135,979</w:t>
            </w:r>
          </w:p>
        </w:tc>
        <w:tc>
          <w:tcPr>
            <w:tcW w:w="110" w:type="dxa"/>
            <w:tcBorders/>
            <w:shd w:fill="FFFFFF" w:val="clear"/>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9"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pPr>
            <w:r>
              <w:rPr/>
              <w:t>Total cash and cash equivalents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08" w:type="dxa"/>
            <w:tcBorders>
              <w:bottom w:val="double" w:sz="6" w:space="0" w:color="000000"/>
            </w:tcBorders>
            <w:shd w:fill="FFFFFF" w:val="clear"/>
            <w:tcMar>
              <w:bottom w:w="28" w:type="dxa"/>
            </w:tcMar>
            <w:vAlign w:val="center"/>
          </w:tcPr>
          <w:p>
            <w:pPr>
              <w:pStyle w:val="TableContents"/>
              <w:bidi w:val="0"/>
              <w:spacing w:before="0" w:after="283"/>
              <w:jc w:val="right"/>
              <w:rPr/>
            </w:pPr>
            <w:r>
              <w:rPr/>
              <w:t>27,109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89" w:type="dxa"/>
            <w:tcBorders>
              <w:bottom w:val="double" w:sz="6" w:space="0" w:color="000000"/>
            </w:tcBorders>
            <w:shd w:fill="FFFFFF" w:val="clear"/>
            <w:tcMar>
              <w:bottom w:w="28" w:type="dxa"/>
            </w:tcMar>
            <w:vAlign w:val="center"/>
          </w:tcPr>
          <w:p>
            <w:pPr>
              <w:pStyle w:val="TableContents"/>
              <w:bidi w:val="0"/>
              <w:spacing w:before="0" w:after="283"/>
              <w:jc w:val="right"/>
              <w:rPr/>
            </w:pPr>
            <w:r>
              <w:rPr/>
              <w:t>135,979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8" w:name="az_001"/>
      <w:bookmarkEnd w:id="128"/>
      <w:r>
        <w:rPr>
          <w:rFonts w:ascii="Times New Roman;Times;Serif" w:hAnsi="Times New Roman;Times;Serif"/>
          <w:b/>
          <w:i w:val="false"/>
          <w:caps w:val="false"/>
          <w:smallCaps w:val="false"/>
          <w:sz w:val="20"/>
        </w:rPr>
        <w:t>FUTURE NRG SDN. BHD.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of June 30, 2026 and for the six Months Ended 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NATURE OF OPERATIONS AND BASIS OF PRESENTATION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Overview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 (the “Company” or “FNRG”), Registration No. 200801012859 (814147-M), is incorporated in Malaysia under the Companies Act 2016. The Company is principally engaged in the provision of medical waste collection, packaging, transportation, and treatment services to clinic operators in Malaysia, together with the management of associated logistics infrastructure and renewable energy development activities. Its principal place of business is Lot PT 6127, 3A/1, Jalan Tech Valley, Bandar Sri Sendayan, Seremban, Negeri Sembilan,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present the financial position of the Company as at June 30, 2026 and the results of its operations and cash flows for the six-month period then ended. The financial statements are unaudited, are presented in United States Dollars (“USD”), and have been prepared in accordance with accounting principles generally accepted in the United States of America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are presented on a company-level (standalone entity) basis. As described in Note 3, the Company’s sole subsidiary, Solid Orient Holdings Sdn. Bhd. (“SOH”), was deconsolidated on January 8, 2026 and the Company’s remaining equity interest in SOH was fully disposed of on January 23, 2026. Accordingly, no consolidated financial statements are presented for Q2 2026. Accordingly, for consistency and comparability, the Q2 2025 comparative financial information is also presented on a company-level (standalone entity) basis and excludes the financial results of SOH.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March 26, 2026, the Company ceased to be a wholly-owned subsidiary of Fitters Diversified Berhad (“Fitters”) following completion of share sale agreements. The Company’s share capital is now held by Perfect Energy Sdn. Bhd. (55%), Antbiz Sdn. Bhd. (9%), and nine individual purchasers (20% in aggregate).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Significant Accounting Policies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Functional and Reporting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of the Company is the Malaysian Ringgit (“RM”). Financial statements are presented in USD using the translation rates below:</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Functional and Reporting Currency </w:t>
      </w:r>
    </w:p>
    <w:tbl>
      <w:tblPr>
        <w:tblW w:w="4539" w:type="dxa"/>
        <w:jc w:val="left"/>
        <w:tblInd w:w="0" w:type="dxa"/>
        <w:tblLayout w:type="fixed"/>
        <w:tblCellMar>
          <w:top w:w="0" w:type="dxa"/>
          <w:left w:w="0" w:type="dxa"/>
          <w:bottom w:w="28" w:type="dxa"/>
          <w:right w:w="0" w:type="dxa"/>
        </w:tblCellMar>
      </w:tblPr>
      <w:tblGrid>
        <w:gridCol w:w="1910"/>
        <w:gridCol w:w="60"/>
        <w:gridCol w:w="238"/>
        <w:gridCol w:w="2256"/>
        <w:gridCol w:w="75"/>
      </w:tblGrid>
      <w:tr>
        <w:trPr/>
        <w:tc>
          <w:tcPr>
            <w:tcW w:w="1910" w:type="dxa"/>
            <w:tcBorders>
              <w:bottom w:val="single" w:sz="8" w:space="0" w:color="000000"/>
            </w:tcBorders>
            <w:vAlign w:val="center"/>
          </w:tcPr>
          <w:p>
            <w:pPr>
              <w:pStyle w:val="TableContents"/>
              <w:bidi w:val="0"/>
              <w:spacing w:before="0" w:after="283"/>
              <w:jc w:val="both"/>
              <w:rPr>
                <w:b/>
              </w:rPr>
            </w:pPr>
            <w:r>
              <w:rPr>
                <w:b/>
              </w:rPr>
              <w:t>Period</w:t>
            </w:r>
          </w:p>
        </w:tc>
        <w:tc>
          <w:tcPr>
            <w:tcW w:w="60" w:type="dxa"/>
            <w:tcBorders/>
            <w:tcMar>
              <w:bottom w:w="0" w:type="dxa"/>
            </w:tcMar>
            <w:vAlign w:val="center"/>
          </w:tcPr>
          <w:p>
            <w:pPr>
              <w:pStyle w:val="TableContents"/>
              <w:bidi w:val="0"/>
              <w:spacing w:before="0" w:after="283"/>
              <w:jc w:val="left"/>
              <w:rPr/>
            </w:pPr>
            <w:r>
              <w:rPr/>
              <w:t> </w:t>
            </w:r>
          </w:p>
        </w:tc>
        <w:tc>
          <w:tcPr>
            <w:tcW w:w="2494" w:type="dxa"/>
            <w:gridSpan w:val="2"/>
            <w:tcBorders>
              <w:bottom w:val="single" w:sz="8" w:space="0" w:color="000000"/>
            </w:tcBorders>
            <w:vAlign w:val="center"/>
          </w:tcPr>
          <w:p>
            <w:pPr>
              <w:pStyle w:val="TableContents"/>
              <w:bidi w:val="0"/>
              <w:spacing w:before="0" w:after="283"/>
              <w:jc w:val="center"/>
              <w:rPr>
                <w:b/>
              </w:rPr>
            </w:pPr>
            <w:r>
              <w:rPr>
                <w:b/>
              </w:rPr>
              <w:t>Closing Rate (RM/USD)</w:t>
            </w:r>
          </w:p>
        </w:tc>
        <w:tc>
          <w:tcPr>
            <w:tcW w:w="75" w:type="dxa"/>
            <w:tcBorders/>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both"/>
              <w:rPr/>
            </w:pPr>
            <w:r>
              <w:rPr/>
              <w:t>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 </w:t>
            </w:r>
          </w:p>
        </w:tc>
        <w:tc>
          <w:tcPr>
            <w:tcW w:w="2256" w:type="dxa"/>
            <w:tcBorders/>
            <w:shd w:fill="CCEEFF" w:val="clear"/>
            <w:tcMar>
              <w:bottom w:w="0" w:type="dxa"/>
            </w:tcMar>
            <w:vAlign w:val="center"/>
          </w:tcPr>
          <w:p>
            <w:pPr>
              <w:pStyle w:val="TableContents"/>
              <w:bidi w:val="0"/>
              <w:spacing w:before="0" w:after="283"/>
              <w:jc w:val="right"/>
              <w:rPr/>
            </w:pPr>
            <w:r>
              <w:rPr/>
              <w:t>4.078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283"/>
              <w:jc w:val="both"/>
              <w:rPr/>
            </w:pPr>
            <w:r>
              <w:rPr/>
              <w:t>December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 </w:t>
            </w:r>
          </w:p>
        </w:tc>
        <w:tc>
          <w:tcPr>
            <w:tcW w:w="2256" w:type="dxa"/>
            <w:tcBorders/>
            <w:shd w:fill="FFFFFF" w:val="clear"/>
            <w:tcMar>
              <w:bottom w:w="0" w:type="dxa"/>
            </w:tcMar>
            <w:vAlign w:val="center"/>
          </w:tcPr>
          <w:p>
            <w:pPr>
              <w:pStyle w:val="TableContents"/>
              <w:bidi w:val="0"/>
              <w:spacing w:before="0" w:after="283"/>
              <w:jc w:val="right"/>
              <w:rPr/>
            </w:pPr>
            <w:r>
              <w:rPr/>
              <w:t>4.061</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recognition : Revenue is recognized upon completion of service delivery or transfer of control of goods. Payment terms are 30–60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accounts receivable and ECL : Receivables are carried at amortized cost, net of an allowance for expected credit losses estimated on aging analysis and forward-looking factors.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 Stated at the lower of cost (FIFO method) and net realizable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 Recognized under the cost model; depreciated straight-line over useful lives of 5–50 years. Land is not depreciated.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 Liability method; deferred tax assets are reduced by a valuation allowance where it is more likely than not that they will not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 : Short-term lease exemption applied for leases with terms of twelve months or less. No right-of-use assets or lease liabilities are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INVESTMENT IN SUBSIDIARY Investment in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wholly-owned subsidiary, Solid Orient Holdings Sdn. Bhd. (“SOH”), is engaged in the operation of a palm oil mill. On 22 December 2025, the Company entered into a Share Sale Agreement (“SSA”) with Fitters Diversified Berhad to dispose of its entire 100% equity interest in Solid Orient Holdings Sdn. Bhd. (“SOH”) for a cash consideration of RM10,500,000 (approximately USD 2.59 million). Consequently, SOH was classified as a discontinued operation in FY2025, with its related assets and liabilities presented as held for sale. The disposal was subsequently completed in January 2026, at which point the Group derecognised its investment in SOH and recognised a loss on disposal of USD 1,904,424 (translated historically recorded as USD 1,919,251 in Q1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CASH AND CASH EQUIVALENTS Cash and Cash Equivalents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i w:val="false"/>
          <w:caps w:val="false"/>
          <w:smallCaps w:val="false"/>
          <w:sz w:val="20"/>
        </w:rPr>
        <w:t>Schedule of Cash of Discontinued Operations</w:t>
      </w:r>
    </w:p>
    <w:tbl>
      <w:tblPr>
        <w:tblW w:w="6208" w:type="dxa"/>
        <w:jc w:val="left"/>
        <w:tblInd w:w="0" w:type="dxa"/>
        <w:tblLayout w:type="fixed"/>
        <w:tblCellMar>
          <w:top w:w="0" w:type="dxa"/>
          <w:left w:w="0" w:type="dxa"/>
          <w:bottom w:w="0" w:type="dxa"/>
          <w:right w:w="0" w:type="dxa"/>
        </w:tblCellMar>
      </w:tblPr>
      <w:tblGrid>
        <w:gridCol w:w="3665"/>
        <w:gridCol w:w="60"/>
        <w:gridCol w:w="96"/>
        <w:gridCol w:w="1093"/>
        <w:gridCol w:w="60"/>
        <w:gridCol w:w="60"/>
        <w:gridCol w:w="76"/>
        <w:gridCol w:w="1023"/>
        <w:gridCol w:w="75"/>
      </w:tblGrid>
      <w:tr>
        <w:trPr/>
        <w:tc>
          <w:tcPr>
            <w:tcW w:w="36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 31, 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75"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both"/>
              <w:rPr/>
            </w:pPr>
            <w:r>
              <w:rPr/>
              <w:t>Cash at bank — continuing operations</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27,109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202,716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ACCOUNTS RECEIVABLE, NET</w:t>
      </w:r>
      <w:r>
        <w:rPr>
          <w:rFonts w:ascii="Times New Roman;Times;Serif" w:hAnsi="Times New Roman;Times;Serif"/>
          <w:b w:val="false"/>
          <w:i w:val="false"/>
          <w:caps w:val="false"/>
          <w:smallCaps w:val="false"/>
          <w:sz w:val="20"/>
        </w:rPr>
        <w:t xml:space="preserve"> Accounts receivables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i w:val="false"/>
          <w:caps w:val="false"/>
          <w:smallCaps w:val="false"/>
          <w:sz w:val="20"/>
        </w:rPr>
        <w:t>Schedule of Accounts Receivables</w:t>
      </w:r>
    </w:p>
    <w:tbl>
      <w:tblPr>
        <w:tblW w:w="6633" w:type="dxa"/>
        <w:jc w:val="left"/>
        <w:tblInd w:w="0" w:type="dxa"/>
        <w:tblLayout w:type="fixed"/>
        <w:tblCellMar>
          <w:top w:w="0" w:type="dxa"/>
          <w:left w:w="0" w:type="dxa"/>
          <w:bottom w:w="0" w:type="dxa"/>
          <w:right w:w="0" w:type="dxa"/>
        </w:tblCellMar>
      </w:tblPr>
      <w:tblGrid>
        <w:gridCol w:w="4055"/>
        <w:gridCol w:w="60"/>
        <w:gridCol w:w="83"/>
        <w:gridCol w:w="1106"/>
        <w:gridCol w:w="60"/>
        <w:gridCol w:w="60"/>
        <w:gridCol w:w="70"/>
        <w:gridCol w:w="1029"/>
        <w:gridCol w:w="110"/>
      </w:tblGrid>
      <w:tr>
        <w:trPr/>
        <w:tc>
          <w:tcPr>
            <w:tcW w:w="40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 31, 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11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both"/>
              <w:rPr/>
            </w:pPr>
            <w:r>
              <w:rPr/>
              <w:t>Trade receivables, gross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258,005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pPr>
            <w:r>
              <w:rPr/>
              <w:t>602,579</w:t>
            </w:r>
          </w:p>
        </w:tc>
        <w:tc>
          <w:tcPr>
            <w:tcW w:w="11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both"/>
              <w:rPr/>
            </w:pPr>
            <w:r>
              <w:rPr/>
              <w:t>Less: Allowance for expected credit losses</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9" w:type="dxa"/>
            <w:tcBorders>
              <w:bottom w:val="single" w:sz="8" w:space="0" w:color="000000"/>
            </w:tcBorders>
            <w:shd w:fill="FFFFFF" w:val="clear"/>
            <w:tcMar>
              <w:bottom w:w="28" w:type="dxa"/>
            </w:tcMar>
            <w:vAlign w:val="center"/>
          </w:tcPr>
          <w:p>
            <w:pPr>
              <w:pStyle w:val="TableContents"/>
              <w:bidi w:val="0"/>
              <w:spacing w:before="0" w:after="283"/>
              <w:jc w:val="right"/>
              <w:rPr/>
            </w:pPr>
            <w:r>
              <w:rPr/>
              <w:t>(312,455</w:t>
            </w:r>
          </w:p>
        </w:tc>
        <w:tc>
          <w:tcPr>
            <w:tcW w:w="110" w:type="dxa"/>
            <w:tcBorders/>
            <w:shd w:fill="FFFFFF" w:val="clear"/>
            <w:vAlign w:val="center"/>
          </w:tcPr>
          <w:p>
            <w:pPr>
              <w:pStyle w:val="TableContents"/>
              <w:bidi w:val="0"/>
              <w:spacing w:before="0" w:after="283"/>
              <w:jc w:val="left"/>
              <w:rPr/>
            </w:pPr>
            <w:r>
              <w:rPr/>
              <w:t>)</w:t>
            </w:r>
          </w:p>
        </w:tc>
      </w:tr>
      <w:tr>
        <w:trPr/>
        <w:tc>
          <w:tcPr>
            <w:tcW w:w="4055" w:type="dxa"/>
            <w:tcBorders/>
            <w:shd w:fill="CCEEFF" w:val="clear"/>
            <w:vAlign w:val="center"/>
          </w:tcPr>
          <w:p>
            <w:pPr>
              <w:pStyle w:val="TableContents"/>
              <w:bidi w:val="0"/>
              <w:spacing w:before="0" w:after="283"/>
              <w:jc w:val="both"/>
              <w:rPr>
                <w:b/>
              </w:rPr>
            </w:pPr>
            <w:r>
              <w:rPr>
                <w:b/>
              </w:rPr>
              <w:t>Trade receivables, net</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258,005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290,124</w:t>
            </w:r>
          </w:p>
        </w:tc>
        <w:tc>
          <w:tcPr>
            <w:tcW w:w="11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both"/>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9,810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pPr>
            <w:r>
              <w:rPr/>
              <w:t>9,850</w:t>
            </w:r>
          </w:p>
        </w:tc>
        <w:tc>
          <w:tcPr>
            <w:tcW w:w="11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both"/>
              <w:rPr/>
            </w:pPr>
            <w:r>
              <w:rPr/>
              <w:t>Refundable deposits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20,460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pPr>
            <w:r>
              <w:rPr/>
              <w:t>20,542</w:t>
            </w:r>
          </w:p>
        </w:tc>
        <w:tc>
          <w:tcPr>
            <w:tcW w:w="11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both"/>
              <w:rPr/>
            </w:pPr>
            <w:r>
              <w:rPr/>
              <w:t>Prepayments</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FFFFFF" w:val="clear"/>
            <w:tcMar>
              <w:bottom w:w="28" w:type="dxa"/>
            </w:tcMar>
            <w:vAlign w:val="center"/>
          </w:tcPr>
          <w:p>
            <w:pPr>
              <w:pStyle w:val="TableContents"/>
              <w:bidi w:val="0"/>
              <w:spacing w:before="0" w:after="283"/>
              <w:jc w:val="right"/>
              <w:rPr/>
            </w:pPr>
            <w:r>
              <w:rPr/>
              <w:t>4,418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both"/>
              <w:rPr>
                <w:b/>
              </w:rPr>
            </w:pPr>
            <w:r>
              <w:rPr>
                <w:b/>
              </w:rPr>
              <w:t>Total accounts receivable, net</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292,693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320,516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customer accounted for approximately 75.70% of gross trade receivables at June 30, 2026 (December 31, 2025: 75.72%).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INVENTORIES Inventory</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i w:val="false"/>
          <w:caps w:val="false"/>
          <w:smallCaps w:val="false"/>
          <w:sz w:val="20"/>
        </w:rPr>
        <w:t>Schedule of Inventory</w:t>
      </w:r>
    </w:p>
    <w:tbl>
      <w:tblPr>
        <w:tblW w:w="6658" w:type="dxa"/>
        <w:jc w:val="left"/>
        <w:tblInd w:w="0" w:type="dxa"/>
        <w:tblLayout w:type="fixed"/>
        <w:tblCellMar>
          <w:top w:w="0" w:type="dxa"/>
          <w:left w:w="0" w:type="dxa"/>
          <w:bottom w:w="0" w:type="dxa"/>
          <w:right w:w="0" w:type="dxa"/>
        </w:tblCellMar>
      </w:tblPr>
      <w:tblGrid>
        <w:gridCol w:w="4115"/>
        <w:gridCol w:w="60"/>
        <w:gridCol w:w="96"/>
        <w:gridCol w:w="1093"/>
        <w:gridCol w:w="60"/>
        <w:gridCol w:w="60"/>
        <w:gridCol w:w="89"/>
        <w:gridCol w:w="1010"/>
        <w:gridCol w:w="75"/>
      </w:tblGrid>
      <w:tr>
        <w:trPr/>
        <w:tc>
          <w:tcPr>
            <w:tcW w:w="41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 31, 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75"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both"/>
              <w:rPr/>
            </w:pPr>
            <w:r>
              <w:rPr/>
              <w:t>Spare parts</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76,932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63,056</w:t>
            </w:r>
          </w:p>
        </w:tc>
        <w:tc>
          <w:tcPr>
            <w:tcW w:w="7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both"/>
              <w:rPr/>
            </w:pPr>
            <w:r>
              <w:rPr/>
              <w:t>Consumables</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pPr>
            <w:r>
              <w:rPr/>
              <w:t>1,793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pPr>
            <w:r>
              <w:rPr/>
              <w:t>2,020</w:t>
            </w:r>
          </w:p>
        </w:tc>
        <w:tc>
          <w:tcPr>
            <w:tcW w:w="7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both"/>
              <w:rPr>
                <w:b/>
              </w:rPr>
            </w:pPr>
            <w:r>
              <w:rPr>
                <w:b/>
              </w:rPr>
              <w:t>Inventories — at lower of cost and NRV</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9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78,725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65,076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 PROPERTY AND EQUIPMENT, NET</w:t>
      </w:r>
      <w:r>
        <w:rPr>
          <w:rFonts w:ascii="Times New Roman;Times;Serif" w:hAnsi="Times New Roman;Times;Serif"/>
          <w:b w:val="false"/>
          <w:i w:val="false"/>
          <w:caps w:val="false"/>
          <w:smallCaps w:val="false"/>
          <w:sz w:val="20"/>
        </w:rPr>
        <w:t>Property and Equipment</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Property and Equipment</w:t>
      </w:r>
    </w:p>
    <w:tbl>
      <w:tblPr>
        <w:tblW w:w="8083" w:type="dxa"/>
        <w:jc w:val="left"/>
        <w:tblInd w:w="0" w:type="dxa"/>
        <w:tblLayout w:type="fixed"/>
        <w:tblCellMar>
          <w:top w:w="0" w:type="dxa"/>
          <w:left w:w="0" w:type="dxa"/>
          <w:bottom w:w="0" w:type="dxa"/>
          <w:right w:w="0" w:type="dxa"/>
        </w:tblCellMar>
      </w:tblPr>
      <w:tblGrid>
        <w:gridCol w:w="5540"/>
        <w:gridCol w:w="60"/>
        <w:gridCol w:w="68"/>
        <w:gridCol w:w="1121"/>
        <w:gridCol w:w="60"/>
        <w:gridCol w:w="60"/>
        <w:gridCol w:w="63"/>
        <w:gridCol w:w="1036"/>
        <w:gridCol w:w="75"/>
      </w:tblGrid>
      <w:tr>
        <w:trPr/>
        <w:tc>
          <w:tcPr>
            <w:tcW w:w="55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 31, 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75" w:type="dxa"/>
            <w:tcBorders/>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both"/>
              <w:rPr/>
            </w:pPr>
            <w:r>
              <w:rPr/>
              <w:t>Freehold land</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401,253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402,883</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both"/>
              <w:rPr/>
            </w:pPr>
            <w:r>
              <w:rPr/>
              <w:t>Building — net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2,596,718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2,638,829</w:t>
            </w:r>
          </w:p>
        </w:tc>
        <w:tc>
          <w:tcPr>
            <w:tcW w:w="7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both"/>
              <w:rPr/>
            </w:pPr>
            <w:r>
              <w:rPr/>
              <w:t>Plant and machinery — net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1,394,978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1,461,536</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both"/>
              <w:rPr/>
            </w:pPr>
            <w:r>
              <w:rPr/>
              <w:t>Computer and office equipment — net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10,269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14,665</w:t>
            </w:r>
          </w:p>
        </w:tc>
        <w:tc>
          <w:tcPr>
            <w:tcW w:w="7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both"/>
              <w:rPr/>
            </w:pPr>
            <w:r>
              <w:rPr/>
              <w:t>Air conditioners, furniture and fittings — net</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1" w:type="dxa"/>
            <w:tcBorders>
              <w:bottom w:val="single" w:sz="8" w:space="0" w:color="000000"/>
            </w:tcBorders>
            <w:shd w:fill="CCEEFF" w:val="clear"/>
            <w:tcMar>
              <w:bottom w:w="28" w:type="dxa"/>
            </w:tcMar>
            <w:vAlign w:val="center"/>
          </w:tcPr>
          <w:p>
            <w:pPr>
              <w:pStyle w:val="TableContents"/>
              <w:bidi w:val="0"/>
              <w:spacing w:before="0" w:after="283"/>
              <w:jc w:val="right"/>
              <w:rPr/>
            </w:pPr>
            <w:r>
              <w:rPr/>
              <w:t>391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CCEEFF" w:val="clear"/>
            <w:tcMar>
              <w:bottom w:w="28" w:type="dxa"/>
            </w:tcMar>
            <w:vAlign w:val="center"/>
          </w:tcPr>
          <w:p>
            <w:pPr>
              <w:pStyle w:val="TableContents"/>
              <w:bidi w:val="0"/>
              <w:spacing w:before="0" w:after="283"/>
              <w:jc w:val="right"/>
              <w:rPr/>
            </w:pPr>
            <w:r>
              <w:rPr/>
              <w:t>484</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both"/>
              <w:rPr>
                <w:b/>
              </w:rPr>
            </w:pPr>
            <w:r>
              <w:rPr>
                <w:b/>
              </w:rPr>
              <w:t>Property and equipment, net — continuing operations</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2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4,403,609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4,518,397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from continuing operations: Q2 2026: USD 96,504 (June 30, 2025: USD 92,277) (included within cost of revenues and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ACCOUNTS PAYABLE AND ACCRUED LIABILITIES  Accounts Payable and Accrued Liabilities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i w:val="false"/>
          <w:caps w:val="false"/>
          <w:smallCaps w:val="false"/>
          <w:sz w:val="20"/>
        </w:rPr>
        <w:t>Schedule of Accounts Payable and Accrued Liabilities</w:t>
      </w:r>
    </w:p>
    <w:tbl>
      <w:tblPr>
        <w:tblW w:w="8098" w:type="dxa"/>
        <w:jc w:val="left"/>
        <w:tblInd w:w="0" w:type="dxa"/>
        <w:tblLayout w:type="fixed"/>
        <w:tblCellMar>
          <w:top w:w="0" w:type="dxa"/>
          <w:left w:w="0" w:type="dxa"/>
          <w:bottom w:w="0" w:type="dxa"/>
          <w:right w:w="0" w:type="dxa"/>
        </w:tblCellMar>
      </w:tblPr>
      <w:tblGrid>
        <w:gridCol w:w="5555"/>
        <w:gridCol w:w="60"/>
        <w:gridCol w:w="83"/>
        <w:gridCol w:w="1106"/>
        <w:gridCol w:w="60"/>
        <w:gridCol w:w="60"/>
        <w:gridCol w:w="63"/>
        <w:gridCol w:w="1036"/>
        <w:gridCol w:w="75"/>
      </w:tblGrid>
      <w:tr>
        <w:trPr/>
        <w:tc>
          <w:tcPr>
            <w:tcW w:w="55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 31, 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75" w:type="dxa"/>
            <w:tcBorders/>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283"/>
              <w:jc w:val="both"/>
              <w:rPr/>
            </w:pPr>
            <w:r>
              <w:rPr/>
              <w:t>Trade payables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24,002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3,768</w:t>
            </w:r>
          </w:p>
        </w:tc>
        <w:tc>
          <w:tcPr>
            <w:tcW w:w="75"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283"/>
              <w:jc w:val="both"/>
              <w:rPr/>
            </w:pPr>
            <w:r>
              <w:rPr/>
              <w:t>Non-trade payables and other creditors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43,648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33,740</w:t>
            </w:r>
          </w:p>
        </w:tc>
        <w:tc>
          <w:tcPr>
            <w:tcW w:w="75"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283"/>
              <w:jc w:val="both"/>
              <w:rPr/>
            </w:pPr>
            <w:r>
              <w:rPr/>
              <w:t>Amount due to related companies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4,655,340</w:t>
            </w:r>
          </w:p>
        </w:tc>
        <w:tc>
          <w:tcPr>
            <w:tcW w:w="75"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283"/>
              <w:jc w:val="both"/>
              <w:rPr/>
            </w:pPr>
            <w:r>
              <w:rPr/>
              <w:t>Accrual for legal proceedings — AHT litigation (Note 12)</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403,924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405,565</w:t>
            </w:r>
          </w:p>
        </w:tc>
        <w:tc>
          <w:tcPr>
            <w:tcW w:w="75"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283"/>
              <w:jc w:val="both"/>
              <w:rPr/>
            </w:pPr>
            <w:r>
              <w:rPr/>
              <w:t>Deposit received from customer</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CCEEFF" w:val="clear"/>
            <w:tcMar>
              <w:bottom w:w="28" w:type="dxa"/>
            </w:tcMar>
            <w:vAlign w:val="center"/>
          </w:tcPr>
          <w:p>
            <w:pPr>
              <w:pStyle w:val="TableContents"/>
              <w:bidi w:val="0"/>
              <w:spacing w:before="0" w:after="283"/>
              <w:jc w:val="right"/>
              <w:rPr/>
            </w:pPr>
            <w:r>
              <w:rPr/>
              <w:t>12,262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CCEEFF" w:val="clear"/>
            <w:tcMar>
              <w:bottom w:w="28" w:type="dxa"/>
            </w:tcMar>
            <w:vAlign w:val="center"/>
          </w:tcPr>
          <w:p>
            <w:pPr>
              <w:pStyle w:val="TableContents"/>
              <w:bidi w:val="0"/>
              <w:spacing w:before="0" w:after="283"/>
              <w:jc w:val="right"/>
              <w:rPr/>
            </w:pPr>
            <w:r>
              <w:rPr/>
              <w:t>14,774</w:t>
            </w:r>
          </w:p>
        </w:tc>
        <w:tc>
          <w:tcPr>
            <w:tcW w:w="75"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283"/>
              <w:jc w:val="both"/>
              <w:rPr>
                <w:b/>
              </w:rPr>
            </w:pPr>
            <w:r>
              <w:rPr>
                <w:b/>
              </w:rPr>
              <w:t>Total accounts payable and accrued liabilities</w:t>
            </w:r>
          </w:p>
        </w:tc>
        <w:tc>
          <w:tcPr>
            <w:tcW w:w="60" w:type="dxa"/>
            <w:tcBorders/>
            <w:shd w:fill="FFFFFF" w:val="clear"/>
            <w:vAlign w:val="center"/>
          </w:tcPr>
          <w:p>
            <w:pPr>
              <w:pStyle w:val="TableContents"/>
              <w:bidi w:val="0"/>
              <w:spacing w:before="0" w:after="283"/>
              <w:jc w:val="left"/>
              <w:rPr/>
            </w:pPr>
            <w:r>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483,836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5,113,187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STOCKHOLDERS’ EQUITY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28,000,000 ordinary shares are authorized, issued, and outstanding throughout all periods presented, each at RM 1.00 par value. No shares were issued, repurchased, or cancelled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REVENUE FROM SERVICES Revenue from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comprises clinical waste generator services and transportation and logistics services. Revenue is recognized at a point in time when control of the services is transferred to the customer, which generally occurs upon completion of the contracted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revenue is denominated in Malaysian Ringgit (“RM”) and is generated from customers located in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period ended June 30, 2026, one customer accounted for approximately 71% of the Company’s total revenue (30.6.2025: approximately 76%), resulting in a significant concentration of credit and business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DISPOSAL OF EQUITY INTEREST IN SUBSIDIARY Disposal of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2025, the Company entered into a Share Sale Agreement (“SSA”) with Fitters Diversified Berhad to dispose of its entire 100% equity interest in SOH for a cash consideration of RM10,500,000 (approximately USD2.59 million). The disposal was completed in January 2026, upon which the Company recognized its investment in SOH and recognized a loss on disposal of USD 1,904,424 (translated historically recorded as USD 1,919,251 inQ1 2026).</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8, 2026, SOH allotted 46,700,000 new ordinary shares at RM 1.00 per share to Fitters Diversified Berhad for total consideration of RM 46,700,000, injected directly into SOH. As a result, the Company’s equity interest in SOH was diluted from 100% to 18.36%. The Company ceased to hold a controlling financial interest effective that date and derecognized SOH’s net assets from its balance sheet. The resultant loss on disposal of equity interest of USD 1,904,424 (translated historically recorded as USD 1,919,251 inQ1 2026) is included within operating expenses in the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23, 2026, the Company completed the disposal of its remaining 18.36% equity interest (comprising 10,500,000 shares) in SOH to Fitters for RM 10,500,000 (approximately USD 2.59 million), applied as an offset against the outstanding intercompany payable. Following this disposal, the Company held no equity interest in SOH.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2026, Fitters Diversified Berhad issued Credit Note to unconditionally waiving all the remaining intercompany payable balance of RM 7,855,337 (USD 1,926,508, translated historically recorded as USD 1,941,507). This constitutes a forgiveness of debt recognized as a gain on waiver of debt in 2026. This is a non-cash transaction.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Disposal Group of Financial Statements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Assets and Liabilities of the Disposal</w:t>
      </w:r>
    </w:p>
    <w:p>
      <w:pPr>
        <w:pStyle w:val="TextBody"/>
        <w:bidi w:val="0"/>
        <w:spacing w:before="0" w:after="0"/>
        <w:ind w:left="0" w:right="0" w:hanging="0"/>
        <w:jc w:val="both"/>
        <w:rPr>
          <w:caps w:val="false"/>
          <w:smallCaps w:val="false"/>
        </w:rPr>
      </w:pPr>
      <w:r>
        <w:rPr>
          <w:caps w:val="false"/>
          <w:smallCaps w:val="false"/>
        </w:rPr>
        <w:t> </w:t>
      </w:r>
    </w:p>
    <w:tbl>
      <w:tblPr>
        <w:tblW w:w="5310" w:type="dxa"/>
        <w:jc w:val="left"/>
        <w:tblInd w:w="0" w:type="dxa"/>
        <w:tblLayout w:type="fixed"/>
        <w:tblCellMar>
          <w:top w:w="0" w:type="dxa"/>
          <w:left w:w="0" w:type="dxa"/>
          <w:bottom w:w="0" w:type="dxa"/>
          <w:right w:w="0" w:type="dxa"/>
        </w:tblCellMar>
      </w:tblPr>
      <w:tblGrid>
        <w:gridCol w:w="3980"/>
        <w:gridCol w:w="60"/>
        <w:gridCol w:w="60"/>
        <w:gridCol w:w="1100"/>
        <w:gridCol w:w="110"/>
      </w:tblGrid>
      <w:tr>
        <w:trPr/>
        <w:tc>
          <w:tcPr>
            <w:tcW w:w="39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both"/>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3,135,050</w:t>
            </w:r>
          </w:p>
        </w:tc>
        <w:tc>
          <w:tcPr>
            <w:tcW w:w="11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both"/>
              <w:rPr/>
            </w:pPr>
            <w:r>
              <w:rPr/>
              <w:t>Trade and other receivables,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795,614</w:t>
            </w:r>
          </w:p>
        </w:tc>
        <w:tc>
          <w:tcPr>
            <w:tcW w:w="11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both"/>
              <w:rPr/>
            </w:pPr>
            <w:r>
              <w:rPr/>
              <w:t>Inventories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1,039,416</w:t>
            </w:r>
          </w:p>
        </w:tc>
        <w:tc>
          <w:tcPr>
            <w:tcW w:w="11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both"/>
              <w:rPr/>
            </w:pPr>
            <w:r>
              <w:rPr/>
              <w:t>Income taxes receivable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(442</w:t>
            </w:r>
          </w:p>
        </w:tc>
        <w:tc>
          <w:tcPr>
            <w:tcW w:w="110" w:type="dxa"/>
            <w:tcBorders/>
            <w:shd w:fill="FFFFFF" w:val="clear"/>
            <w:vAlign w:val="center"/>
          </w:tcPr>
          <w:p>
            <w:pPr>
              <w:pStyle w:val="TableContents"/>
              <w:bidi w:val="0"/>
              <w:spacing w:before="0" w:after="283"/>
              <w:jc w:val="left"/>
              <w:rPr/>
            </w:pPr>
            <w:r>
              <w:rPr/>
              <w:t>)</w:t>
            </w:r>
          </w:p>
        </w:tc>
      </w:tr>
      <w:tr>
        <w:trPr/>
        <w:tc>
          <w:tcPr>
            <w:tcW w:w="3980" w:type="dxa"/>
            <w:tcBorders/>
            <w:shd w:fill="CCEEFF" w:val="clear"/>
            <w:vAlign w:val="center"/>
          </w:tcPr>
          <w:p>
            <w:pPr>
              <w:pStyle w:val="TableContents"/>
              <w:bidi w:val="0"/>
              <w:spacing w:before="0" w:after="283"/>
              <w:jc w:val="both"/>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16,437,583</w:t>
            </w:r>
          </w:p>
        </w:tc>
        <w:tc>
          <w:tcPr>
            <w:tcW w:w="11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both"/>
              <w:rPr>
                <w:b/>
              </w:rPr>
            </w:pPr>
            <w:r>
              <w:rPr>
                <w:b/>
              </w:rPr>
              <w:t>Total assets held for sale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21,407,221</w:t>
            </w:r>
          </w:p>
        </w:tc>
        <w:tc>
          <w:tcPr>
            <w:tcW w:w="11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both"/>
              <w:rPr/>
            </w:pPr>
            <w:r>
              <w:rPr/>
              <w:t>Trade and other payables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2,819,424</w:t>
            </w:r>
          </w:p>
        </w:tc>
        <w:tc>
          <w:tcPr>
            <w:tcW w:w="11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both"/>
              <w:rPr/>
            </w:pPr>
            <w:r>
              <w:rPr/>
              <w:t>Banker’s acceptance — short term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1,216,780</w:t>
            </w:r>
          </w:p>
        </w:tc>
        <w:tc>
          <w:tcPr>
            <w:tcW w:w="11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both"/>
              <w:rPr/>
            </w:pPr>
            <w:r>
              <w:rPr/>
              <w:t>Hire purchase obligations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111,338</w:t>
            </w:r>
          </w:p>
        </w:tc>
        <w:tc>
          <w:tcPr>
            <w:tcW w:w="11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both"/>
              <w:rPr/>
            </w:pPr>
            <w:r>
              <w:rPr/>
              <w:t>Amount due to ultimate holding company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12,793,920</w:t>
            </w:r>
          </w:p>
        </w:tc>
        <w:tc>
          <w:tcPr>
            <w:tcW w:w="11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both"/>
              <w:rPr>
                <w:b/>
              </w:rPr>
            </w:pPr>
            <w:r>
              <w:rPr>
                <w:b/>
              </w:rPr>
              <w:t>Total liabilities held for sale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16,941,462</w:t>
            </w:r>
          </w:p>
        </w:tc>
        <w:tc>
          <w:tcPr>
            <w:tcW w:w="11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both"/>
              <w:rPr>
                <w:b/>
              </w:rPr>
            </w:pPr>
            <w:r>
              <w:rPr>
                <w:b/>
              </w:rPr>
              <w:t>Net assets of the disposal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4,465,759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COMMITMENTS AND CONTINGENCIES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 — AHT Syngas Technology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Case 1 (BA-22NCC-104-08/2021): AHT claimed EUR 1,783,810 for allegedly unpaid invoices relating to a coal gasification system. AHT’s claim was struck out on September 8, 2025 (non-compliance with security-for-costs order). AHT has appealed against the decision (B-02(IM)(NCC)-1992-10/2025); and the Court of Appeal allowed AHT’s application to appeal on 14 May 2026. The Company’s counterclaim of EUR 200,000 was dismissed December 1, 2025; the Company has appealed (B-02(NCC)(W)-9-01/2026). The appeals remain pending, with the hearing of AHT’s appeal scheduled for 28 April 2027 and FNRG’s appeal scheduled for 3 December 2026. The ultimate outcome of the proceedings cannot presently be determined. No provision has been recognized as loss is not probable.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Case 2 (BA-22NCC-57-04/2022): AHT claimed EUR 342,857 relating to a biomass gasification plant contract, representing the balance payment allegedly due upon testing and commissioning of the plant. The trial is ongoing. One of FNRG’s witnesses completed his testimony on 31 July 2026, while another witness remains under cross-examination. Further proceedings, including the testimony of an expert witness, are scheduled for 18 September 2026, 25 September 2026 and 28 September 2026. A provision of RM 1,647,000 (USD </w:t>
      </w:r>
      <w:r>
        <w:rPr>
          <w:rFonts w:ascii="Times New Roman;Times;Serif" w:hAnsi="Times New Roman;Times;Serif"/>
          <w:b w:val="false"/>
          <w:i w:val="false"/>
          <w:caps w:val="false"/>
          <w:smallCaps w:val="false"/>
          <w:sz w:val="18"/>
        </w:rPr>
        <w:t>403,924,</w:t>
      </w:r>
      <w:r>
        <w:rPr>
          <w:rFonts w:ascii="Times New Roman;Times;Serif" w:hAnsi="Times New Roman;Times;Serif"/>
          <w:b w:val="false"/>
          <w:i w:val="false"/>
          <w:caps w:val="false"/>
          <w:smallCaps w:val="false"/>
          <w:sz w:val="20"/>
        </w:rPr>
        <w:t xml:space="preserve"> translated historically recorded as USD 406,945 in Q1 2026) has been recognized since the previous financial years, representing management’s best estimate of the probable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operating leases with terms under twelve months qualify for the ASC 842 short-term lease exemption. Lease expense from January 1, to June 30, 2026 is USD 2,943 (June 30, 2025: USD 2,849). No right-of-use assets or lease liabilities are recognized.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RELATED PARTY TRANSACTIONS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charges and rental billed by Fitters Diversified Berhad entities to the Company for six months period ended June 30, 2026 amounted to USD 8,929 (June 30, 20205: USD 10,469). These charges ceased upon Fitters’ effective disposal of its shareholding on March 26, 2026. The intercompany payable to Fitters was fully extinguished on March 16,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SIGNIFICANT EVENT Significant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16 March 2026, the holding company, Fitters, entered into Share Sale Agreements with multiple purchasers for the disposal of 28,000,000 ordinary shares in the Company, representing its entire equity interest, for a total cash consideration of RM15,200,000,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5,600,000 shares to nine individual purchasers, representing 20% of the total shareholding, for an aggregate consideration of RM3.04 million;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15,400,000 shares to Perfect Energy Sdn. Bhd., representing 55% of the total shareholding, for a consideration of RM8.36 million;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7,000,000 shares to Antbiz Sdn. Bhd., representing 25% of the total shareholding, for a consideration of RM3.80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transaction, the Company will cease to be a wholly-owned subsidiary of Fitters. There have been no additional subsequent events that would require disclosure in, or adjustment to, the parent company financial statements as of and for the year ended December 31, 2025. On March 26, 2026, the conditions precedent in the Agreements have been fulfilled and hence become unconditional. Both the Company and the Purchasers have executed the registrable forms of transfer of securities and mutually agreed that the completion is effective on March 26,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March 26, 2026, Perfect Energy Sdn. Bhd. Became the majority shareholder (55%) of the Company following completion of share sale agreements executed on March 16, 2026, pursuant to which Fitters Diversified Berhad disposed of its entire shareholding of 28,000,000 shares in the Company for aggregate consideration of RM 15,200,000. Subsequently, on 8 May 2026, Antbiz Sdn. Bhd. Disposed of 2,520,000 ordinary shares, representing 9% of the Company’s total issued shares, and 1,960,000 ordinary shares, representing 7% of the Company’s total issued shares, to two individual purchasers.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material subsequent events requiring disclosure or adjustment have been identified.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EMPLOYEE BENEFIT PLANS Employee Benefit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defined contribution plans in Malaysia per the Employees Provident Fund Act 1991 (EPF), Social Security Organization Act 1969 (SOCSO), Employment Insurance System Act 2017 (EIS), and Human Resource Development Corporation Act 2001 (HRDC):</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Employee Benefit Plans</w:t>
      </w:r>
    </w:p>
    <w:tbl>
      <w:tblPr>
        <w:tblW w:w="8218" w:type="dxa"/>
        <w:jc w:val="left"/>
        <w:tblInd w:w="0" w:type="dxa"/>
        <w:tblLayout w:type="fixed"/>
        <w:tblCellMar>
          <w:top w:w="0" w:type="dxa"/>
          <w:left w:w="0" w:type="dxa"/>
          <w:bottom w:w="0" w:type="dxa"/>
          <w:right w:w="0" w:type="dxa"/>
        </w:tblCellMar>
      </w:tblPr>
      <w:tblGrid>
        <w:gridCol w:w="3725"/>
        <w:gridCol w:w="60"/>
        <w:gridCol w:w="205"/>
        <w:gridCol w:w="1914"/>
        <w:gridCol w:w="60"/>
        <w:gridCol w:w="60"/>
        <w:gridCol w:w="205"/>
        <w:gridCol w:w="1914"/>
        <w:gridCol w:w="75"/>
      </w:tblGrid>
      <w:tr>
        <w:trPr/>
        <w:tc>
          <w:tcPr>
            <w:tcW w:w="37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1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 (USD)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 (USD)</w:t>
            </w:r>
          </w:p>
        </w:tc>
        <w:tc>
          <w:tcPr>
            <w:tcW w:w="75"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both"/>
              <w:rPr/>
            </w:pPr>
            <w:r>
              <w:rPr/>
              <w:t>EPF contributions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914" w:type="dxa"/>
            <w:tcBorders/>
            <w:shd w:fill="CCEEFF" w:val="clear"/>
            <w:vAlign w:val="center"/>
          </w:tcPr>
          <w:p>
            <w:pPr>
              <w:pStyle w:val="TableContents"/>
              <w:bidi w:val="0"/>
              <w:spacing w:before="0" w:after="283"/>
              <w:jc w:val="right"/>
              <w:rPr/>
            </w:pPr>
            <w:r>
              <w:rPr/>
              <w:t>8,189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914" w:type="dxa"/>
            <w:tcBorders/>
            <w:shd w:fill="CCEEFF" w:val="clear"/>
            <w:vAlign w:val="center"/>
          </w:tcPr>
          <w:p>
            <w:pPr>
              <w:pStyle w:val="TableContents"/>
              <w:bidi w:val="0"/>
              <w:spacing w:before="0" w:after="283"/>
              <w:jc w:val="right"/>
              <w:rPr/>
            </w:pPr>
            <w:r>
              <w:rPr/>
              <w:t>7,190</w:t>
            </w:r>
          </w:p>
        </w:tc>
        <w:tc>
          <w:tcPr>
            <w:tcW w:w="75"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both"/>
              <w:rPr/>
            </w:pPr>
            <w:r>
              <w:rPr/>
              <w:t>SOCSO contributions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914" w:type="dxa"/>
            <w:tcBorders/>
            <w:shd w:fill="FFFFFF" w:val="clear"/>
            <w:vAlign w:val="center"/>
          </w:tcPr>
          <w:p>
            <w:pPr>
              <w:pStyle w:val="TableContents"/>
              <w:bidi w:val="0"/>
              <w:spacing w:before="0" w:after="283"/>
              <w:jc w:val="right"/>
              <w:rPr/>
            </w:pPr>
            <w:r>
              <w:rPr/>
              <w:t>910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914" w:type="dxa"/>
            <w:tcBorders/>
            <w:shd w:fill="FFFFFF" w:val="clear"/>
            <w:vAlign w:val="center"/>
          </w:tcPr>
          <w:p>
            <w:pPr>
              <w:pStyle w:val="TableContents"/>
              <w:bidi w:val="0"/>
              <w:spacing w:before="0" w:after="283"/>
              <w:jc w:val="right"/>
              <w:rPr/>
            </w:pPr>
            <w:r>
              <w:rPr/>
              <w:t>871</w:t>
            </w:r>
          </w:p>
        </w:tc>
        <w:tc>
          <w:tcPr>
            <w:tcW w:w="75"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both"/>
              <w:rPr/>
            </w:pPr>
            <w:r>
              <w:rPr/>
              <w:t>EIS contributions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914" w:type="dxa"/>
            <w:tcBorders/>
            <w:shd w:fill="CCEEFF" w:val="clear"/>
            <w:vAlign w:val="center"/>
          </w:tcPr>
          <w:p>
            <w:pPr>
              <w:pStyle w:val="TableContents"/>
              <w:bidi w:val="0"/>
              <w:spacing w:before="0" w:after="283"/>
              <w:jc w:val="right"/>
              <w:rPr/>
            </w:pPr>
            <w:r>
              <w:rPr/>
              <w:t>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914" w:type="dxa"/>
            <w:tcBorders/>
            <w:shd w:fill="CCEEFF" w:val="clear"/>
            <w:vAlign w:val="center"/>
          </w:tcPr>
          <w:p>
            <w:pPr>
              <w:pStyle w:val="TableContents"/>
              <w:bidi w:val="0"/>
              <w:spacing w:before="0" w:after="283"/>
              <w:jc w:val="right"/>
              <w:rPr/>
            </w:pPr>
            <w:r>
              <w:rPr/>
              <w:t>100</w:t>
            </w:r>
          </w:p>
        </w:tc>
        <w:tc>
          <w:tcPr>
            <w:tcW w:w="75"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both"/>
              <w:rPr/>
            </w:pPr>
            <w:r>
              <w:rPr/>
              <w:t>HRDC contributions</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14" w:type="dxa"/>
            <w:tcBorders>
              <w:bottom w:val="single" w:sz="8" w:space="0" w:color="000000"/>
            </w:tcBorders>
            <w:shd w:fill="FFFFFF" w:val="clear"/>
            <w:tcMar>
              <w:bottom w:w="28" w:type="dxa"/>
            </w:tcMar>
            <w:vAlign w:val="center"/>
          </w:tcPr>
          <w:p>
            <w:pPr>
              <w:pStyle w:val="TableContents"/>
              <w:bidi w:val="0"/>
              <w:spacing w:before="0" w:after="283"/>
              <w:jc w:val="right"/>
              <w:rPr/>
            </w:pPr>
            <w:r>
              <w:rPr/>
              <w:t>579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14" w:type="dxa"/>
            <w:tcBorders>
              <w:bottom w:val="single" w:sz="8" w:space="0" w:color="000000"/>
            </w:tcBorders>
            <w:shd w:fill="FFFFFF" w:val="clear"/>
            <w:tcMar>
              <w:bottom w:w="28" w:type="dxa"/>
            </w:tcMar>
            <w:vAlign w:val="center"/>
          </w:tcPr>
          <w:p>
            <w:pPr>
              <w:pStyle w:val="TableContents"/>
              <w:bidi w:val="0"/>
              <w:spacing w:before="0" w:after="283"/>
              <w:jc w:val="right"/>
              <w:rPr/>
            </w:pPr>
            <w:r>
              <w:rPr/>
              <w:t>539</w:t>
            </w:r>
          </w:p>
        </w:tc>
        <w:tc>
          <w:tcPr>
            <w:tcW w:w="75"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both"/>
              <w:rPr>
                <w:b/>
              </w:rPr>
            </w:pPr>
            <w:r>
              <w:rPr>
                <w:b/>
              </w:rPr>
              <w:t>Total statutory contribution expense</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91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9,782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91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8,700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129" w:name="vb_021"/>
      <w:bookmarkEnd w:id="129"/>
      <w:r>
        <w:rPr>
          <w:rFonts w:ascii="Times New Roman;Times;Serif" w:hAnsi="Times New Roman;Times;Serif"/>
          <w:b/>
          <w:i w:val="false"/>
          <w:caps w:val="false"/>
          <w:smallCaps w:val="false"/>
          <w:sz w:val="20"/>
        </w:rPr>
        <w:t>Annex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BUSINESS COMBINATION AGREEMENT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NRG Sdn. Bhd.,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June 4, 2026</w:t>
      </w:r>
    </w:p>
    <w:p>
      <w:pPr>
        <w:pStyle w:val="TextBody"/>
        <w:bidi w:val="0"/>
        <w:spacing w:before="0" w:after="0"/>
        <w:ind w:left="0" w:right="0" w:hanging="0"/>
        <w:jc w:val="center"/>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center"/>
        <w:rPr>
          <w:caps/>
        </w:rPr>
      </w:pPr>
      <w:r>
        <w:rPr>
          <w:caps/>
        </w:rPr>
        <w:t> </w:t>
      </w:r>
    </w:p>
    <w:tbl>
      <w:tblPr>
        <w:tblW w:w="9609" w:type="dxa"/>
        <w:jc w:val="left"/>
        <w:tblInd w:w="0" w:type="dxa"/>
        <w:tblLayout w:type="fixed"/>
        <w:tblCellMar>
          <w:top w:w="0" w:type="dxa"/>
          <w:left w:w="0" w:type="dxa"/>
          <w:bottom w:w="0" w:type="dxa"/>
          <w:right w:w="0" w:type="dxa"/>
        </w:tblCellMar>
      </w:tblPr>
      <w:tblGrid>
        <w:gridCol w:w="812"/>
        <w:gridCol w:w="8342"/>
        <w:gridCol w:w="455"/>
      </w:tblGrid>
      <w:tr>
        <w:trPr/>
        <w:tc>
          <w:tcPr>
            <w:tcW w:w="915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15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15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 THE EXCHANGE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Exchange</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Effects of the Exchange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Time of the Exchange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and Officers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1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3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915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 REPRESENTATIONS AND WARRANTIES OF THE COMPANY AND SELLING SHAREHOLDERS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 Standing and Corporate Power</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Structure of the Company</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Authority; Noncontravention</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Authorization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Absence of Certain Changes or Events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Fees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Labor Matters; Compliance with Laws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 Plans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Returns and Tax Payments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Contract Defaults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Properties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Recommendation and Affirmative Vote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Undisclosed Liabilities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Information</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with Affiliates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Business Practices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Investigation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bl>
    <w:p>
      <w:pPr>
        <w:pStyle w:val="TextBody"/>
        <w:bidi w:val="0"/>
        <w:spacing w:before="0" w:after="0"/>
        <w:ind w:left="0" w:right="0" w:hanging="0"/>
        <w:jc w:val="left"/>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919" w:type="dxa"/>
        <w:jc w:val="left"/>
        <w:tblInd w:w="0" w:type="dxa"/>
        <w:tblLayout w:type="fixed"/>
        <w:tblCellMar>
          <w:top w:w="0" w:type="dxa"/>
          <w:left w:w="0" w:type="dxa"/>
          <w:bottom w:w="0" w:type="dxa"/>
          <w:right w:w="0" w:type="dxa"/>
        </w:tblCellMar>
      </w:tblPr>
      <w:tblGrid>
        <w:gridCol w:w="405"/>
        <w:gridCol w:w="5269"/>
        <w:gridCol w:w="245"/>
      </w:tblGrid>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Representations or Warranties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Disclosure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40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5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567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3 REPRESENTATIONS AND WARRANTIES OF PARENT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 Standing and Corporate Power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Structure of Parent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Authority; Noncontravention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Authorization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Documents; Undisclosed Liabilities; Financial Statements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Absence of Certain Changes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Fees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Labor Matters; Compliance with Laws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 Plans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Returns and Tax Payments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Contract Defaults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Properties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Determination and Vote Required</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Required Parent Share Issuance Approval</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Undisclosed Liabilities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Investigation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Representations or Warranties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Disclosure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40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5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567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4 COVENANTS OF THE COMPANY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of the Company Business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Satisfaction of Conditions Precedent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Negotiations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Notification of Certain Matters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40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5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567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5 COVENANTS OF PARENT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Obligations of Parent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of the Parent Business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374" w:type="dxa"/>
        <w:jc w:val="left"/>
        <w:tblInd w:w="0" w:type="dxa"/>
        <w:tblLayout w:type="fixed"/>
        <w:tblCellMar>
          <w:top w:w="0" w:type="dxa"/>
          <w:left w:w="0" w:type="dxa"/>
          <w:bottom w:w="0" w:type="dxa"/>
          <w:right w:w="0" w:type="dxa"/>
        </w:tblCellMar>
      </w:tblPr>
      <w:tblGrid>
        <w:gridCol w:w="646"/>
        <w:gridCol w:w="6483"/>
        <w:gridCol w:w="245"/>
      </w:tblGrid>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Notification of Certain Matters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Listing</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Satisfaction of Conditions Precedent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 Matters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Negotiations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4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12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6 COVENANTS OF PARENT AND THE COMPANY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6483"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Notices of Certain Events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Announcements; Confidentiality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Taxes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Reasonable Efforts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Legends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Proxy Statement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Shareholder Written Consent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Stockholder Meeting</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4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4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12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7 CONDITIONS TO EXCHANGE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 to Obligation of Each Party to Effect the Exchange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Conditions to Obligations of Parent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Conditions to Obligations of the Company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4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12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8 TERMINATION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Termination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Termination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64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4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12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9 SURVIVAL OF REPRESENTATIONS, WARRANTIES AND COVENANTS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7129"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12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10 GENERAL PROVISIONS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or Indulgence Not Waiver; Remedies Cumulative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Headings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483"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Severability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Entire Agreement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In Interest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483"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Governing Law</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785" w:type="dxa"/>
        <w:jc w:val="left"/>
        <w:tblInd w:w="0" w:type="dxa"/>
        <w:tblLayout w:type="fixed"/>
        <w:tblCellMar>
          <w:top w:w="0" w:type="dxa"/>
          <w:left w:w="0" w:type="dxa"/>
          <w:bottom w:w="0" w:type="dxa"/>
          <w:right w:w="0" w:type="dxa"/>
        </w:tblCellMar>
      </w:tblPr>
      <w:tblGrid>
        <w:gridCol w:w="980"/>
        <w:gridCol w:w="3470"/>
        <w:gridCol w:w="335"/>
      </w:tblGrid>
      <w:tr>
        <w:trPr/>
        <w:tc>
          <w:tcPr>
            <w:tcW w:w="9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 of Jury Trial.</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Counterparts</w:t>
            </w:r>
          </w:p>
        </w:tc>
        <w:tc>
          <w:tcPr>
            <w:tcW w:w="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Attorneys’ Fees</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w:t>
            </w:r>
          </w:p>
        </w:tc>
        <w:tc>
          <w:tcPr>
            <w:tcW w:w="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Drafting</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80" w:type="dxa"/>
            <w:tcBorders/>
            <w:shd w:fill="FFFF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Interpretation</w:t>
            </w:r>
          </w:p>
        </w:tc>
        <w:tc>
          <w:tcPr>
            <w:tcW w:w="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4450"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r>
      <w:tr>
        <w:trPr/>
        <w:tc>
          <w:tcPr>
            <w:tcW w:w="445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w:t>
            </w:r>
          </w:p>
        </w:tc>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Definitions</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w:t>
            </w:r>
          </w:p>
        </w:tc>
      </w:tr>
      <w:tr>
        <w:trPr/>
        <w:tc>
          <w:tcPr>
            <w:tcW w:w="9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 –</w:t>
            </w:r>
          </w:p>
        </w:tc>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Shareholders Share Allocation</w:t>
            </w:r>
          </w:p>
        </w:tc>
        <w:tc>
          <w:tcPr>
            <w:tcW w:w="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B-1</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 –</w:t>
            </w:r>
          </w:p>
        </w:tc>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 Form of Transfer</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C-1</w:t>
            </w:r>
          </w:p>
        </w:tc>
      </w:tr>
      <w:tr>
        <w:trPr/>
        <w:tc>
          <w:tcPr>
            <w:tcW w:w="9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 -</w:t>
            </w:r>
          </w:p>
        </w:tc>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Post-Closing Directors</w:t>
            </w:r>
          </w:p>
        </w:tc>
        <w:tc>
          <w:tcPr>
            <w:tcW w:w="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D-1</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E –</w:t>
            </w:r>
          </w:p>
        </w:tc>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Shareholder Representation Letter</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E-1</w:t>
            </w:r>
          </w:p>
        </w:tc>
      </w:tr>
      <w:tr>
        <w:trPr/>
        <w:tc>
          <w:tcPr>
            <w:tcW w:w="9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F –</w:t>
            </w:r>
          </w:p>
        </w:tc>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Lock-Up Agreement</w:t>
            </w:r>
          </w:p>
        </w:tc>
        <w:tc>
          <w:tcPr>
            <w:tcW w:w="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iv</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BUSINESS COMBINATION AGREEMENT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BUSINESS COMBINATION AGREEMENT (this or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and entered into as of June 4, 2026, by and among Bio Green Med Solution, Inc., a Delaware corporation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Future NRG Sdn. Bhd., a Malaysian private limited company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and the shareholders of the Company as set forth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 (collectively, the “</w:t>
      </w:r>
      <w:r>
        <w:rPr>
          <w:rFonts w:ascii="Times New Roman;Times;Serif" w:hAnsi="Times New Roman;Times;Serif"/>
          <w:b/>
          <w:i w:val="false"/>
          <w:caps w:val="false"/>
          <w:smallCaps w:val="false"/>
          <w:sz w:val="20"/>
        </w:rPr>
        <w:t>Selling Shareholders</w:t>
      </w:r>
      <w:r>
        <w:rPr>
          <w:rFonts w:ascii="Times New Roman;Times;Serif" w:hAnsi="Times New Roman;Times;Serif"/>
          <w:b w:val="false"/>
          <w:i w:val="false"/>
          <w:caps w:val="false"/>
          <w:smallCaps w:val="false"/>
          <w:sz w:val="20"/>
        </w:rPr>
        <w:t>” and together with Parent, and the Company,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xml:space="preserve">”). Certain other capitalized terms used in this Agreement are defined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Parent is a Delaware corporation listed on the Nasdaq under the symbol “BGMS;”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hereto intend to effect a share exchange between Parent and the Selling Shareholder (the “</w:t>
      </w:r>
      <w:r>
        <w:rPr>
          <w:rFonts w:ascii="Times New Roman;Times;Serif" w:hAnsi="Times New Roman;Times;Serif"/>
          <w:b/>
          <w:i w:val="false"/>
          <w:caps w:val="false"/>
          <w:smallCaps w:val="false"/>
          <w:sz w:val="20"/>
        </w:rPr>
        <w:t>Exchange</w:t>
      </w:r>
      <w:r>
        <w:rPr>
          <w:rFonts w:ascii="Times New Roman;Times;Serif" w:hAnsi="Times New Roman;Times;Serif"/>
          <w:b w:val="false"/>
          <w:i w:val="false"/>
          <w:caps w:val="false"/>
          <w:smallCaps w:val="false"/>
          <w:sz w:val="20"/>
        </w:rPr>
        <w:t>”), in which the Company will become a wholly-owned subsidiary of Parent, in accordance with this Agreement and the DGCL and Malaysian Companies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Board of Directors of Parent has (a) determined that this Agreement, the Exchange and the transactions contemplated under this Agreement are in the best interest of Parent and its stockholders, (b) approved the Exchange, (c) adopted this Agreement, and (d) determined to recommend that its stockholders adopt, authorize and approve this Agreement, the Exchange and the transactions contemplated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Board of Directors of the Company and the Selling Shareholders have (a) determined that this Agreement, the Exchange and the transactions contemplated under this Agreement are in the best interest of the Company, (b) approved the Exchange, and (c) adopted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each of Parent, the Company and the Selling Shareholders desires to make certain representations, warranties, covenants and agreements in connection with the Exchange and the other transactions contemplated by this Agreement and also to prescribe various conditions to the consummation thereof;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for U.S. federal income Tax purposes, the Parties intend, and each Party acknowledges, that the Exchange will qualify as a tax-free exchange of property under the provisions of Section 351 of the Internal Revenue Code of 1986, as amended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mutual promises, representations, warranties, covenants and agreements herein contained, the parties hereto, intending to be legally bound,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EXCHANGE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Share Exchange</w:t>
      </w:r>
      <w:r>
        <w:rPr>
          <w:rFonts w:ascii="Times New Roman;Times;Serif" w:hAnsi="Times New Roman;Times;Serif"/>
          <w:b w:val="false"/>
          <w:i w:val="false"/>
          <w:caps w:val="false"/>
          <w:smallCaps w:val="false"/>
          <w:sz w:val="20"/>
        </w:rPr>
        <w:t>. Upon the terms and subject to the conditions set forth in this Agreement, and in accordance with the DGCL, at the Closing (as hereinafter defined), the Parties shall do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Selling Shareholders shall convey, assign, and transfer all of their right, title and interest to the Company Ordinary Shares (individually, a “</w:t>
      </w:r>
      <w:r>
        <w:rPr>
          <w:rFonts w:ascii="Times New Roman;Times;Serif" w:hAnsi="Times New Roman;Times;Serif"/>
          <w:b/>
          <w:i w:val="false"/>
          <w:caps w:val="false"/>
          <w:smallCaps w:val="false"/>
          <w:sz w:val="20"/>
        </w:rPr>
        <w:t>Share</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to Parent by delivering to Parent executed and transferrable Share certificates (if certificated) endorsed in blank (or accompanied by duly executed stock powers endorsed in blank) in proper form for transfer, or if uncertificated, other applicable transfer instrument in accordance with the Malaysian Companies Act. The Shares transferred to Parent at the Closing shall constitute one hundred (100%) percent of the issued and outstanding shares of capital stock of the Company.</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consideration for its acquisition of the Shares and without any action on the part of any Party or the holders of securities of Parent or the Company, each Share issued and outstanding immediately prior to the Effective Time shall be converted into, and the holder thereof shall be entitled to receive a number of shares of Parent Common Stock equal to the quotient of (i) the Transaction Consideration Shares divided by (ii) the total number of Shares issued and outstanding immediately prior to the Effective Time. The aggregate amount of shares of Parent Common Stock (the “</w:t>
      </w:r>
      <w:r>
        <w:rPr>
          <w:rFonts w:ascii="Times New Roman;Times;Serif" w:hAnsi="Times New Roman;Times;Serif"/>
          <w:b/>
          <w:i w:val="false"/>
          <w:caps w:val="false"/>
          <w:smallCaps w:val="false"/>
          <w:sz w:val="20"/>
        </w:rPr>
        <w:t>Exchange Shares</w:t>
      </w:r>
      <w:r>
        <w:rPr>
          <w:rFonts w:ascii="Times New Roman;Times;Serif" w:hAnsi="Times New Roman;Times;Serif"/>
          <w:b w:val="false"/>
          <w:i w:val="false"/>
          <w:caps w:val="false"/>
          <w:smallCaps w:val="false"/>
          <w:sz w:val="20"/>
        </w:rPr>
        <w:t>”) shall be issued to the Selling Shareholders by issuance of book-entry shares representing the Exchange Shares in accordance with the applicable provisions of the DGCL, and the Transfer Agent shall be instructed to update the register of stockholders of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federal income tax purposes, the Exchange is intended to constitute a tax-free exchange of property within the meaning of Section 351 of the Code, and the Parties shall report the transactions contemplated by this Agreement consistent with such intent and shall take no position in any tax filing or legal proceeding inconsistent therewith. None of Parent, the Company or the Selling Shareholders has taken or failed to take, and after the Effective Time, Parent shall not take or fail to take, any action which reasonably could be expected to cause the Exchange to fail to qualify as a tax-free exchange of property within the meaning of Section 351 of the Code.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Effects of the Exchange. </w:t>
      </w:r>
      <w:r>
        <w:rPr>
          <w:rFonts w:ascii="Times New Roman;Times;Serif" w:hAnsi="Times New Roman;Times;Serif"/>
          <w:b w:val="false"/>
          <w:i w:val="false"/>
          <w:caps w:val="false"/>
          <w:smallCaps w:val="false"/>
          <w:sz w:val="20"/>
        </w:rPr>
        <w:t>The Exchange shall have the effects set forth in the applicable provisions of the DGCL and Malaysian Companies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 Closing</w:t>
      </w:r>
      <w:r>
        <w:rPr>
          <w:rFonts w:ascii="Times New Roman;Times;Serif" w:hAnsi="Times New Roman;Times;Serif"/>
          <w:b w:val="false"/>
          <w:i w:val="false"/>
          <w:caps w:val="false"/>
          <w:smallCaps w:val="false"/>
          <w:sz w:val="20"/>
        </w:rPr>
        <w:t>. Upon the terms and subject to the conditions set forth herein and unless this Agreement has been terminated pursuant to its terms, the closing of the Exchange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xml:space="preserve">”) shall take place remotely, at the date and time to be specified by the Parties hereto, which date shall be no later than three (3) Business days after the date on which the conditions to Closing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of this Agreement shall have been satisfied or, to the extent permitted hereunder, waived by the appropriate Party (other than those conditions that by their nature are to be satisfied at the Closing, but subject to the satisfaction or, to the extent permitted hereunder, waiver of all such conditions) or at such other time, date or location as the parties hereto agree. The date on which the Closing actually occurs and the transactions contemplated hereby become effective is hereinafter referred to as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At the time of the Closing, Parent, the Company and the Selling Shareholders shall deliver the certificates and other documents and instruments required to be delivered hereunder</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 Effective Time of the Exchange.</w:t>
      </w:r>
      <w:r>
        <w:rPr>
          <w:rFonts w:ascii="Times New Roman;Times;Serif" w:hAnsi="Times New Roman;Times;Serif"/>
          <w:b w:val="false"/>
          <w:i w:val="false"/>
          <w:caps w:val="false"/>
          <w:smallCaps w:val="false"/>
          <w:sz w:val="20"/>
        </w:rPr>
        <w:t xml:space="preserve"> Subject to the provisions of this Agreement, at the Closing, the Parties hereto shall (a) cause a Form Section 105 (Form of Transfer of Securities) in substantially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Malaysia Form of Transfer</w:t>
      </w:r>
      <w:r>
        <w:rPr>
          <w:rFonts w:ascii="Times New Roman;Times;Serif" w:hAnsi="Times New Roman;Times;Serif"/>
          <w:b w:val="false"/>
          <w:i w:val="false"/>
          <w:caps w:val="false"/>
          <w:smallCaps w:val="false"/>
          <w:sz w:val="20"/>
        </w:rPr>
        <w:t>”) to be executed, acknowledged and filed with the Companies Commission of Malaysia, as provided in sections 105 and 106 of the Malaysian Companies Act and (b) take all such other and further actions as may be required by the Malaysian Companies Act or other applicable Law to make the Exchange effective. The Exchange shall become effective as of the date and time of the filing of the Malaysia Form of Transfer or at such later date or time as may be agreed by the Company and Parent in writing and specified in the Malaysia Form of Transfer in accordance with relevant provisions of the Malaysian Companies Act. The date and time of such effectiveness are referred to herein as the “</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 Directors and Officers.</w:t>
      </w:r>
      <w:r>
        <w:rPr>
          <w:rFonts w:ascii="Times New Roman;Times;Serif" w:hAnsi="Times New Roman;Times;Serif"/>
          <w:b w:val="false"/>
          <w:i w:val="false"/>
          <w:caps w:val="false"/>
          <w:smallCaps w:val="false"/>
          <w:sz w:val="20"/>
        </w:rPr>
        <w:t xml:space="preserve"> The directors of Parent, the Company and its Subsidiaries shall, from and after the Effective Time, be as set forth on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attached hereto, until their successors shall have been duly elected or appointed and qualified or until their earlier death, resignation or removal in accordance with the Malaysian Companies Act and the Company Governing Documents. The officers of Parent and the Company and its Subsidiaries shall, from and after the Effective Time remain the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REPRESENTATIONS AND WARRANTIES OF THE COMPANY AND SELLING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each of the Selling Shareholders jointly and severally represent and warrant to Parent that, except as set forth in the disclosure schedules delivered by the Company to Parent (the “</w:t>
      </w:r>
      <w:r>
        <w:rPr>
          <w:rFonts w:ascii="Times New Roman;Times;Serif" w:hAnsi="Times New Roman;Times;Serif"/>
          <w:b/>
          <w:i w:val="false"/>
          <w:caps w:val="false"/>
          <w:smallCaps w:val="false"/>
          <w:sz w:val="20"/>
        </w:rPr>
        <w:t>Company Disclosure Schedule</w:t>
      </w:r>
      <w:r>
        <w:rPr>
          <w:rFonts w:ascii="Times New Roman;Times;Serif" w:hAnsi="Times New Roman;Times;Serif"/>
          <w:b w:val="false"/>
          <w:i w:val="false"/>
          <w:caps w:val="false"/>
          <w:smallCaps w:val="false"/>
          <w:sz w:val="20"/>
        </w:rPr>
        <w:t>”) prior to the execution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Organization, Standing and Corporate Power</w:t>
      </w:r>
      <w:r>
        <w:rPr>
          <w:rFonts w:ascii="Times New Roman;Times;Serif" w:hAnsi="Times New Roman;Times;Serif"/>
          <w:b w:val="false"/>
          <w:i w:val="false"/>
          <w:caps w:val="false"/>
          <w:smallCaps w:val="false"/>
          <w:sz w:val="20"/>
        </w:rPr>
        <w:t>. The Company is duly organized, validly existing and in good standing under the Malaysian Companies Act and has the requisite corporate power and authority to own, lease and operate its properties and carry on its business as now being conducted. The Company holds, to the extent legally required to operate its business as such business is being operated as of the date hereof, all Permits, except for any Permits for which the failure to obtain or hold would not reasonably be expected to have, individually or in the aggregate, a Material Adverse Effect on the Company. The Company is duly qualified or licensed to do business and is in good standing in each jurisdiction in which the nature of its business or the ownership or leasing of its properties makes such qualification or licensing necessary, other than in such jurisdictions where the failure to be so qualified or licensed or to be in good standing (individually or in the aggregate) would not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2.2 Subsidiaries. </w:t>
      </w:r>
      <w:r>
        <w:rPr>
          <w:rFonts w:ascii="Times New Roman;Times;Serif" w:hAnsi="Times New Roman;Times;Serif"/>
          <w:b w:val="false"/>
          <w:i w:val="false"/>
          <w:caps w:val="false"/>
          <w:smallCaps w:val="false"/>
          <w:sz w:val="20"/>
        </w:rPr>
        <w:t>The Company has no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 Capital Structure of the Company.</w:t>
      </w:r>
      <w:r>
        <w:rPr>
          <w:rFonts w:ascii="Times New Roman;Times;Serif" w:hAnsi="Times New Roman;Times;Serif"/>
          <w:b w:val="false"/>
          <w:i w:val="false"/>
          <w:caps w:val="false"/>
          <w:smallCaps w:val="false"/>
          <w:sz w:val="20"/>
        </w:rPr>
        <w:t xml:space="preserve"> As of the date of this Agreement, the number of shares and type of all authorized, issued and outstanding capital shares of the Company, and all capital shares reserved for issuance under the Company’s various option and incentive plans is specified on </w:t>
      </w:r>
      <w:r>
        <w:rPr>
          <w:rFonts w:ascii="Times New Roman;Times;Serif" w:hAnsi="Times New Roman;Times;Serif"/>
          <w:b w:val="false"/>
          <w:i w:val="false"/>
          <w:caps w:val="false"/>
          <w:smallCaps w:val="false"/>
          <w:sz w:val="20"/>
          <w:u w:val="single"/>
        </w:rPr>
        <w:t>Schedule 2.3</w:t>
      </w:r>
      <w:r>
        <w:rPr>
          <w:rFonts w:ascii="Times New Roman;Times;Serif" w:hAnsi="Times New Roman;Times;Serif"/>
          <w:b w:val="false"/>
          <w:i w:val="false"/>
          <w:caps w:val="false"/>
          <w:smallCaps w:val="false"/>
          <w:sz w:val="20"/>
        </w:rPr>
        <w:t xml:space="preserve">. All outstanding capital shares of the Company are duly authorized, validly issued, fully paid and nonassessable and, except as set forth in </w:t>
      </w:r>
      <w:r>
        <w:rPr>
          <w:rFonts w:ascii="Times New Roman;Times;Serif" w:hAnsi="Times New Roman;Times;Serif"/>
          <w:b w:val="false"/>
          <w:i w:val="false"/>
          <w:caps w:val="false"/>
          <w:smallCaps w:val="false"/>
          <w:sz w:val="20"/>
          <w:u w:val="single"/>
        </w:rPr>
        <w:t>Schedule 2.3</w:t>
      </w:r>
      <w:r>
        <w:rPr>
          <w:rFonts w:ascii="Times New Roman;Times;Serif" w:hAnsi="Times New Roman;Times;Serif"/>
          <w:b w:val="false"/>
          <w:i w:val="false"/>
          <w:caps w:val="false"/>
          <w:smallCaps w:val="false"/>
          <w:sz w:val="20"/>
        </w:rPr>
        <w:t xml:space="preserve">, not subject to preemptive rights. Except for the Company Ordinary Shares and as set forth on </w:t>
      </w:r>
      <w:r>
        <w:rPr>
          <w:rFonts w:ascii="Times New Roman;Times;Serif" w:hAnsi="Times New Roman;Times;Serif"/>
          <w:b w:val="false"/>
          <w:i w:val="false"/>
          <w:caps w:val="false"/>
          <w:smallCaps w:val="false"/>
          <w:sz w:val="20"/>
          <w:u w:val="single"/>
        </w:rPr>
        <w:t>Schedule 2.3</w:t>
      </w:r>
      <w:r>
        <w:rPr>
          <w:rFonts w:ascii="Times New Roman;Times;Serif" w:hAnsi="Times New Roman;Times;Serif"/>
          <w:b w:val="false"/>
          <w:i w:val="false"/>
          <w:caps w:val="false"/>
          <w:smallCaps w:val="false"/>
          <w:sz w:val="20"/>
        </w:rPr>
        <w:t xml:space="preserve">, there are no outstanding bonds, debentures, notes or other indebtedness or other securities of the Company having the right to vote (or convertible into, or exchangeable for, securities having the right to vote) on any matters. As of immediately prior to the Effective Time, there will be no outstanding indebtedness of the Company convertible into capital shares of the Company. Except as set forth in </w:t>
      </w:r>
      <w:r>
        <w:rPr>
          <w:rFonts w:ascii="Times New Roman;Times;Serif" w:hAnsi="Times New Roman;Times;Serif"/>
          <w:b w:val="false"/>
          <w:i w:val="false"/>
          <w:caps w:val="false"/>
          <w:smallCaps w:val="false"/>
          <w:sz w:val="20"/>
          <w:u w:val="single"/>
        </w:rPr>
        <w:t>Schedule 2.3</w:t>
      </w:r>
      <w:r>
        <w:rPr>
          <w:rFonts w:ascii="Times New Roman;Times;Serif" w:hAnsi="Times New Roman;Times;Serif"/>
          <w:b w:val="false"/>
          <w:i w:val="false"/>
          <w:caps w:val="false"/>
          <w:smallCaps w:val="false"/>
          <w:sz w:val="20"/>
        </w:rPr>
        <w:t xml:space="preserve">, there are no outstanding securities, options, warrants, calls, rights, commitments, agreements, arrangements or undertakings of any kind to which the Company is a party or by which it is bound obligating the Company to issue, deliver or sell, or cause to be issued, delivered or sold, additional capital shares or other equity or voting securities of the Company or obligating the Company to issue, grant, extend or enter into any such security, option, warrant, call, right, commitment, agreement, arrangement or undertaking. There are no outstanding contractual obligations, commitments, understandings or arrangements of the Company to repurchase, redeem or otherwise acquire or make any payment in respect of any capital shares of the Company. Except as set forth on </w:t>
      </w:r>
      <w:r>
        <w:rPr>
          <w:rFonts w:ascii="Times New Roman;Times;Serif" w:hAnsi="Times New Roman;Times;Serif"/>
          <w:b w:val="false"/>
          <w:i w:val="false"/>
          <w:caps w:val="false"/>
          <w:smallCaps w:val="false"/>
          <w:sz w:val="20"/>
          <w:u w:val="single"/>
        </w:rPr>
        <w:t>Schedule 2.3</w:t>
      </w:r>
      <w:r>
        <w:rPr>
          <w:rFonts w:ascii="Times New Roman;Times;Serif" w:hAnsi="Times New Roman;Times;Serif"/>
          <w:b w:val="false"/>
          <w:i w:val="false"/>
          <w:caps w:val="false"/>
          <w:smallCaps w:val="false"/>
          <w:sz w:val="20"/>
        </w:rPr>
        <w:t>, there are no agreements or arrangements pursuant to which the Company is or could be required to register Company Ordinary Shares or other securities under the Securities Act or other agreements or arrangements with or among any security holders of the Company with respect to securities of the Company.</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2.4 Corporate Authority; Noncontravention.</w:t>
      </w:r>
      <w:r>
        <w:rPr>
          <w:rFonts w:ascii="Times New Roman;Times;Serif" w:hAnsi="Times New Roman;Times;Serif"/>
          <w:b w:val="false"/>
          <w:i w:val="false"/>
          <w:caps w:val="false"/>
          <w:smallCaps w:val="false"/>
          <w:sz w:val="20"/>
        </w:rPr>
        <w:t xml:space="preserve"> The Company has all requisite corporate power and authority to enter into this Agreement and, subject to receipt of the approval of its shareholders and the filing of the Malaysia Form of Transfer with the Companies Commission of Malaysia, to consummate the transactions contemplated by this Agreement. The execution and delivery of this Agreement by the Company and the consummation by the Company of the transactions contemplated hereby have been (or at Closing will have been) duly authorized by all necessary corporate action on the part of the Company. This Agreement has been duly executed and when delivered by the Company shall constitute a valid and binding obligation of the Company, enforceable against the Company in accordance with its terms, except as such enforcement may be limited by bankruptcy, insolvency or other similar Laws affecting the enforcement of creditors’ rights generally or by general principles of equity. The execution and delivery of this Agreement do not, and the consummation of the transactions contemplated by this Agreement and compliance with the provisions hereof will not, conflict with, or result in any breach or violation of, or Default (with or without notice or lapse of time, or both) under, or give rise to a right of termination, cancellation or acceleration of or “put” right with respect to any obligation or to a loss of a material benefit under, or result in the creation of any Lien upon any of the properties or Assets of the Company under, (i) the Governing Documents of the Company, (ii) any loan or credit agreement, note, bond, mortgage, indenture, lease or other agreement, instrument, Permit, concession, franchise or license applicable to the Company, its properties or Assets, or (iii) subject to the governmental filings and other matters referred to in the following sentence, any judgment, Order, decree, statute, Law, ordinance, rule, regulation or arbitration award applicable to the Company, its properties or Assets, other than, in the case of clauses (ii) and (iii), any such conflicts, breaches, violations, Defaults, rights, losses or Liens that individually or in the aggregate would not have a Material Adverse Effect with respect to the Company or would not prevent, hinder or materially delay the ability of the Company to consummate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2.5 Governmental Authorization. </w:t>
      </w:r>
      <w:r>
        <w:rPr>
          <w:rFonts w:ascii="Times New Roman;Times;Serif" w:hAnsi="Times New Roman;Times;Serif"/>
          <w:b w:val="false"/>
          <w:i w:val="false"/>
          <w:caps w:val="false"/>
          <w:smallCaps w:val="false"/>
          <w:sz w:val="20"/>
        </w:rPr>
        <w:t>No consent, approval, Order or authorization of, or registration, declaration or filing with, or notice to, any Governmental Entity is required to be obtained or made by the Company in connection with the execution and delivery of this Agreement by the Company or the consummation by the Company of the transactions contemplated hereby, except any filings required under the Malaysian Companies Act, the DGCL, the Securities Act, the Exchange Act, or any applicable United States state securities or “blue sky”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or prior to Closing, Parent will have received a copy of the audited financial statements of the Company for the fiscal years ended December 31, 2024, and 2025 (collectively, the “</w:t>
      </w:r>
      <w:r>
        <w:rPr>
          <w:rFonts w:ascii="Times New Roman;Times;Serif" w:hAnsi="Times New Roman;Times;Serif"/>
          <w:b/>
          <w:i w:val="false"/>
          <w:caps w:val="false"/>
          <w:smallCaps w:val="false"/>
          <w:sz w:val="20"/>
        </w:rPr>
        <w:t>Company Financial Statements</w:t>
      </w:r>
      <w:r>
        <w:rPr>
          <w:rFonts w:ascii="Times New Roman;Times;Serif" w:hAnsi="Times New Roman;Times;Serif"/>
          <w:b w:val="false"/>
          <w:i w:val="false"/>
          <w:caps w:val="false"/>
          <w:smallCaps w:val="false"/>
          <w:sz w:val="20"/>
        </w:rPr>
        <w:t>”). The Company Financial Statements fairly present in all material respects the financial position of the Company at the dates indicated and its results of operations and cash flows for the periods then ended and, to the Knowledge of the Company, except as indicated therein, reflect, as of the dates indicated, all debts and liabilities of the Company, fixed or contingent, and of a nature required to be disclosed on a balance sheet, that are, individually or in the aggregate, material to the business, results of operation, or financial condition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January 1, 2026 (the “</w:t>
      </w:r>
      <w:r>
        <w:rPr>
          <w:rFonts w:ascii="Times New Roman;Times;Serif" w:hAnsi="Times New Roman;Times;Serif"/>
          <w:b/>
          <w:i w:val="false"/>
          <w:caps w:val="false"/>
          <w:smallCaps w:val="false"/>
          <w:sz w:val="20"/>
        </w:rPr>
        <w:t>Company Balance Sheet Date</w:t>
      </w:r>
      <w:r>
        <w:rPr>
          <w:rFonts w:ascii="Times New Roman;Times;Serif" w:hAnsi="Times New Roman;Times;Serif"/>
          <w:b w:val="false"/>
          <w:i w:val="false"/>
          <w:caps w:val="false"/>
          <w:smallCaps w:val="false"/>
          <w:sz w:val="20"/>
        </w:rPr>
        <w:t>”), there has been no Material Adverse Effect with respect to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set forth on </w:t>
      </w:r>
      <w:r>
        <w:rPr>
          <w:rFonts w:ascii="Times New Roman;Times;Serif" w:hAnsi="Times New Roman;Times;Serif"/>
          <w:b w:val="false"/>
          <w:i w:val="false"/>
          <w:caps w:val="false"/>
          <w:smallCaps w:val="false"/>
          <w:sz w:val="20"/>
          <w:u w:val="single"/>
        </w:rPr>
        <w:t>Schedule 2.6</w:t>
      </w:r>
      <w:r>
        <w:rPr>
          <w:rFonts w:ascii="Times New Roman;Times;Serif" w:hAnsi="Times New Roman;Times;Serif"/>
          <w:b w:val="false"/>
          <w:i w:val="false"/>
          <w:caps w:val="false"/>
          <w:smallCaps w:val="false"/>
          <w:sz w:val="20"/>
        </w:rPr>
        <w:t xml:space="preserve"> or as contemplated by this Agreement, since the Company Balance Sheet Date, the Company has not (i) issued, sold or otherwise disposed of, or agreed to issue, sell or otherwise dispose of, any capital shares or any other security of the Company or (ii) granted, or agreed to grant, any option, warrant or other right to subscribe for or to purchase any capital shares or any other security of the Company.</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2.7 Absence of Certain Changes or Events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2.7</w:t>
      </w:r>
      <w:r>
        <w:rPr>
          <w:rFonts w:ascii="Times New Roman;Times;Serif" w:hAnsi="Times New Roman;Times;Serif"/>
          <w:b w:val="false"/>
          <w:i w:val="false"/>
          <w:caps w:val="false"/>
          <w:smallCaps w:val="false"/>
          <w:sz w:val="20"/>
        </w:rPr>
        <w:t xml:space="preserve"> or in connection with the execution and delivery of this Agreement and the consummation of the transactions contemplated hereby, since the Company Balance Sheet Date, the Company has conducted its business only in the ordinary course consistent with past practice and there is not and has not been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event, which, if it had taken place following the execution of this Agreement, would not have been permitted by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without prior consent of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condition, event or occurrence which could reasonably be expected to prevent, hinder or materially delay the ability of the Company to consummate the transactions contemplated by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incurrence, assumption or guarantee by the Company of any indebtedness for borrowed money other than in the ordinary course and in amounts and on terms consistent with past practices;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creation or other incurrence by the Company of any Lien on any asset other than in the ordinary course consistent with past practices;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labor dispute, other than routine, individual grievances, or, to the Knowledge of the Company, any activity or proceeding by a labor union or representative thereof to organize any employees of the Company or any lockouts, strikes, slowdowns, work stoppages or, to the Knowledge of the Company, threats by or with respect to such employees to do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payment, prepayment or discharge of any material liability other than in the ordinary course of business or any failure to pay any material liability when due;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material write-offs or write-downs of any Assets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damage, destruction or loss of any Assets of the Company having, or reasonably expected to have, a Material Adverse Effect on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other condition, event or occurrence which individually or in the aggregate could reasonably be expected to have a Material Adverse Effect with respect to the Company;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agreement or commitment to do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2.8 Certain Fees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2.8</w:t>
      </w:r>
      <w:r>
        <w:rPr>
          <w:rFonts w:ascii="Times New Roman;Times;Serif" w:hAnsi="Times New Roman;Times;Serif"/>
          <w:b w:val="false"/>
          <w:i w:val="false"/>
          <w:caps w:val="false"/>
          <w:smallCaps w:val="false"/>
          <w:sz w:val="20"/>
        </w:rPr>
        <w:t>, no brokerage or finder’s fees or commissions are or will be payable by the Company to any broker, financial advisor or consultant, finder, placement agent, investment banker, bank or other person with respect to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 Litigation; Labor Matters; Compliance with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set forth on Schedule 2.9, as of the date of this Agreement, there is no suit, action or proceeding or, to the Knowledge of the Company, investigation pending or, to the Knowledge of the Company, threatened against or affecting the Company, or, to the Knowledge of the Company, any basis for any such suit, action, proceeding or investigation, in each case that, individually or in the aggregate, could reasonably be expected to have a Material Adverse Effect with respect to the Company or prevent, hinder or materially delay the ability of the Company to consummate the transactions contemplated by this Agreement, nor is there any judgment, decree, injunction, or Order of any Governmental Entity or arbitrator outstanding against the Company having, or which, insofar as reasonably could be foreseen by the Company in the future could have, any such effect.</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is not a party to, or bound by, any collective bargaining agreement, Contract or other agreement or understanding with a labor union or labor organization, nor is it, as of the date of this Agreement, the subject of any proceeding asserting that it has committed an unfair labor practice or seeking to compel it to bargain with any labor organization as to wages or conditions of employment nor, as of the date of this Agreement, is there any strike, work stoppage or other labor dispute involving it pending or, to its Knowledge, threatened, in each case that, individually or in the aggregate, could reasonably be expected to have a Material Adverse Effect with respect to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is in compliance with all statutes, Laws, regulations, ordinances, rules, judgments, Orders, decrees or arbitration awards applicable to the Company or by which the Company or any of its businesses or properties is bound, except for such non-compliance that would not reasonably be expected to have, individually or in the aggregate, a Material Adverse Effect on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is, and during the past three (3) years have been, in compliance with all applicable regulatory requirements relating to the licensing, permitting, manufacturing, storage, distribution, and sale of their products and services, including all applicable requirements of the Department of Environment of Malaysia, the Energy Commission of Malaysia, and any other applicable Governmental Entity with jurisdiction over the Company’s renewable energy and waste management operations. All licenses, permits, approvals, and authorizations required under applicable Malaysian Law for the operation of the Company’s business have been duly obtained and are in full force and effect, and no material violations have been recorded against any such licenses, permits, approvals, or authorizations.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2.10 Benefit Plans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2.10</w:t>
      </w:r>
      <w:r>
        <w:rPr>
          <w:rFonts w:ascii="Times New Roman;Times;Serif" w:hAnsi="Times New Roman;Times;Serif"/>
          <w:b w:val="false"/>
          <w:i w:val="false"/>
          <w:caps w:val="false"/>
          <w:smallCaps w:val="false"/>
          <w:sz w:val="20"/>
        </w:rPr>
        <w:t>, the Company is not a party to any Benefit Plan under which the Company currently has an obligation to provide benefits to any current or former employee, officer or director of the Company. As used herein, “</w:t>
      </w:r>
      <w:r>
        <w:rPr>
          <w:rFonts w:ascii="Times New Roman;Times;Serif" w:hAnsi="Times New Roman;Times;Serif"/>
          <w:b/>
          <w:i w:val="false"/>
          <w:caps w:val="false"/>
          <w:smallCaps w:val="false"/>
          <w:sz w:val="20"/>
        </w:rPr>
        <w:t>Benefit Plans</w:t>
      </w:r>
      <w:r>
        <w:rPr>
          <w:rFonts w:ascii="Times New Roman;Times;Serif" w:hAnsi="Times New Roman;Times;Serif"/>
          <w:b w:val="false"/>
          <w:i w:val="false"/>
          <w:caps w:val="false"/>
          <w:smallCaps w:val="false"/>
          <w:sz w:val="20"/>
        </w:rPr>
        <w:t>” shall mean any employee benefit plan, program, or arrangement of any kind, including any defined benefit or defined contribution plan, share ownership plan, executive compensation program or arrangement, bonus plan, incentive compensation plan or arrangement, profit sharing plan or arrangement, deferred compensation plan, agreement or arrangement, supplemental retirement plan or arrangement, vacation pay, sickness, disability, or death benefit plan (whether provided through insurance, on a funded or unfunded basis, or otherwise), medical or life insurance plan providing benefits to employees, retirees, or former employees or any of their dependents, survivors, or beneficiaries, employee share option or share purchase plan, severance pay, termination, salary continuation, or employee assistance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2.11 Tax Returns and Tax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has timely filed with the appropriate taxing authorities all material Tax Returns required to be filed by it (taking into account all applicable extensions). All such Tax Returns are true, correct and complete in all material respects. All material Taxes due and owing by the Company have been paid (whether or not shown on any Tax Return and whether or not any Tax Return was required). Except as set forth on </w:t>
      </w:r>
      <w:r>
        <w:rPr>
          <w:rFonts w:ascii="Times New Roman;Times;Serif" w:hAnsi="Times New Roman;Times;Serif"/>
          <w:b w:val="false"/>
          <w:i w:val="false"/>
          <w:caps w:val="false"/>
          <w:smallCaps w:val="false"/>
          <w:sz w:val="20"/>
          <w:u w:val="single"/>
        </w:rPr>
        <w:t>Schedule 2.11</w:t>
      </w:r>
      <w:r>
        <w:rPr>
          <w:rFonts w:ascii="Times New Roman;Times;Serif" w:hAnsi="Times New Roman;Times;Serif"/>
          <w:b w:val="false"/>
          <w:i w:val="false"/>
          <w:caps w:val="false"/>
          <w:smallCaps w:val="false"/>
          <w:sz w:val="20"/>
        </w:rPr>
        <w:t>, the Company is not currently the beneficiary of any extension of time within which to file any Tax Return or pay any Tax. No claim has ever been made in writing or, to the Knowledge of the Company, otherwise addressed to the Company by a taxing authority in a jurisdiction where the Company does not file Tax Returns that it is or may be subject to taxation by that jurisdiction. The unpaid Taxes of the Company did not, as of the Company Balance Sheet Date, materially exceed the reserve for Tax liability (excluding any reserve for deferred Taxes established to reflect timing differences between book and Tax income) set forth on the face of the most recent balance sheet included in the Company Financial Statements (rather than in any notes thereto). Since the Company Balance Sheet Date, the Company has not incurred any material liability for Taxes outside the ordinary course of business consistent with past practice. As of the Closing Date, the unpaid Taxes of the Company will not materially exceed the reserve for Tax liability (excluding any reserve for deferred Taxes established to reflect timing differences between book and Tax income) set forth on the books and records of the Company.</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material claim for unpaid Taxes has been made or asserted in writing against the Company or become a Lien against the property of the Company, no audit of any Tax Return of the Company is being conducted by a tax authority, and no extension of the statute of limitations on the assessment of any Taxes has been granted by the Company and is currently in effect. The Company has withheld and paid all material Taxes required to have been withheld and paid in connection with amounts paid or owing to any employee, independent contractor, creditor, shareholder or other third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used herein, “</w:t>
      </w:r>
      <w:r>
        <w:rPr>
          <w:rFonts w:ascii="Times New Roman;Times;Serif" w:hAnsi="Times New Roman;Times;Serif"/>
          <w:b/>
          <w:i w:val="false"/>
          <w:caps w:val="false"/>
          <w:smallCaps w:val="false"/>
          <w:sz w:val="20"/>
        </w:rPr>
        <w:t>Tax Return</w:t>
      </w:r>
      <w:r>
        <w:rPr>
          <w:rFonts w:ascii="Times New Roman;Times;Serif" w:hAnsi="Times New Roman;Times;Serif"/>
          <w:b w:val="false"/>
          <w:i w:val="false"/>
          <w:caps w:val="false"/>
          <w:smallCaps w:val="false"/>
          <w:sz w:val="20"/>
        </w:rPr>
        <w:t>” shall mean any return, report or statement required to be filed with any governmental authority with respect to Taxes.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2.12 Environmental Matters.</w:t>
      </w:r>
      <w:r>
        <w:rPr>
          <w:rFonts w:ascii="Times New Roman;Times;Serif" w:hAnsi="Times New Roman;Times;Serif"/>
          <w:b w:val="false"/>
          <w:i w:val="false"/>
          <w:caps w:val="false"/>
          <w:smallCaps w:val="false"/>
          <w:sz w:val="20"/>
        </w:rPr>
        <w:t xml:space="preserve"> Except for such matters as would not reasonably be expected to have, individually or in the aggregate, a Material Adverse Effect 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and during the past three (3) years have been, in compliance in all material respects with all applicable Environmental Laws, including all permits, approvals, licenses, registrations, and authorizations issued by any Governmental Entity, including the Department of Environment of Malaysia (DOE). The Company has not received any unresolved written notice of material violation of Environmental Laws, nor is the Company subject to any pending or, to the Knowledge of the Company, threatened investigation, enforcement action, or proceeding by a Governmental Entity relating to Environmental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limiting the generality of </w:t>
      </w:r>
      <w:r>
        <w:rPr>
          <w:rFonts w:ascii="Times New Roman;Times;Serif" w:hAnsi="Times New Roman;Times;Serif"/>
          <w:b w:val="false"/>
          <w:i w:val="false"/>
          <w:caps w:val="false"/>
          <w:smallCaps w:val="false"/>
          <w:sz w:val="20"/>
          <w:u w:val="single"/>
        </w:rPr>
        <w:t>Section 2.12(a)</w:t>
      </w:r>
      <w:r>
        <w:rPr>
          <w:rFonts w:ascii="Times New Roman;Times;Serif" w:hAnsi="Times New Roman;Times;Serif"/>
          <w:b w:val="false"/>
          <w:i w:val="false"/>
          <w:caps w:val="false"/>
          <w:smallCaps w:val="false"/>
          <w:sz w:val="20"/>
        </w:rPr>
        <w:t>, the Company is, and during the past three (3) years have been, in compliance in all material respects with all applicable Malaysian Laws governing the generation, segregation, handling, storage, labeling, transportation, treatment, and disposal of scheduled waste, clinical waste, infectious waste, pathological waste, pharmaceutical waste, sharps, and other regulated healthcare waste (collectively, “</w:t>
      </w:r>
      <w:r>
        <w:rPr>
          <w:rFonts w:ascii="Times New Roman;Times;Serif" w:hAnsi="Times New Roman;Times;Serif"/>
          <w:b/>
          <w:i w:val="false"/>
          <w:caps w:val="false"/>
          <w:smallCaps w:val="false"/>
          <w:sz w:val="20"/>
        </w:rPr>
        <w:t>Medical Waste</w:t>
      </w:r>
      <w:r>
        <w:rPr>
          <w:rFonts w:ascii="Times New Roman;Times;Serif" w:hAnsi="Times New Roman;Times;Serif"/>
          <w:b w:val="false"/>
          <w:i w:val="false"/>
          <w:caps w:val="false"/>
          <w:smallCaps w:val="false"/>
          <w:sz w:val="20"/>
        </w:rPr>
        <w:t>”), including without limitation: the Environmental Quality Act 1974, the Environmental Quality (Scheduled Wastes) Regulations 2005, and applicable requirements of the DOE and relevant local authorities. The Company holds all material licenses, approvals, registrations, and permits required under Malaysian Law to conduct its Medical Waste operations (the “</w:t>
      </w:r>
      <w:r>
        <w:rPr>
          <w:rFonts w:ascii="Times New Roman;Times;Serif" w:hAnsi="Times New Roman;Times;Serif"/>
          <w:b/>
          <w:i w:val="false"/>
          <w:caps w:val="false"/>
          <w:smallCaps w:val="false"/>
          <w:sz w:val="20"/>
        </w:rPr>
        <w:t>Medical Waste Permits</w:t>
      </w:r>
      <w:r>
        <w:rPr>
          <w:rFonts w:ascii="Times New Roman;Times;Serif" w:hAnsi="Times New Roman;Times;Serif"/>
          <w:b w:val="false"/>
          <w:i w:val="false"/>
          <w:caps w:val="false"/>
          <w:smallCaps w:val="false"/>
          <w:sz w:val="20"/>
        </w:rPr>
        <w:t>”), all of which are valid, in full force and effect, and not subject to suspension or revocation.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maintains commercially reasonable procedures designed to ensure that only Medical Waste permitted under applicable Law and the Medical Waste Permits is accepted and processed, and prohibited waste streams are not knowingly accepted or treated. To the Knowledge of the Company, the Company has not materially handled, treated, or disposed of waste outside the scope of its Medical Waste Permits.</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transportation of Medical Waste by or on behalf of the Company is conducted in all material respects in compliance with applicable Malaysian Law. There have been no unauthorized releases, spills, or disposals of Medical Waste at or from any Company facility that have resulted in unresolved material environmental liability, nor is the Company subject to any pending remediation or corrective action obligation arising from its Medical Waste operations.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releases of Hazardous Materials have occurred at, from, in, to, on or under any real property currently or formerly owned, operated or leased by the Company or any predecessor thereof and no Hazardous Materials are present in, on, about or migrating to or from any such property.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no liability, absolute or contingent, under any Environmental Law, and there are no past, pending or, to the Knowledge of the Company, threatened claims under Environmental Laws against the Company and Company is not aware of any facts or circumstances that could reasonably be expected to result in a liability or claim against the Company pursuant to Environmental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2.13 Material Contract Defaults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2.13</w:t>
      </w:r>
      <w:r>
        <w:rPr>
          <w:rFonts w:ascii="Times New Roman;Times;Serif" w:hAnsi="Times New Roman;Times;Serif"/>
          <w:b w:val="false"/>
          <w:i w:val="false"/>
          <w:caps w:val="false"/>
          <w:smallCaps w:val="false"/>
          <w:sz w:val="20"/>
        </w:rPr>
        <w:t>, the Company is not, and has not received any written notice or has any Knowledge that any other Party is, in Material Contract Default under any Company Material Contract; and, to the Knowledge of the Company, there has not occurred any event that with the lapse of time or the giving of notice or both would constitute such a Material Contract Default under any Company Material Contract. For purposes of this Agreement, a “</w:t>
      </w:r>
      <w:r>
        <w:rPr>
          <w:rFonts w:ascii="Times New Roman;Times;Serif" w:hAnsi="Times New Roman;Times;Serif"/>
          <w:b/>
          <w:i w:val="false"/>
          <w:caps w:val="false"/>
          <w:smallCaps w:val="false"/>
          <w:sz w:val="20"/>
        </w:rPr>
        <w:t>Company Material Contract</w:t>
      </w:r>
      <w:r>
        <w:rPr>
          <w:rFonts w:ascii="Times New Roman;Times;Serif" w:hAnsi="Times New Roman;Times;Serif"/>
          <w:b w:val="false"/>
          <w:i w:val="false"/>
          <w:caps w:val="false"/>
          <w:smallCaps w:val="false"/>
          <w:sz w:val="20"/>
        </w:rPr>
        <w:t xml:space="preserve">” means any Contract that is in effect as of the Closing Date to which the Company is a party (i) with expected receipts or expenditures in excess of $100,000, (ii) requiring the Company to indemnify any person, other than any Contract providing for indemnification of customers or other Persons pursuant to Contracts entered into in the ordinary course of business, (iii) granting exclusive rights to any party, or (iv) evidencing indebtedness for borrowed or loaned money in excess of $100,000, including guarantees of such indebtedness. </w:t>
      </w:r>
      <w:r>
        <w:rPr>
          <w:rFonts w:ascii="Times New Roman;Times;Serif" w:hAnsi="Times New Roman;Times;Serif"/>
          <w:b w:val="false"/>
          <w:i w:val="false"/>
          <w:caps w:val="false"/>
          <w:smallCaps w:val="false"/>
          <w:sz w:val="20"/>
          <w:u w:val="single"/>
        </w:rPr>
        <w:t>Schedule 2.13</w:t>
      </w:r>
      <w:r>
        <w:rPr>
          <w:rFonts w:ascii="Times New Roman;Times;Serif" w:hAnsi="Times New Roman;Times;Serif"/>
          <w:b w:val="false"/>
          <w:i w:val="false"/>
          <w:caps w:val="false"/>
          <w:smallCaps w:val="false"/>
          <w:sz w:val="20"/>
        </w:rPr>
        <w:t xml:space="preserve"> contains a true, correct and complete list of all Company Material Contracts. The Company has made available to Parent true, correct and complete copies of each Company Material Contract. Each Company Material Contract is valid, binding and enforceable in accordance with its terms and is in full force and effect, except as may be limited by bankruptcy, insolvency or similar Laws affecting creditors’ rights generally. Neither the Company nor any other party thereto is in material breach or default under any Company Material Contract, and no event has occurred that, with notice or lapse of time or both, would constitute a material breach or default thereunder or permit termination, modification, or acceleration thereunder. The Company has not received any written notice that any party to any Company Material Contract intends to cancel, terminate, or materially modify such Company Material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2.14 Accounts Receivable.</w:t>
      </w:r>
      <w:r>
        <w:rPr>
          <w:rFonts w:ascii="Times New Roman;Times;Serif" w:hAnsi="Times New Roman;Times;Serif"/>
          <w:b w:val="false"/>
          <w:i w:val="false"/>
          <w:caps w:val="false"/>
          <w:smallCaps w:val="false"/>
          <w:sz w:val="20"/>
        </w:rPr>
        <w:t xml:space="preserve"> All of the accounts receivable of the Company that are reflected on the most recent balance sheet included in the Company Financial Statements or the accounting records of the Company as of the Closing (collectively, the “</w:t>
      </w:r>
      <w:r>
        <w:rPr>
          <w:rFonts w:ascii="Times New Roman;Times;Serif" w:hAnsi="Times New Roman;Times;Serif"/>
          <w:b/>
          <w:i w:val="false"/>
          <w:caps w:val="false"/>
          <w:smallCaps w:val="false"/>
          <w:sz w:val="20"/>
        </w:rPr>
        <w:t>Accounts Receivable</w:t>
      </w:r>
      <w:r>
        <w:rPr>
          <w:rFonts w:ascii="Times New Roman;Times;Serif" w:hAnsi="Times New Roman;Times;Serif"/>
          <w:b w:val="false"/>
          <w:i w:val="false"/>
          <w:caps w:val="false"/>
          <w:smallCaps w:val="false"/>
          <w:sz w:val="20"/>
        </w:rPr>
        <w:t>”) represent or will represent valid obligations arising from sales actually made or services actually performed in the ordinary course of business and are not subject to any defenses, counterclaims, or rights of set off other than those arising in the ordinary course of business and for which adequate reserves have been established. The Accounts Receivable are fully collectible to the extent not reserved for on the balance sheet on which they are shown or on the accounting records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2.15 Properties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2.15</w:t>
      </w:r>
      <w:r>
        <w:rPr>
          <w:rFonts w:ascii="Times New Roman;Times;Serif" w:hAnsi="Times New Roman;Times;Serif"/>
          <w:b w:val="false"/>
          <w:i w:val="false"/>
          <w:caps w:val="false"/>
          <w:smallCaps w:val="false"/>
          <w:sz w:val="20"/>
        </w:rPr>
        <w:t>, the Company has valid land use rights for all real property that is material to its business and good, clear and marketable title to all the tangible properties and tangible Assets reflected in the latest balance sheet included in the Company Financial Statements as being owned by the Company or acquired after the date thereof which are, individually or in the aggregate, material to the Company’s business (except properties sold or otherwise disposed of since the date thereof in the ordinary course of business), free and clear of all Material Liens. Any real property and facilities held under lease by the Company is held by it under valid, subsisting and enforceable leases of which the Company is in compliance, except as could not, individually or in the aggregate, have or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2.16 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used in this Agreement,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means all right, title and interest in or relating to all intellectual property, whether protected, created or arising under the laws of the United States or any other jurisdiction or under any international convention, including, but not limited to the following: (a) service marks, trademarks, trade names, trade dress, logos and corporate names (and any derivations, modifications or adaptations thereof), Internet domain names and Internet websites (and content thereof), together with the goodwill associated with any of the foregoing, and all applications, registrations, renewals and extensions thereof (collectively, “</w:t>
      </w:r>
      <w:r>
        <w:rPr>
          <w:rFonts w:ascii="Times New Roman;Times;Serif" w:hAnsi="Times New Roman;Times;Serif"/>
          <w:b/>
          <w:i w:val="false"/>
          <w:caps w:val="false"/>
          <w:smallCaps w:val="false"/>
          <w:sz w:val="20"/>
        </w:rPr>
        <w:t>Marks</w:t>
      </w:r>
      <w:r>
        <w:rPr>
          <w:rFonts w:ascii="Times New Roman;Times;Serif" w:hAnsi="Times New Roman;Times;Serif"/>
          <w:b w:val="false"/>
          <w:i w:val="false"/>
          <w:caps w:val="false"/>
          <w:smallCaps w:val="false"/>
          <w:sz w:val="20"/>
        </w:rPr>
        <w:t>”); (b) patents and patent applications, including all continuations, divisionals, continuations-in-part and provisionals and patents issuing thereon, and all reissues, reexaminations, substitutions, renewals and extensions thereof (collectively, “</w:t>
      </w:r>
      <w:r>
        <w:rPr>
          <w:rFonts w:ascii="Times New Roman;Times;Serif" w:hAnsi="Times New Roman;Times;Serif"/>
          <w:b/>
          <w:i w:val="false"/>
          <w:caps w:val="false"/>
          <w:smallCaps w:val="false"/>
          <w:sz w:val="20"/>
        </w:rPr>
        <w:t>Patents</w:t>
      </w:r>
      <w:r>
        <w:rPr>
          <w:rFonts w:ascii="Times New Roman;Times;Serif" w:hAnsi="Times New Roman;Times;Serif"/>
          <w:b w:val="false"/>
          <w:i w:val="false"/>
          <w:caps w:val="false"/>
          <w:smallCaps w:val="false"/>
          <w:sz w:val="20"/>
        </w:rPr>
        <w:t>”); (c) copyrights, works of authorship and moral rights, and all registrations, applications, renewals, extensions and reversions thereof (collectively, “</w:t>
      </w:r>
      <w:r>
        <w:rPr>
          <w:rFonts w:ascii="Times New Roman;Times;Serif" w:hAnsi="Times New Roman;Times;Serif"/>
          <w:b/>
          <w:i w:val="false"/>
          <w:caps w:val="false"/>
          <w:smallCaps w:val="false"/>
          <w:sz w:val="20"/>
        </w:rPr>
        <w:t>Copyrights</w:t>
      </w:r>
      <w:r>
        <w:rPr>
          <w:rFonts w:ascii="Times New Roman;Times;Serif" w:hAnsi="Times New Roman;Times;Serif"/>
          <w:b w:val="false"/>
          <w:i w:val="false"/>
          <w:caps w:val="false"/>
          <w:smallCaps w:val="false"/>
          <w:sz w:val="20"/>
        </w:rPr>
        <w:t>”); (d) confidential and proprietary information, trade secrets and non-public discoveries, concepts, ideas, research and development, technology, know-how, formulae, inventions (whether or not patentable and whether or not reduced to practice), compositions, processes, techniques, technical data and information, procedures, designs, drawings, specifications, databases, customer lists, supplier lists, pricing and cost information, and business and marketing plans and proposals, in each case excluding any rights in respect of any of the foregoing that comprise or are protected by Patents (collectively, “</w:t>
      </w:r>
      <w:r>
        <w:rPr>
          <w:rFonts w:ascii="Times New Roman;Times;Serif" w:hAnsi="Times New Roman;Times;Serif"/>
          <w:b/>
          <w:i w:val="false"/>
          <w:caps w:val="false"/>
          <w:smallCaps w:val="false"/>
          <w:sz w:val="20"/>
        </w:rPr>
        <w:t>Trade Secrets</w:t>
      </w:r>
      <w:r>
        <w:rPr>
          <w:rFonts w:ascii="Times New Roman;Times;Serif" w:hAnsi="Times New Roman;Times;Serif"/>
          <w:b w:val="false"/>
          <w:i w:val="false"/>
          <w:caps w:val="false"/>
          <w:smallCaps w:val="false"/>
          <w:sz w:val="20"/>
        </w:rPr>
        <w:t>”); and (e) Technology. For purposes of this Agreement, “</w:t>
      </w:r>
      <w:r>
        <w:rPr>
          <w:rFonts w:ascii="Times New Roman;Times;Serif" w:hAnsi="Times New Roman;Times;Serif"/>
          <w:b/>
          <w:i w:val="false"/>
          <w:caps w:val="false"/>
          <w:smallCaps w:val="false"/>
          <w:sz w:val="20"/>
        </w:rPr>
        <w:t>Technology</w:t>
      </w:r>
      <w:r>
        <w:rPr>
          <w:rFonts w:ascii="Times New Roman;Times;Serif" w:hAnsi="Times New Roman;Times;Serif"/>
          <w:b w:val="false"/>
          <w:i w:val="false"/>
          <w:caps w:val="false"/>
          <w:smallCaps w:val="false"/>
          <w:sz w:val="20"/>
        </w:rPr>
        <w:t>” means all Software, information, designs, formulae, algorithms, procedures, methods, techniques, ideas, know-how, research and development, technical data, programs, subroutines, tools, materials, specifications, processes, inventions (whether or not patentable and whether or not reduced to practice), apparatus, creations, improvements and other similar materials, and all recordings, graphs, drawings, reports, analyses, and other writings, and other embodiments of any of the foregoing, in any form or media whether or not specifically listed herein. Further, for purposes of this Agreement, “</w:t>
      </w:r>
      <w:r>
        <w:rPr>
          <w:rFonts w:ascii="Times New Roman;Times;Serif" w:hAnsi="Times New Roman;Times;Serif"/>
          <w:b/>
          <w:i w:val="false"/>
          <w:caps w:val="false"/>
          <w:smallCaps w:val="false"/>
          <w:sz w:val="20"/>
        </w:rPr>
        <w:t>Software</w:t>
      </w:r>
      <w:r>
        <w:rPr>
          <w:rFonts w:ascii="Times New Roman;Times;Serif" w:hAnsi="Times New Roman;Times;Serif"/>
          <w:b w:val="false"/>
          <w:i w:val="false"/>
          <w:caps w:val="false"/>
          <w:smallCaps w:val="false"/>
          <w:sz w:val="20"/>
        </w:rPr>
        <w:t>” means any and all computer programs, whether in source code or object code; databases and compilations, whether machine readable or otherwise; descriptions, flow-charts and other work product used to design, plan, organize and develop any of the foregoing; and all documentation, including user manuals and other training documentation, related to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Schedule 2.16</w:t>
      </w:r>
      <w:r>
        <w:rPr>
          <w:rFonts w:ascii="Times New Roman;Times;Serif" w:hAnsi="Times New Roman;Times;Serif"/>
          <w:b w:val="false"/>
          <w:i w:val="false"/>
          <w:caps w:val="false"/>
          <w:smallCaps w:val="false"/>
          <w:sz w:val="20"/>
        </w:rPr>
        <w:t xml:space="preserve"> sets forth a list, as of the date of this Agreement, of all: (a) Company-Owned IP that is the subject of any issuance, registration, certificate, application or other filing by, to or with any Governmental Authority or authorized private registrar, including registered Marks, registered Copyrights, issued Patents, domain name registrations and pending applications for any of the foregoing; (b) material unregistered Company-Owned IP, including, but not limited to all Software developed by or for the Company; and (c) any Software not exclusively owned by the Company and incorporated, embedded or bundled with any Software listed in clause (b) above (except for commercially available software and so-called “shrink wrap” software licensed to the Company on reasonable terms through commercial distributors or in consumer retail stores for a license fee of no more than $20,000).</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is the exclusive owner of or, to the Knowledge of the Company, has a valid and enforceable right to use all Intellectual Property listed for the Company in </w:t>
      </w:r>
      <w:r>
        <w:rPr>
          <w:rFonts w:ascii="Times New Roman;Times;Serif" w:hAnsi="Times New Roman;Times;Serif"/>
          <w:b w:val="false"/>
          <w:i w:val="false"/>
          <w:caps w:val="false"/>
          <w:smallCaps w:val="false"/>
          <w:sz w:val="20"/>
          <w:u w:val="single"/>
        </w:rPr>
        <w:t>Schedule 2.16</w:t>
      </w:r>
      <w:r>
        <w:rPr>
          <w:rFonts w:ascii="Times New Roman;Times;Serif" w:hAnsi="Times New Roman;Times;Serif"/>
          <w:b w:val="false"/>
          <w:i w:val="false"/>
          <w:caps w:val="false"/>
          <w:smallCaps w:val="false"/>
          <w:sz w:val="20"/>
        </w:rPr>
        <w:t xml:space="preserve"> (and any other Intellectual Property required to be listed in </w:t>
      </w:r>
      <w:r>
        <w:rPr>
          <w:rFonts w:ascii="Times New Roman;Times;Serif" w:hAnsi="Times New Roman;Times;Serif"/>
          <w:b w:val="false"/>
          <w:i w:val="false"/>
          <w:caps w:val="false"/>
          <w:smallCaps w:val="false"/>
          <w:sz w:val="20"/>
          <w:u w:val="single"/>
        </w:rPr>
        <w:t>Schedule 2.16</w:t>
      </w:r>
      <w:r>
        <w:rPr>
          <w:rFonts w:ascii="Times New Roman;Times;Serif" w:hAnsi="Times New Roman;Times;Serif"/>
          <w:b w:val="false"/>
          <w:i w:val="false"/>
          <w:caps w:val="false"/>
          <w:smallCaps w:val="false"/>
          <w:sz w:val="20"/>
        </w:rPr>
        <w:t>) as the same are used, sold, licensed and otherwise commercially exploited by the Company, free and clear of all Material Liens, and no such Intellectual Property has been abandoned, except in each case as would not reasonably be expected to have, individually or in the aggregate, a Material Adverse Effect on the Company. To the Knowledge of the Company, the Company-Owned IP and the material Intellectual Property licensed to it pursuant to, to the Knowledge of the Company, valid and enforceable written license agreements include all of the material Intellectual Property necessary and sufficient to enable the Company to conduct its business in substantially the manner in which such business is currently being conducted. To the Knowledge of the Company, its rights in and to the Company-Owned IP are valid and enforceable, except as would not reasonably be expected to have, individually or in the aggregate, a Material Adverse Effect on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not received, and is not aware of, any written or oral notice of any reasonable basis for an allegation against the Company of any infringement, misappropriation, or violation by the Company of any rights of any third party with respect to any Intellectual Property, and the Company is not aware of any reasonable basis for any claim challenging the ownership, use, validity or enforceability of any Intellectual Property owned, used or held for use by the Company, in each case except for such allegations or claims that would not reasonably be expected to have, individually or in the aggregate, a Material Adverse Effect on the Company. To the Knowledge of the Company, no third party is infringing, misappropriating, or otherwise violating (or has infringed, misappropriated or violated) any Company-Owned IP or Intellectual Property exclusively licensed to the Company, except as would not be reasonably be expected to have, individually or in the aggregate, a Material Adverse Effect on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would not be reasonably be expected to have, individually or in the aggregate, a Material Adverse Effect on the Company, (a) the conduct of the business of the Company is not infringing, misappropriating or otherwise violating any Intellectual Property rights of any third parties, and (b) the Company is not aware of any infringement, misappropriation or violation of any third-party rights which will occur as a result of the continued operation of the Company as presently operated and/or the consummation of the transaction contemplated by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taken reasonable measures to protect the confidentiality and value of its Trade Secrets (and any confidential information owned by a third party to whom the Company has a confidentiality obligation), except where the failure to take such actions would not reasonably be expected to have, individually or in the aggregate, a Material Adverse Effect on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the Knowledge of the Company, the consummation of the transactions contemplated by this Agreement will not adversely affect the right of the Company to own or use any Intellectual Property owned, used or held for use by it), except for any such effect as would not reasonably be expected to have, individually or in the aggregate, a Material Adverse Effect on the Company.</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To the Knowledge of the Company, all necessary registration, maintenance, renewal and other relevant filing fees in connection with any of the Company-Owned IP listed (or required to be listed) on </w:t>
      </w:r>
      <w:r>
        <w:rPr>
          <w:rFonts w:ascii="Times New Roman;Times;Serif" w:hAnsi="Times New Roman;Times;Serif"/>
          <w:b w:val="false"/>
          <w:i w:val="false"/>
          <w:caps w:val="false"/>
          <w:smallCaps w:val="false"/>
          <w:sz w:val="20"/>
          <w:u w:val="single"/>
        </w:rPr>
        <w:t>Schedule 2.16</w:t>
      </w:r>
      <w:r>
        <w:rPr>
          <w:rFonts w:ascii="Times New Roman;Times;Serif" w:hAnsi="Times New Roman;Times;Serif"/>
          <w:b w:val="false"/>
          <w:i w:val="false"/>
          <w:caps w:val="false"/>
          <w:smallCaps w:val="false"/>
          <w:sz w:val="20"/>
        </w:rPr>
        <w:t xml:space="preserve"> have been timely paid and all necessary registrations, documents, certificates and other relevant filings in connection with such Company-Owned IP have been timely filed with the relevant governmental authorities in the United States or foreign jurisdictions, as the case may be, for the purpose of maintaining such Company-Owned IP and all issuances, registrations and applications therefor, except in each case where the failure to take such actions would not reasonably be expected to have, individually or in the aggregate, a Material Adverse Effect on the Company. To the Knowledge of the Company, there are no material annuities, payments, fees, responses to office actions or other filings necessary to be made and having a due date with respect to any such Company-Owned IP within ninety (90) days after the date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2.17 Board Recommendation and Affirmative Vote.</w:t>
      </w:r>
      <w:r>
        <w:rPr>
          <w:rFonts w:ascii="Times New Roman;Times;Serif" w:hAnsi="Times New Roman;Times;Serif"/>
          <w:b w:val="false"/>
          <w:i w:val="false"/>
          <w:caps w:val="false"/>
          <w:smallCaps w:val="false"/>
          <w:sz w:val="20"/>
        </w:rPr>
        <w:t xml:space="preserve"> The Board of Directors of the Company have determined that the terms of the Exchange are fair to and in the best interests of the Selling Shareholders and the Company and recommended that the Selling Shareholders approve the Exchange. The unanimous vote (or written consent) of the Selling Shareholders is required to approve the Exchange and this Agreement (the “</w:t>
      </w:r>
      <w:r>
        <w:rPr>
          <w:rFonts w:ascii="Times New Roman;Times;Serif" w:hAnsi="Times New Roman;Times;Serif"/>
          <w:b/>
          <w:i w:val="false"/>
          <w:caps w:val="false"/>
          <w:smallCaps w:val="false"/>
          <w:sz w:val="20"/>
        </w:rPr>
        <w:t>Required Company Shareholder Vote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2.18 Undisclosed Liabilities.</w:t>
      </w:r>
      <w:r>
        <w:rPr>
          <w:rFonts w:ascii="Times New Roman;Times;Serif" w:hAnsi="Times New Roman;Times;Serif"/>
          <w:b w:val="false"/>
          <w:i w:val="false"/>
          <w:caps w:val="false"/>
          <w:smallCaps w:val="false"/>
          <w:sz w:val="20"/>
        </w:rPr>
        <w:t xml:space="preserve"> The Company has no liabilities, indebtedness or monetary obligations of any nature (whether fixed or unfixed, secured or unsecured, known or unknown and whether absolute, accrued, contingent, or otherwise) except for such liabilities, indebtedness or obligations (i) reflected or reserved against in the Company Financial Statements, (ii) incurred in the ordinary course of business after the Company Balance Sheet Date, (iii) incurred in connection with the transactions contemplated by this Agreement, (iv) disclosed in </w:t>
      </w:r>
      <w:r>
        <w:rPr>
          <w:rFonts w:ascii="Times New Roman;Times;Serif" w:hAnsi="Times New Roman;Times;Serif"/>
          <w:b w:val="false"/>
          <w:i w:val="false"/>
          <w:caps w:val="false"/>
          <w:smallCaps w:val="false"/>
          <w:sz w:val="20"/>
          <w:u w:val="single"/>
        </w:rPr>
        <w:t>Schedule 2.18</w:t>
      </w:r>
      <w:r>
        <w:rPr>
          <w:rFonts w:ascii="Times New Roman;Times;Serif" w:hAnsi="Times New Roman;Times;Serif"/>
          <w:b w:val="false"/>
          <w:i w:val="false"/>
          <w:caps w:val="false"/>
          <w:smallCaps w:val="false"/>
          <w:sz w:val="20"/>
        </w:rPr>
        <w:t>, or (v) would not reasonably be expected to have, individually or in the aggregate, a Material Adverse Effect 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2.19 Cybersecurity</w:t>
      </w:r>
      <w:r>
        <w:rPr>
          <w:rFonts w:ascii="Times New Roman;Times;Serif" w:hAnsi="Times New Roman;Times;Serif"/>
          <w:b w:val="false"/>
          <w:i w:val="false"/>
          <w:caps w:val="false"/>
          <w:smallCaps w:val="false"/>
          <w:sz w:val="20"/>
        </w:rPr>
        <w:t>. The Company maintain and comply with commercially reasonable cybersecurity, data protection, and information security programs, policies, and procedures designed to protect the confidentiality, integrity, and availability of their information technology systems, networks, and data (including all Personal Data) against unauthorized access, use, modification, disclosure, or other misuse. To the Knowledge of the Company, there has been no (i) material security breach, cyberattack, or other material security incident affecting any such systems, networks, or data, (ii) material unauthorized access to or disclosure of any trade secrets, confidential information, or Personal Data in the Company’s possession or control, or (iii) material violation of any applicable Data Protection Laws by the Company. The Company have implemented commercially reasonable backup and disaster recovery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2.20 Parent Information.</w:t>
      </w:r>
      <w:r>
        <w:rPr>
          <w:rFonts w:ascii="Times New Roman;Times;Serif" w:hAnsi="Times New Roman;Times;Serif"/>
          <w:b w:val="false"/>
          <w:i w:val="false"/>
          <w:caps w:val="false"/>
          <w:smallCaps w:val="false"/>
          <w:sz w:val="20"/>
        </w:rPr>
        <w:t xml:space="preserve"> The Company and Selling Shareholders acknowledge that they have had access to the documents filed by Parent under the Exchange Act, since the end of its most recently completed fiscal year to the date hereof, and has carefully reviewed the same (“</w:t>
      </w:r>
      <w:r>
        <w:rPr>
          <w:rFonts w:ascii="Times New Roman;Times;Serif" w:hAnsi="Times New Roman;Times;Serif"/>
          <w:b/>
          <w:i w:val="false"/>
          <w:caps w:val="false"/>
          <w:smallCaps w:val="false"/>
          <w:sz w:val="20"/>
        </w:rPr>
        <w:t>Exchange Act Documents</w:t>
      </w:r>
      <w:r>
        <w:rPr>
          <w:rFonts w:ascii="Times New Roman;Times;Serif" w:hAnsi="Times New Roman;Times;Serif"/>
          <w:b w:val="false"/>
          <w:i w:val="false"/>
          <w:caps w:val="false"/>
          <w:smallCaps w:val="false"/>
          <w:sz w:val="20"/>
        </w:rPr>
        <w:t>”). The Company and Selling Shareholders have carefully considered the potential risks relating to Parent and investing in the Parent Common Stock, and fully understand that such securities are speculative investments, which involve a high degree of risk of loss of the Selling Shareholders’ entire investment. Among others, the Company and Selling Shareholders have carefully considered each of the risks identified under the caption “Risk Factors” in the Exchange Act Documents, which “Risk Factors” are incorporated herein by reference.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2.21 Transactions with Affiliates. </w:t>
      </w:r>
      <w:r>
        <w:rPr>
          <w:rFonts w:ascii="Times New Roman;Times;Serif" w:hAnsi="Times New Roman;Times;Serif"/>
          <w:b w:val="false"/>
          <w:i w:val="false"/>
          <w:caps w:val="false"/>
          <w:smallCaps w:val="false"/>
          <w:sz w:val="20"/>
          <w:u w:val="single"/>
        </w:rPr>
        <w:t>Schedule 2.21</w:t>
      </w:r>
      <w:r>
        <w:rPr>
          <w:rFonts w:ascii="Times New Roman;Times;Serif" w:hAnsi="Times New Roman;Times;Serif"/>
          <w:b w:val="false"/>
          <w:i w:val="false"/>
          <w:caps w:val="false"/>
          <w:smallCaps w:val="false"/>
          <w:sz w:val="20"/>
        </w:rPr>
        <w:t xml:space="preserve"> describes any material transactions or relationships between, on the one hand, the Company and, on the other hand, any (i) executive officer or director of the Company or any such executive officer’s or director’s immediate family members, (ii) owner of more than 5% of the voting power of the outstanding capital shares of the Company, or (iii) to the Knowledge of the Company, any “related person” (within the meaning of Item 404 of Regulation S-K under the Securities Act) of any such officer, director or owner (other than the Company) in the case of each of clauses (i), (ii) or (iii) that is of the type that would be required to be disclosed under Item 404 of Regulations S-K under the Securities Act. </w:t>
      </w:r>
      <w:r>
        <w:rPr>
          <w:rFonts w:ascii="Times New Roman;Times;Serif" w:hAnsi="Times New Roman;Times;Serif"/>
          <w:b w:val="false"/>
          <w:i w:val="false"/>
          <w:caps w:val="false"/>
          <w:smallCaps w:val="false"/>
          <w:sz w:val="20"/>
          <w:u w:val="single"/>
        </w:rPr>
        <w:t>Schedule 2.21</w:t>
      </w:r>
      <w:r>
        <w:rPr>
          <w:rFonts w:ascii="Times New Roman;Times;Serif" w:hAnsi="Times New Roman;Times;Serif"/>
          <w:b w:val="false"/>
          <w:i w:val="false"/>
          <w:caps w:val="false"/>
          <w:smallCaps w:val="false"/>
          <w:sz w:val="20"/>
        </w:rPr>
        <w:t xml:space="preserve"> lists each shareholders’ agreement, voting agreement, registration rights agreement, co-sale agreement or other similar Company Material Contract between the Company and any holders of capital share of the Company, including any such Contract granting any Person investor rights, rights of first refusal, rights of first offer, registration rights, director designation rights or similar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2.22 Certain Business Practices.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nor any of its respective representatives acting on their behalf has (i) used any funds for unlawful contributions, gifts, entertainment or other unlawful expenses relating to political activity, (ii) made any unlawful payment to foreign or domestic government officials or employees, to foreign or domestic political parties or campaigns or violated any provision of the U.S. Foreign Corrupt Practices Act of 1977, the Malaysian Anti-Corruption Commission Act 2009 or any other local or foreign anti-corruption or bribery Law or (iii) made any other unlawful payment. The Company, nor to the Knowledge of the Company, any of their respective representatives acting on their behalf, has directly or indirectly, given or agreed to give any unlawful gift or similar benefit in any material amount to any customer, supplier, governmental employee or other Person who is or may be in a position to help or hinder the Company or assist the Company in connection with any actual or proposed transaction.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operations of the Company are and have been conducted at all times in compliance with money laundering statutes in all applicable jurisdictions, the rules and regulations thereunder and any related or similar rules, regulations or guidelines, issued, administered or enforced by any Governmental Entity, and no action involving the Company with respect to any of the foregoing is pending or, to the Knowledge of the Company, threatened.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Company nor any of its respective directors or officers, or, to the Knowledge of the Company, any other representative acting on behalf of the Company is currently identified on the specially designated nationals or other blocked person list or otherwise currently subject to any U.S. sanctions administered by the Office of Foreign Assets Control of the U.S. Treasury Department (“</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or on the sanctions lists adopted by the United Nations and/or European Union, as such lists may be extended from time to time (“</w:t>
      </w:r>
      <w:r>
        <w:rPr>
          <w:rFonts w:ascii="Times New Roman;Times;Serif" w:hAnsi="Times New Roman;Times;Serif"/>
          <w:b/>
          <w:i w:val="false"/>
          <w:caps w:val="false"/>
          <w:smallCaps w:val="false"/>
          <w:sz w:val="20"/>
        </w:rPr>
        <w:t>Sanctions List</w:t>
      </w:r>
      <w:r>
        <w:rPr>
          <w:rFonts w:ascii="Times New Roman;Times;Serif" w:hAnsi="Times New Roman;Times;Serif"/>
          <w:b w:val="false"/>
          <w:i w:val="false"/>
          <w:caps w:val="false"/>
          <w:smallCaps w:val="false"/>
          <w:sz w:val="20"/>
        </w:rPr>
        <w:t>”) and the Company has not in the last five (5) fiscal years, directly or indirectly, used any funds, or loaned, contributed or otherwise made available such funds to any Subsidiary, joint venture partner or other Person, in connection with any sales or operations in Cuba, Iran, Syria, Sudan, Myanmar or any other country sanctioned by OFAC or on the Sanctions List or for the purpose of financing the activities of any Person currently subject to, or otherwise in violation of, any U.S. sanctions administered by OFAC or the Sanctions List.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2.23 Independent Investigation</w:t>
      </w:r>
      <w:r>
        <w:rPr>
          <w:rFonts w:ascii="Times New Roman;Times;Serif" w:hAnsi="Times New Roman;Times;Serif"/>
          <w:b w:val="false"/>
          <w:i w:val="false"/>
          <w:caps w:val="false"/>
          <w:smallCaps w:val="false"/>
          <w:sz w:val="20"/>
        </w:rPr>
        <w:t>. The Company and Selling Shareholders have conducted their own independent investigation, review and analysis of the business, results of operations, prospects, condition (financial or otherwise) or assets of Parent, and acknowledge that they have been provided adequate access to the personnel, properties, assets, premises, books and records, and other documents and data of Parent for such purpose. The Company and Selling Shareholders acknowledge and agree that in making their decision to enter into this Agreement and to consummate the transactions contemplated under this Agreement, they have relied solely upon their own investigation and the express representations and warranties of Parent set forth in this Agreement (including the related portions of Parent Disclosure Schedules) and in any certificate delivered to the Company and/or the Selling Shareholders pursuant hereto.</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2.24 No Other Representations or Warranties. </w:t>
      </w:r>
      <w:r>
        <w:rPr>
          <w:rFonts w:ascii="Times New Roman;Times;Serif" w:hAnsi="Times New Roman;Times;Serif"/>
          <w:b w:val="false"/>
          <w:i w:val="false"/>
          <w:caps w:val="false"/>
          <w:smallCaps w:val="false"/>
          <w:sz w:val="20"/>
        </w:rPr>
        <w:t xml:space="preserve">The Company and Selling Shareholders hereby acknowledge and agree that, except for the representations and warranties contained in this Agreement, neither Parent nor any other Person on behalf of Parent makes any express or implied representation or warranty with respect to Parent, or with respect to any other information provided to the Company, any of the Selling Shareholders or any of their respective Affiliates in connection with the transactions contemplated by this Agreement, and (subject to the express representations and warranties of Parent set forth in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(in each case as qualified and limited by the Parent Disclosure Schedule)) none of the Company, or any of its representatives or the Selling Shareholders, has relied on any such information (including the accuracy or completeness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2.25 Full Disclosure</w:t>
      </w:r>
      <w:r>
        <w:rPr>
          <w:rFonts w:ascii="Times New Roman;Times;Serif" w:hAnsi="Times New Roman;Times;Serif"/>
          <w:b w:val="false"/>
          <w:i w:val="false"/>
          <w:caps w:val="false"/>
          <w:smallCaps w:val="false"/>
          <w:sz w:val="20"/>
        </w:rPr>
        <w:t>. The representations and warranties made by the Company and Selling Shareholders in this Agreement, including the Company Disclosure Schedules attached hereto, and all statements set forth in the certificates delivered by the Company and Selling Shareholders at the Closing pursuant to this Agreement do not contain any untrue statement of a material fact or omit to state any material fact necessary in order to make such representations, warranties or statements, in light of the circumstances under which they were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 OF PARENT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represents and warrants to the Company and Selling Shareholders that, except as set forth in the Parent SEC Documents and the Parent Disclosure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 Organization, Standing and Corporate Power.</w:t>
      </w:r>
      <w:r>
        <w:rPr>
          <w:rFonts w:ascii="Times New Roman;Times;Serif" w:hAnsi="Times New Roman;Times;Serif"/>
          <w:b w:val="false"/>
          <w:i w:val="false"/>
          <w:caps w:val="false"/>
          <w:smallCaps w:val="false"/>
          <w:sz w:val="20"/>
        </w:rPr>
        <w:t xml:space="preserve"> Parent is duly organized, validly existing and in good standing under the Laws of the State of Delaware, and has the requisite corporate power and authority to own, lease and operate its properties and carry on its business as now being conducted. Parent holds, to the extent legally required to operate its business as such business is being operated as of the date hereof, all Permits, except for any Permits for which the failure to obtain or hold would not reasonably be expected to have, individually or in the aggregate, a Material Adverse Effect on Parent. Parent is duly qualified or licensed to do business and is in good standing in each jurisdiction in which the nature of its business or the ownership or leasing of its properties makes such qualification or licensing necessary, other than in such jurisdictions where the failure to be so qualified or licensed or to be in good standing (individually or in the aggregate) would not have a Material Adverse Effect with respect to Parent. Shares of common stock of Parent, par value $0.001 (“</w:t>
      </w:r>
      <w:r>
        <w:rPr>
          <w:rFonts w:ascii="Times New Roman;Times;Serif" w:hAnsi="Times New Roman;Times;Serif"/>
          <w:b/>
          <w:i w:val="false"/>
          <w:caps w:val="false"/>
          <w:smallCaps w:val="false"/>
          <w:sz w:val="20"/>
        </w:rPr>
        <w:t>Parent Common Stock</w:t>
      </w:r>
      <w:r>
        <w:rPr>
          <w:rFonts w:ascii="Times New Roman;Times;Serif" w:hAnsi="Times New Roman;Times;Serif"/>
          <w:b w:val="false"/>
          <w:i w:val="false"/>
          <w:caps w:val="false"/>
          <w:smallCaps w:val="false"/>
          <w:sz w:val="20"/>
        </w:rPr>
        <w:t>”), are listed on the Nasdaq under the symbol “</w:t>
      </w:r>
      <w:r>
        <w:rPr>
          <w:rFonts w:ascii="Times New Roman;Times;Serif" w:hAnsi="Times New Roman;Times;Serif"/>
          <w:b/>
          <w:i w:val="false"/>
          <w:caps w:val="false"/>
          <w:smallCaps w:val="false"/>
          <w:sz w:val="20"/>
        </w:rPr>
        <w:t>BGMS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3.2 Subsidiaries. </w:t>
      </w: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Schedule 3.2</w:t>
      </w:r>
      <w:r>
        <w:rPr>
          <w:rFonts w:ascii="Times New Roman;Times;Serif" w:hAnsi="Times New Roman;Times;Serif"/>
          <w:b w:val="false"/>
          <w:i w:val="false"/>
          <w:caps w:val="false"/>
          <w:smallCaps w:val="false"/>
          <w:sz w:val="20"/>
        </w:rPr>
        <w:t>, Parent has no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3.3 Capital Structure of Parent. </w:t>
      </w:r>
      <w:r>
        <w:rPr>
          <w:rFonts w:ascii="Times New Roman;Times;Serif" w:hAnsi="Times New Roman;Times;Serif"/>
          <w:b w:val="false"/>
          <w:i w:val="false"/>
          <w:caps w:val="false"/>
          <w:smallCaps w:val="false"/>
          <w:sz w:val="20"/>
        </w:rPr>
        <w:t>The authorized capital stock of Parent as of the date hereof consists of (i) 600,000,000 shares of Parent Common Stock, of which 6,622,794 shares are issued and outstanding, and (ii) 5,000,000 shares of Preferred Stock, par value $0.001 (“</w:t>
      </w:r>
      <w:r>
        <w:rPr>
          <w:rFonts w:ascii="Times New Roman;Times;Serif" w:hAnsi="Times New Roman;Times;Serif"/>
          <w:b/>
          <w:i w:val="false"/>
          <w:caps w:val="false"/>
          <w:smallCaps w:val="false"/>
          <w:sz w:val="20"/>
        </w:rPr>
        <w:t>Parent Preferred Stock</w:t>
      </w:r>
      <w:r>
        <w:rPr>
          <w:rFonts w:ascii="Times New Roman;Times;Serif" w:hAnsi="Times New Roman;Times;Serif"/>
          <w:b w:val="false"/>
          <w:i w:val="false"/>
          <w:caps w:val="false"/>
          <w:smallCaps w:val="false"/>
          <w:sz w:val="20"/>
        </w:rPr>
        <w:t>”), of which 135,537 shares are issued and outstanding, and 27,823 shares of Parent Common Stock or Parent Preferred Stock issuable upon the exercise of outstanding warrants, convertible notes, options or otherwise. All outstanding shares of capital stock of Parent are duly authorized, validly issued, fully paid and nonassessable, not subject to preemptive rights, and issued in compliance with all applicable state and federal Laws concerning the issuance of securities. Except for the Parent Common Stock and Parent Preferred Stock, there are no outstanding bonds, debentures, notes or other indebtedness or other securities of Parent having the right to vote (or convertible into, or exchangeable for, securities having the right to vote). Except as set forth in the SEC Parent Documents, there are no outstanding securities, options, warrants, calls, rights, commitments, agreements, arrangements or undertakings of any kind to which Parent is a party or by which Parent is bound obligating Parent to issue, deliver or sell, or cause to be issued, delivered or sold, additional shares of capital stock or other equity securities of Parent or obligating Parent to issue, deliver or sell, or cause to be issued, delivered or sold, additional shares of capital stock or other equity securities of Parent or obligating Parent to issue, grant, extend or enter into any such security, option, warrant, call, right, commitment, agreement, arrangement or undertaking. Except as set forth in the SEC Parent Documents, there are no outstanding contractual obligations, commitments, understandings or arrangements of Parent or any of its subsidiaries to repurchase, redeem or otherwise acquire or make any payment in respect of any shares of capital stock of Parent or any of its subsidiaries. Except as set forth in the SEC Parent Documents, there are no agreements or arrangements pursuant to which Parent is or could be required to register shares of Parent Common Stock or other securities under the Securities Act or other agreements or arrangements with or among any security holders of Parent with respect to securities of Parent.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3.4 Corporate Authority; Noncontravention</w:t>
      </w:r>
      <w:r>
        <w:rPr>
          <w:rFonts w:ascii="Times New Roman;Times;Serif" w:hAnsi="Times New Roman;Times;Serif"/>
          <w:b w:val="false"/>
          <w:i w:val="false"/>
          <w:caps w:val="false"/>
          <w:smallCaps w:val="false"/>
          <w:sz w:val="20"/>
        </w:rPr>
        <w:t>. Parent has all requisite corporate power and authority to enter into this Agreement and, subject to receipt of the approval of its stockholders, to consummate the transactions contemplated by this Agreement. The execution and delivery of this Agreement by Parent and the consummation by Parent of the transactions contemplated hereby have been (or at Closing will have been) duly authorized by all necessary corporate action on the part of Parent. This Agreement has been duly executed and when delivered by Parent, shall constitute a valid and binding obligation of Parent, enforceable against Parent in accordance with its terms, except as such enforcement may be limited by bankruptcy, insolvency or other similar Laws affecting the enforcement of creditors’ rights generally or by general principles of equity. The execution and delivery of this Agreement do not, and the consummation of the transactions contemplated by this Agreement and compliance with the provisions hereof will not, conflict with, or result in any breach or violation of, or Default (with or without notice or lapse of time, or both) under, or give rise to a right of termination, cancellation or acceleration of or “put” right with respect to any obligation or to loss of a material benefit under, or result in the creation of any Lien upon any of the properties or Assets of Parent under, (i) the certificate of incorporation, bylaws, or other charter documents of Parent, (ii) any loan or credit agreement, note, bond, mortgage, indenture, lease or other agreement, instrument, Permit, concession, franchise or license applicable to Parent, its properties or Assets, or (iii) subject to the governmental filings and other matters referred to in the following sentence, any judgment, Order, decree, statute, Law, ordinance, rule, regulation or arbitration award applicable to Parent, its properties or Assets, other than, in the case of clauses (ii) and (iii), any such conflicts, breaches, violations, Defaults, rights, losses or Liens that individually or in the aggregate would not have a Material Adverse Effect with respect to Parent or would not prevent, hinder or materially delay the ability of Parent to consummate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3.5 Government Authorization</w:t>
      </w:r>
      <w:r>
        <w:rPr>
          <w:rFonts w:ascii="Times New Roman;Times;Serif" w:hAnsi="Times New Roman;Times;Serif"/>
          <w:b w:val="false"/>
          <w:i w:val="false"/>
          <w:caps w:val="false"/>
          <w:smallCaps w:val="false"/>
          <w:sz w:val="20"/>
        </w:rPr>
        <w:t>. No consent, approval, Order or authorization of, or registration, declaration or filing with, or notice to, any Governmental Entity, is required to be obtained or made by Parent in connection with the execution and delivery of this Agreement by Parent, or the consummation by Parent of the transactions contemplated hereby, except any filings under the DGCL, Malaysian Companies Act, Nasdaq, the Securities Act, the Exchange Act or any applicable state securities or “blue sky”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 SEC Documents; Undisclosed Liabilities;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has timely filed all reports, schedules, forms, statements and other documents as required by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and Parent has delivered or made available to the Company all reports, schedules, forms, statements and other documents filed with the SEC (collectively, and in each case including all exhibits and schedules thereto and documents incorporated by reference therein, the “</w:t>
      </w:r>
      <w:r>
        <w:rPr>
          <w:rFonts w:ascii="Times New Roman;Times;Serif" w:hAnsi="Times New Roman;Times;Serif"/>
          <w:b/>
          <w:i w:val="false"/>
          <w:caps w:val="false"/>
          <w:smallCaps w:val="false"/>
          <w:sz w:val="20"/>
        </w:rPr>
        <w:t>Parent SEC Documents</w:t>
      </w:r>
      <w:r>
        <w:rPr>
          <w:rFonts w:ascii="Times New Roman;Times;Serif" w:hAnsi="Times New Roman;Times;Serif"/>
          <w:b w:val="false"/>
          <w:i w:val="false"/>
          <w:caps w:val="false"/>
          <w:smallCaps w:val="false"/>
          <w:sz w:val="20"/>
        </w:rPr>
        <w:t>”). As of their respective dates, the Parent SEC Documents complied in all material respects with the requirements of the Securities Act or the Exchange Act, as the case may be, and the rules and regulations of the SEC promulgated thereunder applicable to such Parent SEC Documents. Except to the extent revised or superseded by a subsequent filing with the SEC (a copy of which has been provided to the Company prior to the date of this Agreement), none of the Parent SEC Documents contained any untrue statement of a material fact or omitted to state a material fact required to be stated therein or necessary in order to make the statements therein, in light of the circumstances under which they were made, not misleading. The consolidated financial statements of Parent included in such Parent SEC Documents comply as to form in all material respects with applicable accounting requirements and the published rules and regulations of the SEC with respect thereto, have been prepared in accordance with GAAP (except, in the case of unaudited consolidated quarterly statements, as permitted by Form 10-Q of the SEC) applied on a consistent basis during the periods involved (except as may be indicated in the notes thereto) and fairly present the consolidated financial position of Parent and its consolidated subsidiaries as of the dates thereof and the consolidated results of operations and changes in cash flows for the periods then ended (subject, in the case of unaudited quarterly statements, to normal year-end audit adjustments as determined by Parent’s independent accountants). Except as set forth in the Parent SEC Documents, at the date of the most recent financial statements of Parent included in the Parent SEC Documents, Parent has not incurred any liabilities or monetary obligations of any nature (whether accrued, absolute, contingent or otherwise), which, individually, or in the aggregate, could reasonably be expected to have a Material Adverse Effect on Parent.</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January 1, 2026 (the “</w:t>
      </w:r>
      <w:r>
        <w:rPr>
          <w:rFonts w:ascii="Times New Roman;Times;Serif" w:hAnsi="Times New Roman;Times;Serif"/>
          <w:b/>
          <w:i w:val="false"/>
          <w:caps w:val="false"/>
          <w:smallCaps w:val="false"/>
          <w:sz w:val="20"/>
        </w:rPr>
        <w:t>Parent Balance Sheet Date</w:t>
      </w:r>
      <w:r>
        <w:rPr>
          <w:rFonts w:ascii="Times New Roman;Times;Serif" w:hAnsi="Times New Roman;Times;Serif"/>
          <w:b w:val="false"/>
          <w:i w:val="false"/>
          <w:caps w:val="false"/>
          <w:smallCaps w:val="false"/>
          <w:sz w:val="20"/>
        </w:rPr>
        <w:t>”), there has been no Material Adverse Effect with respect to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disclosed in the Parent SEC Documents filed prior to the date hereof or as provided in this Agreement, since the Parent Balance Sheet Date, Parent has not (i) issued, sold or otherwise disposed of, or agreed to issue, sell or otherwise dispose of, any capital stock or any other security of Parent or (ii) granted or agreed to grant any option, warrant or other right to subscribe for or to purchase any capital stock or any other security of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3.7 Absence of Certain Changes</w:t>
      </w:r>
      <w:r>
        <w:rPr>
          <w:rFonts w:ascii="Times New Roman;Times;Serif" w:hAnsi="Times New Roman;Times;Serif"/>
          <w:b w:val="false"/>
          <w:i w:val="false"/>
          <w:caps w:val="false"/>
          <w:smallCaps w:val="false"/>
          <w:sz w:val="20"/>
        </w:rPr>
        <w:t xml:space="preserve">. Except as disclosed in the Parent SEC Documents filed prior to the date hereof or as set forth on </w:t>
      </w:r>
      <w:r>
        <w:rPr>
          <w:rFonts w:ascii="Times New Roman;Times;Serif" w:hAnsi="Times New Roman;Times;Serif"/>
          <w:b w:val="false"/>
          <w:i w:val="false"/>
          <w:caps w:val="false"/>
          <w:smallCaps w:val="false"/>
          <w:sz w:val="20"/>
          <w:u w:val="single"/>
        </w:rPr>
        <w:t>Schedule 3.7,</w:t>
      </w:r>
      <w:r>
        <w:rPr>
          <w:rFonts w:ascii="Times New Roman;Times;Serif" w:hAnsi="Times New Roman;Times;Serif"/>
          <w:b w:val="false"/>
          <w:i w:val="false"/>
          <w:caps w:val="false"/>
          <w:smallCaps w:val="false"/>
          <w:sz w:val="20"/>
        </w:rPr>
        <w:t xml:space="preserve"> since the Parent Balance Sheet Date, Parent has conducted its business only in the ordinary course consistent with past practice in light of its current business circumstances, and there is not and has not been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event which, if it had taken place following the execution of this Agreement, would not have been permitted by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without prior consent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condition, event or occurrence which could reasonably be expected to prevent, hinder or materially delay the ability of Parent to consummate the transactions contemplated by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incurrence, assumption or guarantee by Parent of any indebtedness for borrowed money other than in the ordinary course and in amounts and on terms consistent with past practices;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creation or other incurrence by Parent of any Lien on any asset other than in the ordinary course consistent with past practices;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labor dispute, other than routine, individual grievances, or, to the Knowledge of Parent, any activity or proceeding by a labor union or representative thereof to organize any employees of Parent or any lockouts, strikes, slowdowns, work stoppages, or to the Knowledge of Parent, or threats by or with respect to such employees to do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payment, prepayment or discharge of any material liability other than in the ordinary course of business or any failure to pay any material liability when due;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material write-offs or write-downs of any Assets of Parent;</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damage, destruction or loss of any Assets of Parent having, or reasonably expected to have, a Material Adverse Effect on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other condition, event or occurrence which individually or in the aggregate could reasonably be expected to have a Material Adverse Effect with respect to Parent;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agreement or commitment to do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3.8 Certain Fees.</w:t>
      </w:r>
      <w:r>
        <w:rPr>
          <w:rFonts w:ascii="Times New Roman;Times;Serif" w:hAnsi="Times New Roman;Times;Serif"/>
          <w:b w:val="false"/>
          <w:i w:val="false"/>
          <w:caps w:val="false"/>
          <w:smallCaps w:val="false"/>
          <w:sz w:val="20"/>
        </w:rPr>
        <w:t xml:space="preserve"> No brokerage or finder’s fees or commissions are or will be payable by Parent to any broker, financial advisor or consultant, finder, placement agent, investment banker, bank or other person with respect to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 Litigation; Labor Matters; Compliance with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As of the date of this Agreement except as set forth on </w:t>
      </w:r>
      <w:r>
        <w:rPr>
          <w:rFonts w:ascii="Times New Roman;Times;Serif" w:hAnsi="Times New Roman;Times;Serif"/>
          <w:b w:val="false"/>
          <w:i w:val="false"/>
          <w:caps w:val="false"/>
          <w:smallCaps w:val="false"/>
          <w:sz w:val="20"/>
          <w:u w:val="single"/>
        </w:rPr>
        <w:t>Schedule 3.9</w:t>
      </w:r>
      <w:r>
        <w:rPr>
          <w:rFonts w:ascii="Times New Roman;Times;Serif" w:hAnsi="Times New Roman;Times;Serif"/>
          <w:b w:val="false"/>
          <w:i w:val="false"/>
          <w:caps w:val="false"/>
          <w:smallCaps w:val="false"/>
          <w:sz w:val="20"/>
        </w:rPr>
        <w:t>, there is no suit, action or proceeding or, to the Knowledge of Parent, investigation pending or, to the Knowledge of Parent, threatened against or affecting Parent or to the Knowledge of Parent, any basis for any such suit, action, proceeding or investigation in each case that, individually or in the aggregate, could reasonably be expected to have a Material Adverse Effect with respect to Parent or prevent, hinder or materially delay the ability of Parent to consummate the transactions contemplated by this Agreement, nor is there any judgment, decree, injunction, or Order of any Governmental Entity or arbitrator outstanding against Parent having, or which, insofar as reasonably could be foreseen by Parent, in the future could have, any such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is not a party to, or bound by, any collective bargaining agreement, Contract or other agreement or understanding with a labor union or labor organization, nor is it, as of the date of this Agreement, the subject of any proceeding asserting that it has committed an unfair labor practice or seeking to compel it to bargain with any labor organization as to wages or conditions of employment nor, as of the date of this Agreement, is there any strike, work stoppage or other labor dispute involving it pending or, to its Knowledge, threatened, in each case that, individually or in the aggregate, could reasonably be expected to have a Material Adverse Effect with respect to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is in compliance with all statutes, Laws, regulations, ordinances, rules, judgments, Orders, decrees or arbitration awards applicable to Parent or by which Parent or any of its businesses or properties is bound, except for such non-compliance that would not reasonably be expected to have, individually or in the aggregate, a Material Adverse Effect on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3.10 Benefit Plans</w:t>
      </w:r>
      <w:r>
        <w:rPr>
          <w:rFonts w:ascii="Times New Roman;Times;Serif" w:hAnsi="Times New Roman;Times;Serif"/>
          <w:b w:val="false"/>
          <w:i w:val="false"/>
          <w:caps w:val="false"/>
          <w:smallCaps w:val="false"/>
          <w:sz w:val="20"/>
        </w:rPr>
        <w:t>. Except as set forth in the SEC Parent Documents, Parent is not a party to any Benefit Plan under which Parent currently has an obligation to provide benefits to any current or former employee, officer or director of Parent.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3.11 Tax Returns and Tax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has timely filed with the appropriate taxing authorities all material Tax Returns required to be filed by it (taking into account all applicable extensions). All such Tax Returns are true, correct and complete in all material respects. All material Taxes due and owing by Parent has been paid (whether or not shown on any Tax Return and whether or not any Tax Return was required). Parent is not currently the beneficiary of any extension of time within which to file any Tax Return or pay any Tax. No claim has ever been made in writing or, to the Knowledge of Parent, otherwise addressed to Parent by a taxing authority in a jurisdiction where Parent does not file Tax Returns that it is or may be subject to taxation by that jurisdiction. The unpaid Taxes of Parent did not, as of the Parent Balance Sheet Date, materially exceed the reserve for Tax liability (excluding any reserve for deferred Taxes established to reflect timing differences between book and Tax income) set forth on the face of the most recent balance sheet included in the Parent SEC Documents (rather than in any notes thereto). Since the Parent Balance Sheet Date, Parent has not incurred any material liability for Taxes outside the ordinary course of business consistent with past practice. As of the Closing Date, the unpaid Taxes of Parent will not materially exceed the reserve for Tax liability (excluding any reserve for deferred Taxes established to reflect timing differences between book and Tax income) set forth on the books and records of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material claim for unpaid Taxes has been made or asserted in writing against Parent or become a Lien against the property of Parent, no audit of any Tax Return of Parent is being conducted by a tax authority, and no extension of the statute of limitations on the assessment of any Taxes has been granted by Parent and is currently in effect. Parent has withheld and paid all material Taxes required to have been withheld and paid in connection with amounts paid or owing to any employee, independent contractor, creditor, stockholder or other third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3.12 Environmental Matters.</w:t>
      </w:r>
      <w:r>
        <w:rPr>
          <w:rFonts w:ascii="Times New Roman;Times;Serif" w:hAnsi="Times New Roman;Times;Serif"/>
          <w:b w:val="false"/>
          <w:i w:val="false"/>
          <w:caps w:val="false"/>
          <w:smallCaps w:val="false"/>
          <w:sz w:val="20"/>
        </w:rPr>
        <w:t xml:space="preserve"> Except for such matters as would not reasonably be expected to have, individually or in the aggregate, a Material Adverse Effect on Parent, (i) Parent is in compliance with all Environmental Laws; (ii) Parent has not received any written notice regarding any violation of any Environmental Laws, including any investigatory, remedial or corrective obligations, which, if determined adversely to Parent, would reasonably be expected to have, either individually or in the aggregate, a Material Adverse Effect; (iii) Parent holds all Permits and authorizations required under applicable Environmental Laws and is compliance with all terms, conditions and provisions of all such Permits and authorizations; (iv) no releases of Hazardous Materials have occurred at, from, in, to, on or under any real property currently or formerly owned, operated or leased by Parent or any predecessor thereof and no Hazardous Materials are present in, on, about or migrating to or from any such property; (v) Parent has not transported or arranged for the treatment, storage, handling, disposal, or transportation of any Hazardous Material to any off-site location; (vi) Parent has no liability, absolute or contingent, under any Environmental Law; and (vii) there are no past, pending or, to the Knowledge of Parent, threatened claims under Environmental Laws against Parent and Parent is not aware of any facts or circumstances that could reasonably be expected to result in a liability or claim against Parent pursuant to Environmental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3.13 Material Contract Defaults</w:t>
      </w:r>
      <w:r>
        <w:rPr>
          <w:rFonts w:ascii="Times New Roman;Times;Serif" w:hAnsi="Times New Roman;Times;Serif"/>
          <w:b w:val="false"/>
          <w:i w:val="false"/>
          <w:caps w:val="false"/>
          <w:smallCaps w:val="false"/>
          <w:sz w:val="20"/>
        </w:rPr>
        <w:t>. Parent is not and has not received any written notice or has any Knowledge that any other Party is, in Material Contract Default under any Parent Material Contract; and to the Knowledge of Parent, there has not occurred any event that with the lapse of time or the giving of notice or both would constitute such a Material Contract Default and any Parent Material Contract. For purposes of this Agreement, a “</w:t>
      </w:r>
      <w:r>
        <w:rPr>
          <w:rFonts w:ascii="Times New Roman;Times;Serif" w:hAnsi="Times New Roman;Times;Serif"/>
          <w:b/>
          <w:i w:val="false"/>
          <w:caps w:val="false"/>
          <w:smallCaps w:val="false"/>
          <w:sz w:val="20"/>
        </w:rPr>
        <w:t>Parent Material Contract</w:t>
      </w:r>
      <w:r>
        <w:rPr>
          <w:rFonts w:ascii="Times New Roman;Times;Serif" w:hAnsi="Times New Roman;Times;Serif"/>
          <w:b w:val="false"/>
          <w:i w:val="false"/>
          <w:caps w:val="false"/>
          <w:smallCaps w:val="false"/>
          <w:sz w:val="20"/>
        </w:rPr>
        <w:t>” means any Contract that is in effect as of the Closing Date to which Parent is a party (i) with expected receipts or expenditures in excess of $100,000, (ii) requiring Parent to indemnify any person, other than any Contract providing for indemnification of customers or other Persons pursuant to Contract entered into in the ordinary course of business, (iii) granting exclusive rights to any party, or (iv) evidencing indebtedness for borrowed or loaned money in excess of $100,000, including guarantees of such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3.14 Accounts Receivable</w:t>
      </w:r>
      <w:r>
        <w:rPr>
          <w:rFonts w:ascii="Times New Roman;Times;Serif" w:hAnsi="Times New Roman;Times;Serif"/>
          <w:b w:val="false"/>
          <w:i w:val="false"/>
          <w:caps w:val="false"/>
          <w:smallCaps w:val="false"/>
          <w:sz w:val="20"/>
        </w:rPr>
        <w:t>. All of the accounts receivable of Parent that are reflected on the most recent balance sheet included in the Parent SEC Documents or the accounting records of Parent as of the Closing (collectively, the “</w:t>
      </w:r>
      <w:r>
        <w:rPr>
          <w:rFonts w:ascii="Times New Roman;Times;Serif" w:hAnsi="Times New Roman;Times;Serif"/>
          <w:b/>
          <w:i w:val="false"/>
          <w:caps w:val="false"/>
          <w:smallCaps w:val="false"/>
          <w:sz w:val="20"/>
        </w:rPr>
        <w:t>Parent Accounts Receivable</w:t>
      </w:r>
      <w:r>
        <w:rPr>
          <w:rFonts w:ascii="Times New Roman;Times;Serif" w:hAnsi="Times New Roman;Times;Serif"/>
          <w:b w:val="false"/>
          <w:i w:val="false"/>
          <w:caps w:val="false"/>
          <w:smallCaps w:val="false"/>
          <w:sz w:val="20"/>
        </w:rPr>
        <w:t>”) represent or will represent valid obligations arising from sales actually made or services actually performed in the ordinary course of business and are not subject to any defenses, counterclaims, or rights of set off other than those arising in the ordinary course of business and for which adequate reserves have been established. The Parent Accounts Receivable are fully collectible to the extent not reserved for on the balance sheet on which they are shown or on the accounting records of Parent.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3.15 Properties</w:t>
      </w:r>
      <w:r>
        <w:rPr>
          <w:rFonts w:ascii="Times New Roman;Times;Serif" w:hAnsi="Times New Roman;Times;Serif"/>
          <w:b w:val="false"/>
          <w:i w:val="false"/>
          <w:caps w:val="false"/>
          <w:smallCaps w:val="false"/>
          <w:sz w:val="20"/>
        </w:rPr>
        <w:t>. Parent has valid land use rights for all real property that is material to its business and good, clear and marketable title to all the tangible properties and tangible Assets reflected in the latest balance sheet included in the Parent SEC Documents as being owned by Parent or acquired after the date thereof which are, individually or in the aggregate, material to Parent’s business (except properties sold or otherwise disposed of since the date thereof in the ordinary course of business), free and clear of all Material Liens. Any real property and facilities held under lease by Parent are held by it under valid, subsisting and enforceable leases of which Parent is in compliance, except as could not, individually or in the aggregate, have or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3.16 Intellectual Property</w:t>
      </w:r>
      <w:r>
        <w:rPr>
          <w:rFonts w:ascii="Times New Roman;Times;Serif" w:hAnsi="Times New Roman;Times;Serif"/>
          <w:b w:val="false"/>
          <w:i w:val="false"/>
          <w:caps w:val="false"/>
          <w:smallCaps w:val="false"/>
          <w:sz w:val="20"/>
        </w:rPr>
        <w:t>. Parent owns or has valid rights to use the Trademarks, trade names, domain names, copyrights, patents, logos, licenses and computer software programs (including, without limitation, the source codes thereto) that are necessary for the conduct of its business as now being conducted. All of Parent’s licenses to use Software programs are current and have been paid for the appropriate number of users. To the Knowledge of Parent, none of Parent’s Intellectual Property or Parent’s License Agreements infringe upon the rights of any third party that may give rise to a cause of action or claim against Parent or its successors.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3.17 Board Determination and Vote Required.</w:t>
      </w:r>
      <w:r>
        <w:rPr>
          <w:rFonts w:ascii="Times New Roman;Times;Serif" w:hAnsi="Times New Roman;Times;Serif"/>
          <w:b w:val="false"/>
          <w:i w:val="false"/>
          <w:caps w:val="false"/>
          <w:smallCaps w:val="false"/>
          <w:sz w:val="20"/>
        </w:rPr>
        <w:t xml:space="preserve"> The Board of Directors of Parent has unanimously determined that the terms of the Exchange and transactions contemplated under this Agreement are fair to and in the best interests of Parent and its stockholders. The affirmative vote of a majority of (a) the shares of Parent Common Stock properly cast is the only vote of the holders of any class or series of Parent’s capital stock necessary to approve this Agreement and thereby approve the transactions contemplated under this Agreement, including the Exchange (the “</w:t>
      </w:r>
      <w:r>
        <w:rPr>
          <w:rFonts w:ascii="Times New Roman;Times;Serif" w:hAnsi="Times New Roman;Times;Serif"/>
          <w:b/>
          <w:i w:val="false"/>
          <w:caps w:val="false"/>
          <w:smallCaps w:val="false"/>
          <w:sz w:val="20"/>
        </w:rPr>
        <w:t>Parent Stockholder Exchange Vote</w:t>
      </w:r>
      <w:r>
        <w:rPr>
          <w:rFonts w:ascii="Times New Roman;Times;Serif" w:hAnsi="Times New Roman;Times;Serif"/>
          <w:b w:val="false"/>
          <w:i w:val="false"/>
          <w:caps w:val="false"/>
          <w:smallCaps w:val="false"/>
          <w:sz w:val="20"/>
        </w:rPr>
        <w:t>”) and (b) if deemed necessary by Parent, the shares of Parent Common Stock entitled to vote thereon is the only vote of the holders of any class or series of Parent’s capital stock necessary to approve an amendment to Parent’s certificate of incorporation to effect the Nasdaq Reverse Split, one new director nominated by the Selling Shareholders and/or the terms of the Future Financing (together with the Parent Stockholder Exchange Vote, the “</w:t>
      </w:r>
      <w:r>
        <w:rPr>
          <w:rFonts w:ascii="Times New Roman;Times;Serif" w:hAnsi="Times New Roman;Times;Serif"/>
          <w:b/>
          <w:i w:val="false"/>
          <w:caps w:val="false"/>
          <w:smallCaps w:val="false"/>
          <w:sz w:val="20"/>
        </w:rPr>
        <w:t>Parent Stockholder Vote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3.18 Required Parent Share Issuance Approval.</w:t>
      </w:r>
      <w:r>
        <w:rPr>
          <w:rFonts w:ascii="Times New Roman;Times;Serif" w:hAnsi="Times New Roman;Times;Serif"/>
          <w:b w:val="false"/>
          <w:i w:val="false"/>
          <w:caps w:val="false"/>
          <w:smallCaps w:val="false"/>
          <w:sz w:val="20"/>
        </w:rPr>
        <w:t xml:space="preserve"> Parent represents that the issuance of the Parent Common Stock will be in compliance with the DGCL, Nasdaq, and the Certificate of Incorporation and Bylaws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3.19 Undisclosed Liabilities.</w:t>
      </w:r>
      <w:r>
        <w:rPr>
          <w:rFonts w:ascii="Times New Roman;Times;Serif" w:hAnsi="Times New Roman;Times;Serif"/>
          <w:b w:val="false"/>
          <w:i w:val="false"/>
          <w:caps w:val="false"/>
          <w:smallCaps w:val="false"/>
          <w:sz w:val="20"/>
        </w:rPr>
        <w:t xml:space="preserve"> Parent has no liabilities or obligations of any nature (whether fixed or unfixed, secured or unsecured, known or unknown and whether absolute, accrued, contingent, or otherwise) except for liabilities or obligations (i) reflected or reserved against in the financial statements included in the Parent SEC Documents filed prior to the date hereof, (ii) incurred in the ordinary course of business since the Parent Balance Sheet Date, (iii) incurred in connection with the transactions contemplated by this Agreement, (iv) disclosed in </w:t>
      </w:r>
      <w:r>
        <w:rPr>
          <w:rFonts w:ascii="Times New Roman;Times;Serif" w:hAnsi="Times New Roman;Times;Serif"/>
          <w:b w:val="false"/>
          <w:i w:val="false"/>
          <w:caps w:val="false"/>
          <w:smallCaps w:val="false"/>
          <w:sz w:val="20"/>
          <w:u w:val="single"/>
        </w:rPr>
        <w:t>Schedule 3.19</w:t>
      </w:r>
      <w:r>
        <w:rPr>
          <w:rFonts w:ascii="Times New Roman;Times;Serif" w:hAnsi="Times New Roman;Times;Serif"/>
          <w:b w:val="false"/>
          <w:i w:val="false"/>
          <w:caps w:val="false"/>
          <w:smallCaps w:val="false"/>
          <w:sz w:val="20"/>
        </w:rPr>
        <w:t>, or (v) would not reasonably be expected to have, individually or in the aggregate, a Material Adverse Effect on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3.20 Independent Investigation</w:t>
      </w:r>
      <w:r>
        <w:rPr>
          <w:rFonts w:ascii="Times New Roman;Times;Serif" w:hAnsi="Times New Roman;Times;Serif"/>
          <w:b w:val="false"/>
          <w:i w:val="false"/>
          <w:caps w:val="false"/>
          <w:smallCaps w:val="false"/>
          <w:sz w:val="20"/>
        </w:rPr>
        <w:t>. Parent has conducted its own independent investigation, review and analysis of the business, results of operations, prospects, condition (financial or otherwise) or assets of the Company, and acknowledges that it has been provided adequate access to the personnel, properties, assets, premises, books and records, and other documents and data of the Company for such purpose. Parent acknowledges and agrees that in making its decision to enter into this Agreement and to consummate the transactions contemplated under this Agreement, it has relied solely upon its own investigation and the express representations and warranties of the Company and Selling Shareholders set forth in this Agreement (including the related portions of Company Disclosure Schedules) and in any certificate delivered to Parent pursuant hereto.</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3.21 No Other Representations or Warranties. </w:t>
      </w:r>
      <w:r>
        <w:rPr>
          <w:rFonts w:ascii="Times New Roman;Times;Serif" w:hAnsi="Times New Roman;Times;Serif"/>
          <w:b w:val="false"/>
          <w:i w:val="false"/>
          <w:caps w:val="false"/>
          <w:smallCaps w:val="false"/>
          <w:sz w:val="20"/>
        </w:rPr>
        <w:t xml:space="preserve">Parent hereby acknowledges and agrees that, except for the representations and warranties contained in this Agreement, neither the Company, nor any other Person on behalf of the Company makes any express or implied representation or warranty with respect to the Company or with respect to any other information provided to Parent or any of its stockholders or any of its Affiliates in connection with the transactions contemplated by this Agreement, and (subject to the express representations and warranties of the Company set forth in </w:t>
      </w:r>
      <w:r>
        <w:rPr>
          <w:rFonts w:ascii="Times New Roman;Times;Serif" w:hAnsi="Times New Roman;Times;Serif"/>
          <w:b w:val="false"/>
          <w:i w:val="false"/>
          <w:caps w:val="false"/>
          <w:smallCaps w:val="false"/>
          <w:sz w:val="20"/>
          <w:u w:val="single"/>
        </w:rPr>
        <w:t>Article 2</w:t>
      </w:r>
      <w:r>
        <w:rPr>
          <w:rFonts w:ascii="Times New Roman;Times;Serif" w:hAnsi="Times New Roman;Times;Serif"/>
          <w:b w:val="false"/>
          <w:i w:val="false"/>
          <w:caps w:val="false"/>
          <w:smallCaps w:val="false"/>
          <w:sz w:val="20"/>
        </w:rPr>
        <w:t xml:space="preserve"> (in each case as qualified and limited by the Company Disclosure Schedule) none of Parent, or its representatives or stockholders, has relied on any such information (including the accuracy or completeness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3.22 Full Disclosure</w:t>
      </w:r>
      <w:r>
        <w:rPr>
          <w:rFonts w:ascii="Times New Roman;Times;Serif" w:hAnsi="Times New Roman;Times;Serif"/>
          <w:b w:val="false"/>
          <w:i w:val="false"/>
          <w:caps w:val="false"/>
          <w:smallCaps w:val="false"/>
          <w:sz w:val="20"/>
        </w:rPr>
        <w:t>. The representations and warranties made by Parent in this Agreement, including the Parent Disclosure Schedules attached hereto, and all statements set forth in the certificates delivered by Parent at the Closing pursuant to this Agreement, do not contain any untrue statement of a material fact or omit to state any material fact necessary in order to make such representations, warranties or statements, in light of the circumstances under which they were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COVENANTS OF THE COMPANY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 Conduct of the Company Business</w:t>
      </w:r>
      <w:r>
        <w:rPr>
          <w:rFonts w:ascii="Times New Roman;Times;Serif" w:hAnsi="Times New Roman;Times;Serif"/>
          <w:b w:val="false"/>
          <w:i w:val="false"/>
          <w:caps w:val="false"/>
          <w:smallCaps w:val="false"/>
          <w:sz w:val="20"/>
        </w:rPr>
        <w:t xml:space="preserve">. From the date of this Agreement until the earlier of the Effective Time or the termination of this Agreement in accordance with its terms, the Company shall not, unless consented to in writing by Parent (which consent shall not be unreasonably withheld, delayed, denied, or conditioned), expressly contemplated by this Agreement, required by applicable Law, or as set forth on </w:t>
      </w:r>
      <w:r>
        <w:rPr>
          <w:rFonts w:ascii="Times New Roman;Times;Serif" w:hAnsi="Times New Roman;Times;Serif"/>
          <w:b w:val="false"/>
          <w:i w:val="false"/>
          <w:caps w:val="false"/>
          <w:smallCaps w:val="false"/>
          <w:sz w:val="20"/>
          <w:u w:val="single"/>
        </w:rPr>
        <w:t>Schedule 4.1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engage in any transaction except in the ordinary course of business, or create or suffer to exist any material lien or other encumbrance upon any of its assets which will not be discharged in full prior to the Effective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sell, assign or otherwise transfer any of its assets, or cancel or compromise any debts or claims relating to its assets, other than in each case in the ordinary course of business and consistent with past practice;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fail to use reasonable efforts to preserve intact its present business organization, keep available the services of its employees and preserve its material relationships with customers, suppliers, licensors, licensees, distributors and others having business relationships with it, to the end that its goodwill and ongoing business will not be materially impaired prior to the Effective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intentionally permit any Material Adverse Effect to occur with respect to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make any material change in its accounting or bookkeeping methods, principles or practices, except as required by GAAP;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required to give effect to anything in contemplation of the Closing, or effect or be a party to any merger, consolidation, share exchange, business combination, recapitalization, reclassification of shares, stock split, reverse stock split or similar transaction except, for the avoidance of doubt, the transactions contemplated under this Agreement;</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declare, set aside, or pay any dividend or distribution with respect to its capital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issue, sell, grant, dispose of, pledge, or otherwise encumber any shares of its capital stock, or any options, warrants, or other securities convertible into or exchangeable for capital shares, except for the issuance of shares upon the exercise of outstanding options or warrants;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amend its Governing Documents;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incur any indebtedness for borrowed money or guarantee any such indebtedness of another Person, or issue or sell any debt securities or warrants or other rights to acquire any debt securities, except in the ordinary course of business and not exceeding $100,000 in the aggregate;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make any capital expenditure in excess of $250,000 individually or $500,000 in the aggregate;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acquire (by merger, consolidation, acquisition of stock or assets, or otherwise) any other Person or any material assets, licenses, rights, or properties;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make any loans, advances, or capital contributions to, or investments in, any other Person, except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enter into any material Contract or amend, modify, or terminate any Company Material Contract;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hire or terminate any officer, director, or employee with annual compensation in excess of $100,000, or materially increase the compensation or benefits of any such Person;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settle or compromise any material claim, action, or proceeding;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authorize any of, or commit or agree to take any of, the foregoing actions.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4.3 Satisfaction of Conditions Precedent</w:t>
      </w:r>
      <w:r>
        <w:rPr>
          <w:rFonts w:ascii="Times New Roman;Times;Serif" w:hAnsi="Times New Roman;Times;Serif"/>
          <w:b w:val="false"/>
          <w:i w:val="false"/>
          <w:caps w:val="false"/>
          <w:smallCaps w:val="false"/>
          <w:sz w:val="20"/>
        </w:rPr>
        <w:t xml:space="preserve">. Upon the terms and subject to the conditions set forth in this Agreement, from the date of this Agreement until the earlier of the Effective Time or the termination of this Agreement in accordance with its terms, the Company will use its commercially reasonable efforts to (i) satisfy or cause to be satisfied all the conditions precedent that are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and (ii) cause the Exchange and the other transactions contemplated by this Agreement to be consummated.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4.4 No Other Negotiations.</w:t>
      </w:r>
      <w:r>
        <w:rPr>
          <w:rFonts w:ascii="Times New Roman;Times;Serif" w:hAnsi="Times New Roman;Times;Serif"/>
          <w:b w:val="false"/>
          <w:i w:val="false"/>
          <w:caps w:val="false"/>
          <w:smallCaps w:val="false"/>
          <w:sz w:val="20"/>
        </w:rPr>
        <w:t xml:space="preserve"> As of the date of this Agreement, the Company or the Selling Shareholders have not entered into any agreement or understanding with, and is/are not engaging in any discussions with, any third party concerning an Alternative Acquisition (as defined below), including, without limitation, any agreement or understanding that would require the Company to notify any third party of the terms of this Agreement. From and after the date of this Agreement until the earlier of the Effective Time or the termination of this Agreement in accordance with its terms, the Company and the Selling Shareholders shall not, directly or indirectly, (a) initiate, solicit, knowingly encourage, negotiate, accept or discuss any transaction or series of transactions with any Person, other than Parent and its Affiliates, involving any recapitalization, restructuring, financing, merger, consolidation, sale, license or encumbrance or other business combination transaction or extraordinary corporate transaction of the Company which would reasonably be expected to impede, interfere with, prevent or materially delay the Exchange (any such efforts by any such Person, including a firm proposal to make such an acquisition, to be referred to as an “</w:t>
      </w:r>
      <w:r>
        <w:rPr>
          <w:rFonts w:ascii="Times New Roman;Times;Serif" w:hAnsi="Times New Roman;Times;Serif"/>
          <w:b/>
          <w:i w:val="false"/>
          <w:caps w:val="false"/>
          <w:smallCaps w:val="false"/>
          <w:sz w:val="20"/>
        </w:rPr>
        <w:t>Alternative Acquisition</w:t>
      </w:r>
      <w:r>
        <w:rPr>
          <w:rFonts w:ascii="Times New Roman;Times;Serif" w:hAnsi="Times New Roman;Times;Serif"/>
          <w:b w:val="false"/>
          <w:i w:val="false"/>
          <w:caps w:val="false"/>
          <w:smallCaps w:val="false"/>
          <w:sz w:val="20"/>
        </w:rPr>
        <w:t>”), (b) provide information with respect to the Company to any Person, other than Parent and its Affiliates, relating to a possible Alternative Acquisition by any Person, other than Parent and its Affiliates, (c) enter into an agreement with any Person, other than Parent and its Affiliates, providing for a possible Alternative Acquisition, or (d) make or authorize any statement, recommendation or solicitation in support of any possible Alternative Acquisition by any Person, other than by Parent and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or the Selling Shareholders receives any unsolicited offer, inquiry or proposal to enter into discussions or negotiations relating to an Alternative Acquisition, or that could reasonably be expected to lead to an Alternative Acquisition, or any request for nonpublic information relating to the Company, the Company and the Selling Shareholders shall promptly notify Parent thereof, including the identity of the party making any such offer, inquiry or proposal and the material terms of such offer, inquiry or proposal, as the case may be, and shall keep Parent reasonably informed of any developments with respect to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4.5 Access.</w:t>
      </w:r>
      <w:r>
        <w:rPr>
          <w:rFonts w:ascii="Times New Roman;Times;Serif" w:hAnsi="Times New Roman;Times;Serif"/>
          <w:b w:val="false"/>
          <w:i w:val="false"/>
          <w:caps w:val="false"/>
          <w:smallCaps w:val="false"/>
          <w:sz w:val="20"/>
        </w:rPr>
        <w:t xml:space="preserve"> From the date of this Agreement until the earlier to occur of the Effective Time or the termination of this Agreement in accordance with its terms, the Company shall afford to Parent, and to the officers, employees, accountants, counsel, financial advisors and other representatives of Parent, reasonable access, upon advance notice during normal business hours and in a manner as shall not unreasonably interfere with the business or operations of the Company, to all of the Company’s properties, books, contracts, commitments, personnel and records and, during such period, the Company shall furnish reasonably promptly to Parent, (a) a copy of each report, schedule, and other documents filed by it during such period pursuant to the requirements of federal or state securities Laws and (b) all other information concerning its business, properties and personnel as Parent or its representatives may reasonably request. The Company shall not be required to provide access to or disclose information where such access or disclosure would jeopardize the protection of attorney-client privilege or contravene any Law (it being agreed that the parties shall use their reasonable best efforts to cause such information to be provided in a manner that would not result in such jeopardy or contravention).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4.6 Notification of Certain Matters</w:t>
      </w:r>
      <w:r>
        <w:rPr>
          <w:rFonts w:ascii="Times New Roman;Times;Serif" w:hAnsi="Times New Roman;Times;Serif"/>
          <w:b w:val="false"/>
          <w:i w:val="false"/>
          <w:caps w:val="false"/>
          <w:smallCaps w:val="false"/>
          <w:sz w:val="20"/>
        </w:rPr>
        <w:t xml:space="preserve">. The Company shall give prompt notice to Parent of any event, change or effect between the date of this Agreement and the Effective Time that causes or is reasonably likely to cause the failure of the any of the conditions set forth in </w:t>
      </w:r>
      <w:r>
        <w:rPr>
          <w:rFonts w:ascii="Times New Roman;Times;Serif" w:hAnsi="Times New Roman;Times;Serif"/>
          <w:b w:val="false"/>
          <w:i w:val="false"/>
          <w:caps w:val="false"/>
          <w:smallCaps w:val="false"/>
          <w:sz w:val="20"/>
          <w:u w:val="single"/>
        </w:rPr>
        <w:t>Sections 7.2(a)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7.2(b)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7.2(e)</w:t>
      </w:r>
      <w:r>
        <w:rPr>
          <w:rFonts w:ascii="Times New Roman;Times;Serif" w:hAnsi="Times New Roman;Times;Serif"/>
          <w:b w:val="false"/>
          <w:i w:val="false"/>
          <w:caps w:val="false"/>
          <w:smallCaps w:val="false"/>
          <w:sz w:val="20"/>
        </w:rPr>
        <w:t xml:space="preserve"> to be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 OF PARENT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 Obligations of Parent</w:t>
      </w:r>
      <w:r>
        <w:rPr>
          <w:rFonts w:ascii="Times New Roman;Times;Serif" w:hAnsi="Times New Roman;Times;Serif"/>
          <w:b w:val="false"/>
          <w:i w:val="false"/>
          <w:caps w:val="false"/>
          <w:smallCaps w:val="false"/>
          <w:sz w:val="20"/>
        </w:rPr>
        <w:t>. Parent shall take all action necessary to perform its obligations under this Agreement and to consummate the Exchange on the terms and conditions set forth in this Agreement.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 Conduct of the Parent Business</w:t>
      </w:r>
      <w:r>
        <w:rPr>
          <w:rFonts w:ascii="Times New Roman;Times;Serif" w:hAnsi="Times New Roman;Times;Serif"/>
          <w:b w:val="false"/>
          <w:i w:val="false"/>
          <w:caps w:val="false"/>
          <w:smallCaps w:val="false"/>
          <w:sz w:val="20"/>
        </w:rPr>
        <w:t xml:space="preserve">. From the date of this Agreement until earlier of the Effective Time or the termination of this Agreement in accordance with its terms, Parent shall not, (w) unless consented to in writing by the Company (which consent shall not be unreasonably withheld, delayed, denied, or conditioned), (x) expressly contemplated by this Agreement, including in connection with the Nasdaq Reverse Split, (y) required by applicable Law, or (z) as set forth on </w:t>
      </w:r>
      <w:r>
        <w:rPr>
          <w:rFonts w:ascii="Times New Roman;Times;Serif" w:hAnsi="Times New Roman;Times;Serif"/>
          <w:b w:val="false"/>
          <w:i w:val="false"/>
          <w:caps w:val="false"/>
          <w:smallCaps w:val="false"/>
          <w:sz w:val="20"/>
          <w:u w:val="single"/>
        </w:rPr>
        <w:t>Schedule 5.2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engage in any transaction except in the ordinary course of business, or create or suffer to exist any material lien or other encumbrance upon any of its assets which will not be discharged in full prior to the Effective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sell, assign or otherwise transfer any of its assets, or cancel or compromise any debts or claims relating to its assets, other than in each case in the ordinary course of business and consistent with past practice;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fail to use reasonable efforts to preserve intact its present business organizations, keep available the services of its employees and preserve its material relationships with customers, suppliers, licensors, licensees, distributors and others having business relationships with it, to the end that its good will and ongoing business will not be materially impaired prior to the Effective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intentionally permit any Material Adverse Effect to occur with respect to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make any material change with respect in its accounting or bookkeeping methods, principles or practices, except as required by GAAP;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authorize any of, or commit or agree to take any of, the foregoing actions.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5.3 Access</w:t>
      </w:r>
      <w:r>
        <w:rPr>
          <w:rFonts w:ascii="Times New Roman;Times;Serif" w:hAnsi="Times New Roman;Times;Serif"/>
          <w:b w:val="false"/>
          <w:i w:val="false"/>
          <w:caps w:val="false"/>
          <w:smallCaps w:val="false"/>
          <w:sz w:val="20"/>
        </w:rPr>
        <w:t>. From the date of this Agreement until the earlier to occur of the Effective Time or the termination of this Agreement in accordance with its terms, Parent shall afford to the Company, and to the officers, employees, accountants, counsel, financial advisors and other representatives of the Company, reasonable access, upon advance notice, during normal business hours and in a manner as shall not unreasonably interfere with the business or operations of Parent, to all of Parent’s properties, books, contracts, commitments, personnel and records and, during such period, Parent shall reasonably furnish promptly to the Company, (a) a copy of each report, schedule, registration statements and other documents filed by it during such period pursuant to the requirements of federal or state securities Laws and (b) all other information concerning its business, properties and personnel as the Company or its representatives may reasonably request. Parent shall not be required to provide access to or disclose information where such access or disclosure would not jeopardize the protection of attorney-client privilege or contravene any Law (it being agreed that the parties shall use their reasonable best efforts to cause such information to be provided in a manner that would not result in such jeopardy or contravention).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5.4 Notification of Certain Matters</w:t>
      </w:r>
      <w:r>
        <w:rPr>
          <w:rFonts w:ascii="Times New Roman;Times;Serif" w:hAnsi="Times New Roman;Times;Serif"/>
          <w:b w:val="false"/>
          <w:i w:val="false"/>
          <w:caps w:val="false"/>
          <w:smallCaps w:val="false"/>
          <w:sz w:val="20"/>
        </w:rPr>
        <w:t xml:space="preserve">. Parent shall give prompt notice to the Company of any event, change or effect between the date of this Agreement and the Effective Time that causes or is reasonably likely to cause the failure of any of the conditions set forth in </w:t>
      </w:r>
      <w:r>
        <w:rPr>
          <w:rFonts w:ascii="Times New Roman;Times;Serif" w:hAnsi="Times New Roman;Times;Serif"/>
          <w:b w:val="false"/>
          <w:i w:val="false"/>
          <w:caps w:val="false"/>
          <w:smallCaps w:val="false"/>
          <w:sz w:val="20"/>
          <w:u w:val="single"/>
        </w:rPr>
        <w:t>Sections 7.3(a)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7.3(b)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7.3(e)</w:t>
      </w:r>
      <w:r>
        <w:rPr>
          <w:rFonts w:ascii="Times New Roman;Times;Serif" w:hAnsi="Times New Roman;Times;Serif"/>
          <w:b w:val="false"/>
          <w:i w:val="false"/>
          <w:caps w:val="false"/>
          <w:smallCaps w:val="false"/>
          <w:sz w:val="20"/>
        </w:rPr>
        <w:t xml:space="preserve"> to be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5.5 Listing</w:t>
      </w:r>
      <w:r>
        <w:rPr>
          <w:rFonts w:ascii="Times New Roman;Times;Serif" w:hAnsi="Times New Roman;Times;Serif"/>
          <w:b w:val="false"/>
          <w:i w:val="false"/>
          <w:caps w:val="false"/>
          <w:smallCaps w:val="false"/>
          <w:sz w:val="20"/>
        </w:rPr>
        <w:t>. At or prior to the Effective Time, Parent shall use its commercially reasonable efforts to (a) maintain its listing on Nasdaq until the Effective Time, including submitting any applicable extension requests or attending any hearings with requested by Nasdaq; (b) prepare and submit to Nasdaq, to the extent required by the rules and regulations of Nasdaq, a notification form for the listing of the shares of Parent Common Stock to be issued in connection with the transactions contemplated under this Agreement; and (c) prepare and timely submit to Nasdaq a notification form for the Nasdaq Reverse Split (if required) and submit a copy of the amendment to Parent’s certificate of incorporation effecting the Nasdaq Reverse Split, certified by the Secretary of State of the State of Delaware, to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5.6 Satisfaction of Conditions Precedent</w:t>
      </w:r>
      <w:r>
        <w:rPr>
          <w:rFonts w:ascii="Times New Roman;Times;Serif" w:hAnsi="Times New Roman;Times;Serif"/>
          <w:b w:val="false"/>
          <w:i w:val="false"/>
          <w:caps w:val="false"/>
          <w:smallCaps w:val="false"/>
          <w:sz w:val="20"/>
        </w:rPr>
        <w:t xml:space="preserve">. Upon the terms and subject to the conditions set forth in this Agreement, from the date of this Agreement until the earlier of the Effective Time or the termination of this Agreement in accordance with its terms, Parent will use its commercially reasonable efforts to (i) satisfy or cause to be satisfied all the conditions precedent that are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and (ii) cause the Exchange and the other transactions contemplated by this Agreement to be consummated.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5.7 Section 16 Matters</w:t>
      </w:r>
      <w:r>
        <w:rPr>
          <w:rFonts w:ascii="Times New Roman;Times;Serif" w:hAnsi="Times New Roman;Times;Serif"/>
          <w:b w:val="false"/>
          <w:i w:val="false"/>
          <w:caps w:val="false"/>
          <w:smallCaps w:val="false"/>
          <w:sz w:val="20"/>
        </w:rPr>
        <w:t>. Prior to the Effective Time, Parent shall take all such steps as may be required to cause any acquisitions of Parent Common Stock and any options to purchase Parent Common Stock in connection with the transactions contemplated under this Agreement, by each individual who is reasonably expected to become subject to the reporting requirements of Section 16(a) of the Exchange Act with respect to Parent, to be exempt under Rule 16b-3 promulgated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5.8 No Other Negotiations</w:t>
      </w:r>
      <w:r>
        <w:rPr>
          <w:rFonts w:ascii="Times New Roman;Times;Serif" w:hAnsi="Times New Roman;Times;Serif"/>
          <w:b w:val="false"/>
          <w:i w:val="false"/>
          <w:caps w:val="false"/>
          <w:smallCaps w:val="false"/>
          <w:sz w:val="20"/>
        </w:rPr>
        <w:t>. As of the date of this Agreement, Parent has not entered into any agreement or understanding with, and is not engaging in any discussions with, any third party concerning a Parent Alternative Acquisition (as defined below), including, without limitation, any agreement or understanding that would require Parent to notify any third party of the terms of this Agreement. From and after the date of this Agreement until the earlier of the Effective Time or the termination of this Agreement in accordance with its terms, Parent shall not, directly or indirectly, (a) initiate, solicit, knowingly encourage, negotiate, accept or discuss any transaction or series of transactions with any Person, other than the Company and its Affiliates, involving any recapitalization, restructuring, financing, merger, consolidation, sale, license or encumbrance or other business combination transaction or extraordinary corporate transaction of Parent which would reasonably be expected to impede, interfere with, prevent or materially delay the Exchange (any such efforts by any such Person, including a firm proposal to make such an acquisition, to be referred to as a “</w:t>
      </w:r>
      <w:r>
        <w:rPr>
          <w:rFonts w:ascii="Times New Roman;Times;Serif" w:hAnsi="Times New Roman;Times;Serif"/>
          <w:b/>
          <w:i w:val="false"/>
          <w:caps w:val="false"/>
          <w:smallCaps w:val="false"/>
          <w:sz w:val="20"/>
        </w:rPr>
        <w:t>Parent Alternative Acquisition</w:t>
      </w:r>
      <w:r>
        <w:rPr>
          <w:rFonts w:ascii="Times New Roman;Times;Serif" w:hAnsi="Times New Roman;Times;Serif"/>
          <w:b w:val="false"/>
          <w:i w:val="false"/>
          <w:caps w:val="false"/>
          <w:smallCaps w:val="false"/>
          <w:sz w:val="20"/>
        </w:rPr>
        <w:t>”), (b) provide information with respect to Parent to any Person, other than the Company and its Affiliates, relating to a possible Parent Alternative Acquisition by any Person, other than the Company and its Affiliates, (c) enter into an agreement with any Person, other than the Company and its Affiliates, providing for a possible Parent Alternative Acquisition, or (d) make or authorize any statement, recommendation or solicitation in support of any possible Parent Alternative Acquisition by any Person, other than by the Company and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Parent receives any unsolicited offer, inquiry or proposal to enter into discussions or negotiations relating to a Parent Alternative Acquisition, or that could reasonably be expected to lead to a Parent Alternative Acquisition, or any request for nonpublic information relating to Parent, Parent shall promptly notify the Company thereof, including the identity of the party making any such offer, inquiry or proposal and the material terms of such offer, inquiry or proposal, as the case may be, and shall keep the Company reasonably informed of any developments with respect to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 OF PARENT AND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 Notices of Certain Events.</w:t>
      </w:r>
      <w:r>
        <w:rPr>
          <w:rFonts w:ascii="Times New Roman;Times;Serif" w:hAnsi="Times New Roman;Times;Serif"/>
          <w:b w:val="false"/>
          <w:i w:val="false"/>
          <w:caps w:val="false"/>
          <w:smallCaps w:val="false"/>
          <w:sz w:val="20"/>
        </w:rPr>
        <w:t xml:space="preserve"> The Company and Parent shall promptly notify the other Party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notice or other communication from any Person alleging that the consent of such Person is or may be required in connection with the transactions contemplated by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notice or other communication from any Governmental Entity in connection with the transactions contemplated by this Agreement;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actions, suits, claims, investigations or proceedings commenced or, to its Knowledge, threatened against, relating to or involving or otherwise affecting such Party that, if pending on the date of this Agreement, would have been required to be disclosed pursuant to </w:t>
      </w:r>
      <w:r>
        <w:rPr>
          <w:rFonts w:ascii="Times New Roman;Times;Serif" w:hAnsi="Times New Roman;Times;Serif"/>
          <w:b w:val="false"/>
          <w:i w:val="false"/>
          <w:caps w:val="false"/>
          <w:smallCaps w:val="false"/>
          <w:sz w:val="20"/>
          <w:u w:val="single"/>
        </w:rPr>
        <w:t>Article 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or that relate to the consummation of the transactions contemplated by this Agreement or any other development causing a breach of any representation or warranty made by a Party hereunder.</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6.2 Public Announcements; Confidentiality</w:t>
      </w:r>
      <w:r>
        <w:rPr>
          <w:rFonts w:ascii="Times New Roman;Times;Serif" w:hAnsi="Times New Roman;Times;Serif"/>
          <w:b w:val="false"/>
          <w:i w:val="false"/>
          <w:caps w:val="false"/>
          <w:smallCaps w:val="false"/>
          <w:sz w:val="20"/>
        </w:rPr>
        <w:t xml:space="preserve">. No Party shall have the right to issue any press release or other public statement with respect to this Agreement or the transactions contemplated herein without the prior written consent of each other Party (not to be unreasonably withheld, delayed, denied, or conditioned), except as required by Law. Parent, on the one hand, and the Company, on the other hand, shall, and shall cause their respective Affiliates to, hold in confidence and not use, and shall use their respective reasonable best efforts to cause their respective representatives to hold in confidence and not use, any and all non-public, confidential, or proprietary information, whether written or oral, concerning the other Party, including, without limitation, any such information obtained pursuant to </w:t>
      </w:r>
      <w:r>
        <w:rPr>
          <w:rFonts w:ascii="Times New Roman;Times;Serif" w:hAnsi="Times New Roman;Times;Serif"/>
          <w:b w:val="false"/>
          <w:i w:val="false"/>
          <w:caps w:val="false"/>
          <w:smallCaps w:val="false"/>
          <w:sz w:val="20"/>
          <w:u w:val="single"/>
        </w:rPr>
        <w:t>Sections 4.5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5.3</w:t>
      </w:r>
      <w:r>
        <w:rPr>
          <w:rFonts w:ascii="Times New Roman;Times;Serif" w:hAnsi="Times New Roman;Times;Serif"/>
          <w:b w:val="false"/>
          <w:i w:val="false"/>
          <w:caps w:val="false"/>
          <w:smallCaps w:val="false"/>
          <w:sz w:val="20"/>
        </w:rPr>
        <w:t>, as applicable, except to the extent that Parent, on the one hand, or the Company, on the other hand, as the case may be, can show that such information: (a) is generally available to and known by the public through no fault of such Party or any of its Affiliates or their respective representatives; (b) is lawfully acquired by such Party, any of its Affiliates or their respective representatives from sources that are not prohibited from disclosing such information by a legal, contractual or fiduciary obligation; or (c) is required to be disclosed by the requirements of the SEC or Nasdaq. If Parent, on the one hand, or the Company, on the other hand, as the case may be, or any of its Affiliates or their respective representatives is compelled to disclose any information by judicial or administrative process or by other requirements of Law, such compelled Party shall promptly notify the other Party in writing and shall disclose only that portion of such information that such compelled Party is advised by its counsel in writing is legally required to be disclosed, provided that such compelled Party shall use reasonable best efforts to obtain an appropriate protective order or other reasonable assurance that confidential treatment will be accorded such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6.3 Transfer Taxes</w:t>
      </w:r>
      <w:r>
        <w:rPr>
          <w:rFonts w:ascii="Times New Roman;Times;Serif" w:hAnsi="Times New Roman;Times;Serif"/>
          <w:b w:val="false"/>
          <w:i w:val="false"/>
          <w:caps w:val="false"/>
          <w:smallCaps w:val="false"/>
          <w:sz w:val="20"/>
        </w:rPr>
        <w:t>. Parent and the Company shall cooperate in the preparation, execution and filing of all returns, questionnaires, applications or other documents regarding any real property transfer or gains, sales, use, transfer, value added, stock transfer and stamp taxes, any transfer, recording, registration and other fees, and any similar taxes which become payable in connection with the transactions contemplated hereby that are required or permitted to be filed before the Effective Time. Parent and the Company agree that the Company (prior to the Exchange) and the Parent (following the Exchange) will pay any real property, transfer or gains tax, stamp tax, stock transfer tax, or other similar tax imposed on the Exchange or the surrender of the Shares pursuant to the Exchange (collectively, “</w:t>
      </w:r>
      <w:r>
        <w:rPr>
          <w:rFonts w:ascii="Times New Roman;Times;Serif" w:hAnsi="Times New Roman;Times;Serif"/>
          <w:b/>
          <w:i w:val="false"/>
          <w:caps w:val="false"/>
          <w:smallCaps w:val="false"/>
          <w:sz w:val="20"/>
        </w:rPr>
        <w:t>Transfer Taxes</w:t>
      </w:r>
      <w:r>
        <w:rPr>
          <w:rFonts w:ascii="Times New Roman;Times;Serif" w:hAnsi="Times New Roman;Times;Serif"/>
          <w:b w:val="false"/>
          <w:i w:val="false"/>
          <w:caps w:val="false"/>
          <w:smallCaps w:val="false"/>
          <w:sz w:val="20"/>
        </w:rPr>
        <w:t>”), excluding any Transfer Taxes as may result from the transfer of beneficial interests in the Shares other than as a result of the Exchange, and any penalties or interest with respect to the Transfer Taxes. The Company agrees to cooperate with Parent in the filing of any returns with respect to the Transfer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6.4 Reasonable Efforts</w:t>
      </w:r>
      <w:r>
        <w:rPr>
          <w:rFonts w:ascii="Times New Roman;Times;Serif" w:hAnsi="Times New Roman;Times;Serif"/>
          <w:b w:val="false"/>
          <w:i w:val="false"/>
          <w:caps w:val="false"/>
          <w:smallCaps w:val="false"/>
          <w:sz w:val="20"/>
        </w:rPr>
        <w:t>. The parties further agree to use their reasonable best efforts to take, or cause to be taken, all actions, and to do, or cause to be done, and to assist and cooperate with the other parties in doing, all things necessary, proper or advisable to consummate and make effective, and to satisfy all conditions to, in the most expeditious manner practicable, the Exchange and the other transactions contemplated by this Agreement, including (i) the obtaining of all other necessary actions or nonactions, waivers, consents, licenses, Permits, authorizations, Orders and approvals from Governmental Entities and the making of all other necessary registrations and filings (including any filings required under the Hart-Scott-Rodino Antitrust Improvements Act of 1976, as amended, if applicable), (ii) the obtaining of all consents, approvals or waivers from third parties related to or required in connection with the Exchange that are necessary to consummate the Exchange and the transactions contemplated by this Agreement or required to prevent a Material Adverse Effect on the Company or Parent from occurring prior to or after the Effective Time, (iii) any notification or other document required to be filed in connection with the Exchange under any applicable foreign Law (including any filings required under Malaysian Companies Act and with the Companies Commission of Malaysia), (iv) the execution and delivery of any additional instruments necessary to consummate the transactions contemplated by, and to fully carry out the purposes of, this Agreement, and (v) the defense of any lawsuits or other legal proceedings, whether judicial or administrative, challenging this Agreement or the consummation of the Exchange, including seeking to have any stay or temporary restraining order entered by any court or other Governmental Entity vacated or reversed.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6.5 Fees and Expenses</w:t>
      </w:r>
      <w:r>
        <w:rPr>
          <w:rFonts w:ascii="Times New Roman;Times;Serif" w:hAnsi="Times New Roman;Times;Serif"/>
          <w:b w:val="false"/>
          <w:i w:val="false"/>
          <w:caps w:val="false"/>
          <w:smallCaps w:val="false"/>
          <w:sz w:val="20"/>
        </w:rPr>
        <w:t>. All fees and expenses incurred by any Party in connection with this Agreement and the transactions contemplated hereby shall be paid by the Party incurring such fees and expenses. Fees and expenses incurred by any Party in connection with the transactions contemplated by this Agreement shall include, without limitation, out-of-pocket fees and expenses incurred for legal, financial, accounting and other advisors.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6.6 Legends. </w:t>
      </w:r>
      <w:r>
        <w:rPr>
          <w:rFonts w:ascii="Times New Roman;Times;Serif" w:hAnsi="Times New Roman;Times;Serif"/>
          <w:b w:val="false"/>
          <w:i w:val="false"/>
          <w:caps w:val="false"/>
          <w:smallCaps w:val="false"/>
          <w:sz w:val="20"/>
        </w:rPr>
        <w:t>Parent shall be entitled to place appropriate legends on the book entries and/or certificates evidencing any shares of Parent Common Stock to be received in the Exchange by equityholders of the Company who may be considered “affiliates” of Parent for purposes of Rules 144 and 145 under the Securities Act reflecting the restrictions set forth in Rules 144 and 145 and to issue appropriate stop transfer instructions to the Transfer Agent for Parent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6.7 Registration Statement; Proxy Statement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promptly as practicable after the date of this Agreement, (i) Parent shall prepare and file with the SEC a proxy statement relating to the Parent Stockholder Meeting to be held in connection with the Exchange and if applicable, the Nasdaq Reverse Split (together with any amendments thereof or supplements thereto, the “</w:t>
      </w:r>
      <w:r>
        <w:rPr>
          <w:rFonts w:ascii="Times New Roman;Times;Serif" w:hAnsi="Times New Roman;Times;Serif"/>
          <w:b/>
          <w:i w:val="false"/>
          <w:caps w:val="false"/>
          <w:smallCaps w:val="false"/>
          <w:sz w:val="20"/>
        </w:rPr>
        <w:t>Proxy Statement</w:t>
      </w:r>
      <w:r>
        <w:rPr>
          <w:rFonts w:ascii="Times New Roman;Times;Serif" w:hAnsi="Times New Roman;Times;Serif"/>
          <w:b w:val="false"/>
          <w:i w:val="false"/>
          <w:caps w:val="false"/>
          <w:smallCaps w:val="false"/>
          <w:sz w:val="20"/>
        </w:rPr>
        <w:t>”) and (ii) Parent, in cooperation with the Company, shall prepare and file with the SEC a registration statement on Form S-4 (the “</w:t>
      </w:r>
      <w:r>
        <w:rPr>
          <w:rFonts w:ascii="Times New Roman;Times;Serif" w:hAnsi="Times New Roman;Times;Serif"/>
          <w:b/>
          <w:i w:val="false"/>
          <w:caps w:val="false"/>
          <w:smallCaps w:val="false"/>
          <w:sz w:val="20"/>
        </w:rPr>
        <w:t>Form S-4</w:t>
      </w:r>
      <w:r>
        <w:rPr>
          <w:rFonts w:ascii="Times New Roman;Times;Serif" w:hAnsi="Times New Roman;Times;Serif"/>
          <w:b w:val="false"/>
          <w:i w:val="false"/>
          <w:caps w:val="false"/>
          <w:smallCaps w:val="false"/>
          <w:sz w:val="20"/>
        </w:rPr>
        <w:t>”), in which the Proxy Statement shall be included as a part (the Proxy Statement and the Form S-4, collectively,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in connection with the registration under the Securities Act of the shares of Parent Common Stock to be issued by virtue of the transactions contemplated under this Agreement, including, without limitation, the Exchange Shares. Parent shall use commercially reasonable efforts to (x) cause the Registration Statement to comply with applicable rules and regulations promulgated by the SEC, (y) cause the Registration Statement to become effective as promptly as practicable, and (z) respond promptly to any comments or requests of the SEC or its staff related to the Registration Statement. Parent shall take all or any action required under any applicable federal, state, securities and other Laws in connection with the issuance of Exchange Shares pursuant to the transactions contemplated under this Agreement. Each of the Parties shall reasonably cooperate with the other Party and furnish all information concerning itself and their Affiliates, as applicable, to the other Parties that is required by Law to be included in the Registration Statement as the other Parties may reasonably request in connection with such actions and the preparation of the Registration Statement and Proxy Statement.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covenants and agrees that the Registration Statement (and the letter to stockholders, notice of meeting and form of proxy included therewith) will (i) comply as to form in all material respects with the requirements of applicable U.S. federal securities laws and the DGCL, and (ii) will not contain any untrue statement of a material fact or omit to state any material fact required to be stated therein or necessary in order to make the statements made therein, in light of the circumstances under which they were made, not misleading. The Company and the Selling Shareholders covenant and agree that the information supplied by or on behalf of the Company to Parent for inclusion in the Registration Statement (including the Company Financial Statements) will not contain any untrue statement of a material fact or omit to state any material fact required to be stated therein or necessary in order to make such information, in light of the circumstances under which they were made, not misleading. Notwithstanding the foregoing, neither Party makes any covenant, representation or warranty with respect to statements made in the Registration Statement (and the letter to stockholders, notice of meeting and form of proxy included therewith), if any, based on information provided by the other Party or any of its representatives regarding such other Party or its Affiliates for inclusion therein.</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shall use commercially reasonable efforts to cause the Proxy Statement to be mailed to Parent’s stockholders as promptly as practicable after the Registration Statement is declared effective under the Securities Act. If at any time before the Effective Time, (i) Parent, the Company or the Selling Shareholders (A) become aware of any event or information that, pursuant to the Securities Act or the Exchange Act, should be disclosed in an amendment or supplement to the Registration Statement or Proxy Statement, (B) receives notice of any SEC request for an amendment or supplement to the Registration Statement or for additional information related thereto, or (C) receives SEC comments on the Registration Statement, or (ii) the information provided in the Registration Statement has become “stale” and new information should be disclosed in an amendment or supplement to the Registration Statement, as the case may be, then such Party, as the case may be, shall promptly inform the other Parties thereof and shall cooperate with such other Parties in Parent filing such amendment or supplement with the SEC (and, if appropriate, in mailing such amendment or supplement to Parent’s stockholders) or otherwise addressing such SEC request or comments and each Party and shall use their commercially reasonable efforts to cause any such amendment to become effective, if required. Parent shall promptly notify the Company if it becomes aware (1) that the Registration Statement has become effective, (2) of the issuance of any stop order or suspension of the qualification or registration of the Parent Common Stock issuable in connection with the transactions contemplated under this Agreement for offering or sale in any jurisdiction, or (3) any order of the SEC related to the Registration Statement, and shall promptly provide to the Company copies of all written correspondence between it or any of its representatives, on the one hand, and the SEC or staff of the SEC, on the other hand, with respect to the Registration Statement and all orders of the SEC relating to the Registration Statement.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the Company and the Selling Shareholders shall reasonably cooperate with Parent and provide, and cause its representatives to provide, Parent and its representatives, with all true, correct and complete information regarding the Company that is required by Law to be included in the Registration Statement or reasonably requested by Parent to be included in the Registration Statement (collectively, the “</w:t>
      </w:r>
      <w:r>
        <w:rPr>
          <w:rFonts w:ascii="Times New Roman;Times;Serif" w:hAnsi="Times New Roman;Times;Serif"/>
          <w:b/>
          <w:i w:val="false"/>
          <w:caps w:val="false"/>
          <w:smallCaps w:val="false"/>
          <w:sz w:val="20"/>
        </w:rPr>
        <w:t>Company Required S-4 Information</w:t>
      </w:r>
      <w:r>
        <w:rPr>
          <w:rFonts w:ascii="Times New Roman;Times;Serif" w:hAnsi="Times New Roman;Times;Serif"/>
          <w:b w:val="false"/>
          <w:i w:val="false"/>
          <w:caps w:val="false"/>
          <w:smallCaps w:val="false"/>
          <w:sz w:val="20"/>
        </w:rPr>
        <w:t xml:space="preserve">”). Without limiting the foregoing, the Company will use commercially reasonable efforts to cause to be delivered to Parent a consent letter of the Company’s independent accounting firm, dated no more than two (2) Business Days before the date on which the Registration Statement is filed with the SEC (and reasonably satisfactory in form and substance to Parent), that is customary in scope and substance for consent letters delivered by independent public accountants in connection with registration statements similar to the Registration Statement. The Company and its legal counsel shall be given reasonable opportunity to review and comment on the Registration Statement, including all amendments and supplements thereto, prior to the filing thereof with the SEC, and on the response to any comments of the SEC on the Registration Statement, prior to the filing thereof with the SEC. Parent may file the Registration Statement, or any amendment or supplement thereto, without the prior consent of the Company, provided that Parent has included the Company Required S-4 Information in the Registration Statement in substantially the same form as it was provided to Parent by the Company pursuant to this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the prior consent of the Company is not obtained then, notwithstanding anything else herein, the Company makes no covenant or representation regarding the portion of such information supplied by or on behalf of the Company to Parent for inclusion in such Registration Statement that the Company reasonably identifies prior to such filing of the Registration Statement.</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promptly as reasonably practicable following the date of this Agreement, the Company shall furnish to Parent (i) prior to May 31, 2026, audited financial statements for each of its fiscal years required to be included in the Registration Statement, together with the auditor’s report thereon (the “</w:t>
      </w:r>
      <w:r>
        <w:rPr>
          <w:rFonts w:ascii="Times New Roman;Times;Serif" w:hAnsi="Times New Roman;Times;Serif"/>
          <w:b/>
          <w:i w:val="false"/>
          <w:caps w:val="false"/>
          <w:smallCaps w:val="false"/>
          <w:sz w:val="20"/>
        </w:rPr>
        <w:t>Company Audited Financial Statements</w:t>
      </w:r>
      <w:r>
        <w:rPr>
          <w:rFonts w:ascii="Times New Roman;Times;Serif" w:hAnsi="Times New Roman;Times;Serif"/>
          <w:b w:val="false"/>
          <w:i w:val="false"/>
          <w:caps w:val="false"/>
          <w:smallCaps w:val="false"/>
          <w:sz w:val="20"/>
        </w:rPr>
        <w:t>”), (ii) prior to May 31, 2026, unaudited interim financial statements for the interim period completed June 30, 2026 (the “</w:t>
      </w:r>
      <w:r>
        <w:rPr>
          <w:rFonts w:ascii="Times New Roman;Times;Serif" w:hAnsi="Times New Roman;Times;Serif"/>
          <w:b/>
          <w:i w:val="false"/>
          <w:caps w:val="false"/>
          <w:smallCaps w:val="false"/>
          <w:sz w:val="20"/>
        </w:rPr>
        <w:t>Company Q2 2026 Interim Financial Statements</w:t>
      </w:r>
      <w:r>
        <w:rPr>
          <w:rFonts w:ascii="Times New Roman;Times;Serif" w:hAnsi="Times New Roman;Times;Serif"/>
          <w:b w:val="false"/>
          <w:i w:val="false"/>
          <w:caps w:val="false"/>
          <w:smallCaps w:val="false"/>
          <w:sz w:val="20"/>
        </w:rPr>
        <w:t>”), and (iii) unaudited interim financial statements for each interim period completed prior to Closing that would be required to be included in the Registration Statement or any periodic report due prior to the Closing if the Company were subject to the periodic reporting requirements under the Securities Act or the Exchange Act (the “</w:t>
      </w:r>
      <w:r>
        <w:rPr>
          <w:rFonts w:ascii="Times New Roman;Times;Serif" w:hAnsi="Times New Roman;Times;Serif"/>
          <w:b/>
          <w:i w:val="false"/>
          <w:caps w:val="false"/>
          <w:smallCaps w:val="false"/>
          <w:sz w:val="20"/>
        </w:rPr>
        <w:t>Additional Company Interim Financial Statements</w:t>
      </w:r>
      <w:r>
        <w:rPr>
          <w:rFonts w:ascii="Times New Roman;Times;Serif" w:hAnsi="Times New Roman;Times;Serif"/>
          <w:b w:val="false"/>
          <w:i w:val="false"/>
          <w:caps w:val="false"/>
          <w:smallCaps w:val="false"/>
          <w:sz w:val="20"/>
        </w:rPr>
        <w:t>” and together with the Company Q1 2026 Interim Financial Statements, the “</w:t>
      </w:r>
      <w:r>
        <w:rPr>
          <w:rFonts w:ascii="Times New Roman;Times;Serif" w:hAnsi="Times New Roman;Times;Serif"/>
          <w:b/>
          <w:i w:val="false"/>
          <w:caps w:val="false"/>
          <w:smallCaps w:val="false"/>
          <w:sz w:val="20"/>
        </w:rPr>
        <w:t>Company Interim Financial Statements</w:t>
      </w:r>
      <w:r>
        <w:rPr>
          <w:rFonts w:ascii="Times New Roman;Times;Serif" w:hAnsi="Times New Roman;Times;Serif"/>
          <w:b w:val="false"/>
          <w:i w:val="false"/>
          <w:caps w:val="false"/>
          <w:smallCaps w:val="false"/>
          <w:sz w:val="20"/>
        </w:rPr>
        <w:t>”). Each of the Company Audited Financial Statements and the Company Interim Financial Statements will be suitable for inclusion in the Registration Statement and prepared in accordance with GAAP as applied on a consistent basis during the periods involved (except in each case as described in the notes thereto) and on that basis will present fairly, in all material respects, the financial position and the results of operations, changes in shareholders’ equity and cash flows of the Company as of the dates of and for the periods referred to in the Company Audited Financial Statements or the Company Interim Financial Statements, as the case may be. The Company Audited Financial Statements and the Company Interim Financial Statements shall be prepared under GAAP in accordance with the requirements of the PCAOB for public companies. The Company Audited Financial Statements shall have been audited by a PCAOB qualified auditor that is independent under Rule 2-01 of Regulation S-X under the Securities Act and, with respect to the Company Interim Financial Statements, shall have been reviewed by the Company’s auditors, as provided in AU-C-930 under the standards of the American Institute of Certified Public Accountants.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6.8 Company Shareholder Written Consent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Promptly after the Registration Statement has been declared effective under the Securities Act, and in any event no later than two (2) Business Days thereafter, the Company shall obtain the approval by unanimous written consent from the Selling Shareholders sufficient for the Required Company Shareholder Vote in lieu of a meeting pursuant to the Malaysian Companies Act, for purposes of adopting and approving this Agreement and the transactions contemplated under this Agreement (the “</w:t>
      </w:r>
      <w:r>
        <w:rPr>
          <w:rFonts w:ascii="Times New Roman;Times;Serif" w:hAnsi="Times New Roman;Times;Serif"/>
          <w:b/>
          <w:i w:val="false"/>
          <w:caps w:val="false"/>
          <w:smallCaps w:val="false"/>
          <w:sz w:val="20"/>
        </w:rPr>
        <w:t>Company Shareholder Written Consents</w:t>
      </w:r>
      <w:r>
        <w:rPr>
          <w:rFonts w:ascii="Times New Roman;Times;Serif" w:hAnsi="Times New Roman;Times;Serif"/>
          <w:b w:val="false"/>
          <w:i w:val="false"/>
          <w:caps w:val="false"/>
          <w:smallCaps w:val="false"/>
          <w:sz w:val="20"/>
        </w:rPr>
        <w:t>”). Under no circumstances shall the Company assert that any other approval or consent is necessary by the Selling Shareholders to approve this Agreement and the transactions contemplated under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agrees that: (i) the Company Board shall recommend that the Selling Shareholders vote to adopt and approve this Agreement and the transactions contemplated under this Agreement and shall use commercially reasonable efforts to solicit such approval within the time set forth in </w:t>
      </w:r>
      <w:r>
        <w:rPr>
          <w:rFonts w:ascii="Times New Roman;Times;Serif" w:hAnsi="Times New Roman;Times;Serif"/>
          <w:b w:val="false"/>
          <w:i w:val="false"/>
          <w:caps w:val="false"/>
          <w:smallCaps w:val="false"/>
          <w:sz w:val="20"/>
          <w:u w:val="single"/>
        </w:rPr>
        <w:t>Section 6.8(a)</w:t>
      </w:r>
      <w:r>
        <w:rPr>
          <w:rFonts w:ascii="Times New Roman;Times;Serif" w:hAnsi="Times New Roman;Times;Serif"/>
          <w:b w:val="false"/>
          <w:i w:val="false"/>
          <w:caps w:val="false"/>
          <w:smallCaps w:val="false"/>
          <w:sz w:val="20"/>
        </w:rPr>
        <w:t xml:space="preserve"> (the recommendation of the Company Board that the Selling Shareholders vote to adopt and approve this Agreement being referred to as the “</w:t>
      </w:r>
      <w:r>
        <w:rPr>
          <w:rFonts w:ascii="Times New Roman;Times;Serif" w:hAnsi="Times New Roman;Times;Serif"/>
          <w:b/>
          <w:i w:val="false"/>
          <w:caps w:val="false"/>
          <w:smallCaps w:val="false"/>
          <w:sz w:val="20"/>
        </w:rPr>
        <w:t>Company Board Recommendation</w:t>
      </w:r>
      <w:r>
        <w:rPr>
          <w:rFonts w:ascii="Times New Roman;Times;Serif" w:hAnsi="Times New Roman;Times;Serif"/>
          <w:b w:val="false"/>
          <w:i w:val="false"/>
          <w:caps w:val="false"/>
          <w:smallCaps w:val="false"/>
          <w:sz w:val="20"/>
        </w:rPr>
        <w:t>”) and (ii) the Company Board Recommendation shall not be withdrawn or modified (and the Company Board shall not publicly propose to withdraw or modify the Company Board Recommendation) in a manner adverse to Parent, and no resolution by the Company Board or any committee thereof to withdraw or modify the Company Board Recommendation in a manner adverse to Parent or to adopt, approve or recommend (or publicly propose to adopt, approve or recommend) any Alternative Acquisition shall be adopted or proposed.</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6.9 Parent Stockholder Meeting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shall take all action necessary under applicable Law to call, give notice of and hold a meeting of the holders of Parent Common Stock to consider and vote on proposals to (i) approve this Agreement and thereby to approve the transactions contemplated under this Agreement, including without limitation, the Exchange (the “</w:t>
      </w:r>
      <w:r>
        <w:rPr>
          <w:rFonts w:ascii="Times New Roman;Times;Serif" w:hAnsi="Times New Roman;Times;Serif"/>
          <w:b/>
          <w:i w:val="false"/>
          <w:caps w:val="false"/>
          <w:smallCaps w:val="false"/>
          <w:sz w:val="20"/>
        </w:rPr>
        <w:t>Parent Stockholder Exchange Approval Matter</w:t>
      </w:r>
      <w:r>
        <w:rPr>
          <w:rFonts w:ascii="Times New Roman;Times;Serif" w:hAnsi="Times New Roman;Times;Serif"/>
          <w:b w:val="false"/>
          <w:i w:val="false"/>
          <w:caps w:val="false"/>
          <w:smallCaps w:val="false"/>
          <w:sz w:val="20"/>
        </w:rPr>
        <w:t>”), (ii) amend Parent’s certificate of incorporation to, if deemed appropriate by the Parties, effect a Nasdaq Reverse Split, and (iii) approve the Future Financing and one new director nominated by the Company, (clauses (i), (ii) and (iii) collectively, the “</w:t>
      </w:r>
      <w:r>
        <w:rPr>
          <w:rFonts w:ascii="Times New Roman;Times;Serif" w:hAnsi="Times New Roman;Times;Serif"/>
          <w:b/>
          <w:i w:val="false"/>
          <w:caps w:val="false"/>
          <w:smallCaps w:val="false"/>
          <w:sz w:val="20"/>
        </w:rPr>
        <w:t>Parent Stockholder Matters</w:t>
      </w:r>
      <w:r>
        <w:rPr>
          <w:rFonts w:ascii="Times New Roman;Times;Serif" w:hAnsi="Times New Roman;Times;Serif"/>
          <w:b w:val="false"/>
          <w:i w:val="false"/>
          <w:caps w:val="false"/>
          <w:smallCaps w:val="false"/>
          <w:sz w:val="20"/>
        </w:rPr>
        <w:t>” and such meeting, the “</w:t>
      </w:r>
      <w:r>
        <w:rPr>
          <w:rFonts w:ascii="Times New Roman;Times;Serif" w:hAnsi="Times New Roman;Times;Serif"/>
          <w:b/>
          <w:i w:val="false"/>
          <w:caps w:val="false"/>
          <w:smallCaps w:val="false"/>
          <w:sz w:val="20"/>
        </w:rPr>
        <w:t>Parent Stockholder Meeting</w:t>
      </w:r>
      <w:r>
        <w:rPr>
          <w:rFonts w:ascii="Times New Roman;Times;Serif" w:hAnsi="Times New Roman;Times;Serif"/>
          <w:b w:val="false"/>
          <w:i w:val="false"/>
          <w:caps w:val="false"/>
          <w:smallCaps w:val="false"/>
          <w:sz w:val="20"/>
        </w:rPr>
        <w:t>”). The Parent Stockholder Meeting shall be held as promptly as practicable after the date that the Registration Statement is declared effective under the Securities Act, and in any event, no later than forty-five (45) days after the effective date of the Registration Statement. Parent shall take reasonable measures to ensure that all proxies solicited in connection with the Parent Stockholder Meeting are solicited in compliance with all applicable Laws. Notwithstanding anything to the contrary contained herein, if on the date of the Parent Stockholder Meeting, or a date preceding the date on which the Parent Stockholder Meeting is scheduled, Parent reasonably believes that (i) it will not receive proxies sufficient to obtain the Parent Stockholder Vote, whether or not a quorum would be present or (ii) it will not have sufficient shares of Parent Common Stock represented (whether in person or by proxy) to constitute a quorum necessary to conduct the business of the Parent Stockholder Meeting, Parent may postpone or adjourn, or make one or more successive postponements or adjournments of, the Parent Stockholder Meeting, as long as the date of the Parent Stockholder Meeting is not postponed or adjourned more than an aggregate of thirty (30) days in connection with any postponements or adjournments.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Parent agrees that (i) the Board of Directors of Parent shall recommend that the holders of Parent Common Stock vote to approve the Parent Stockholder Matters and shall use commercially reasonable efforts to solicit such approval within the timeframe set forth in </w:t>
      </w:r>
      <w:r>
        <w:rPr>
          <w:rFonts w:ascii="Times New Roman;Times;Serif" w:hAnsi="Times New Roman;Times;Serif"/>
          <w:b w:val="false"/>
          <w:i w:val="false"/>
          <w:caps w:val="false"/>
          <w:smallCaps w:val="false"/>
          <w:sz w:val="20"/>
          <w:u w:val="single"/>
        </w:rPr>
        <w:t>Section 6.9(a)</w:t>
      </w:r>
      <w:r>
        <w:rPr>
          <w:rFonts w:ascii="Times New Roman;Times;Serif" w:hAnsi="Times New Roman;Times;Serif"/>
          <w:b w:val="false"/>
          <w:i w:val="false"/>
          <w:caps w:val="false"/>
          <w:smallCaps w:val="false"/>
          <w:sz w:val="20"/>
        </w:rPr>
        <w:t xml:space="preserve"> above, and (ii) the Proxy Statement shall include a statement to the effect that the Board of Directors of Parent recommends that Parent’s stockholders vote to approve the Parent Stockholder Matters (the recommendation of the Parent Board being referred to as the “</w:t>
      </w:r>
      <w:r>
        <w:rPr>
          <w:rFonts w:ascii="Times New Roman;Times;Serif" w:hAnsi="Times New Roman;Times;Serif"/>
          <w:b/>
          <w:i w:val="false"/>
          <w:caps w:val="false"/>
          <w:smallCaps w:val="false"/>
          <w:sz w:val="20"/>
        </w:rPr>
        <w:t>Parent Board Recommendation</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7</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TO EXCHANGE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 Condition to Obligation of Each Party to Effect the Exchange</w:t>
      </w:r>
      <w:r>
        <w:rPr>
          <w:rFonts w:ascii="Times New Roman;Times;Serif" w:hAnsi="Times New Roman;Times;Serif"/>
          <w:b w:val="false"/>
          <w:i w:val="false"/>
          <w:caps w:val="false"/>
          <w:smallCaps w:val="false"/>
          <w:sz w:val="20"/>
        </w:rPr>
        <w:t>. The respective obligations of Parent, the Company and the Selling Shareholders to consummate the transactions contemplated herein are subject to the satisfaction or waiver in writing prior to the Effective Time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No Injunctions</w:t>
      </w:r>
      <w:r>
        <w:rPr>
          <w:rFonts w:ascii="Times New Roman;Times;Serif" w:hAnsi="Times New Roman;Times;Serif"/>
          <w:b w:val="false"/>
          <w:i w:val="false"/>
          <w:caps w:val="false"/>
          <w:smallCaps w:val="false"/>
          <w:sz w:val="20"/>
        </w:rPr>
        <w:t>. No temporary restraining Order, preliminary or permanent injunction issued by any court of competent jurisdiction preventing or prohibiting the consummation of the Exchange or the other transactions contemplated herein shall be in effect; provided, however, that each Party shall have used its commercially reasonable efforts to prevent the entry of any such Orders or injunctions and to appeal as promptly as possible any such Orders or injunctions and to appeal as promptly as possible any such Orders or injunctions that may be entered.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Stockholder Approval</w:t>
      </w:r>
      <w:r>
        <w:rPr>
          <w:rFonts w:ascii="Times New Roman;Times;Serif" w:hAnsi="Times New Roman;Times;Serif"/>
          <w:b w:val="false"/>
          <w:i w:val="false"/>
          <w:caps w:val="false"/>
          <w:smallCaps w:val="false"/>
          <w:sz w:val="20"/>
        </w:rPr>
        <w:t>. Parent shall have obtained the Parent Stockholder Exchange Vote and the Company shall have obtained the Required Company Shareholder Vote.</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Effectiveness of Registration Statement</w:t>
      </w:r>
      <w:r>
        <w:rPr>
          <w:rFonts w:ascii="Times New Roman;Times;Serif" w:hAnsi="Times New Roman;Times;Serif"/>
          <w:b w:val="false"/>
          <w:i w:val="false"/>
          <w:caps w:val="false"/>
          <w:smallCaps w:val="false"/>
          <w:sz w:val="20"/>
        </w:rPr>
        <w:t>. The Registration Statement shall have become effective in accordance with the provisions of the Securities Act, and shall not be subject to any stop order or proceeding (or threatened proceeding by the SEC) seeking a stop order with respect to the Registration Statement that has not been withdrawn. Any material state securities laws applicable to the issuance of the shares of Parent Common Stock in connection with the transactions contemplated under this Agreement shall have been complied with and no stop order (or similar order) shall have been issued or threatened in writing in respect of thereof by any applicable state securities commissioner or court of competent jurisdiction.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Listing</w:t>
      </w:r>
      <w:r>
        <w:rPr>
          <w:rFonts w:ascii="Times New Roman;Times;Serif" w:hAnsi="Times New Roman;Times;Serif"/>
          <w:b w:val="false"/>
          <w:i w:val="false"/>
          <w:caps w:val="false"/>
          <w:smallCaps w:val="false"/>
          <w:sz w:val="20"/>
        </w:rPr>
        <w:t>. The shares of Parent Common Stock to be issued in the Exchange pursuant to this Agreement shall have been approved for listing (subject to official notice of issuance) on Nasdaq as of the Closing.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Value of Exchange Shares</w:t>
      </w:r>
      <w:r>
        <w:rPr>
          <w:rFonts w:ascii="Times New Roman;Times;Serif" w:hAnsi="Times New Roman;Times;Serif"/>
          <w:b w:val="false"/>
          <w:i w:val="false"/>
          <w:caps w:val="false"/>
          <w:smallCaps w:val="false"/>
          <w:sz w:val="20"/>
        </w:rPr>
        <w:t>. Parent and the Selling Shareholders shall agree in writing that the Exchange Shares represent mutually acceptable consideration for the acquisition of the Shares. In the event the amount, timing or value of the Exchange Shares is not mutually acceptable to both Parties, the Parties agree to negotiate in good faith an adjustment to the Exchange Shares, including a potential earnout.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 Additional Conditions to Obligations of Parent</w:t>
      </w:r>
      <w:r>
        <w:rPr>
          <w:rFonts w:ascii="Times New Roman;Times;Serif" w:hAnsi="Times New Roman;Times;Serif"/>
          <w:b w:val="false"/>
          <w:i w:val="false"/>
          <w:caps w:val="false"/>
          <w:smallCaps w:val="false"/>
          <w:sz w:val="20"/>
        </w:rPr>
        <w:t>. The obligations of Parent to consummate the transactions contemplated herein are also subject to the satisfaction or waiver in writing prior to the Effective Time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Representations and Warranties</w:t>
      </w:r>
      <w:r>
        <w:rPr>
          <w:rFonts w:ascii="Times New Roman;Times;Serif" w:hAnsi="Times New Roman;Times;Serif"/>
          <w:b w:val="false"/>
          <w:i w:val="false"/>
          <w:caps w:val="false"/>
          <w:smallCaps w:val="false"/>
          <w:sz w:val="20"/>
        </w:rPr>
        <w:t>. The representations and warranties of each of the Company and the Selling Shareholders contained in this Agreement and in any certificate delivered to Parent pursuant hereto shall be true and correct as of immediately prior to the Effective Time with the same force and effect as if made at and as of such time (except those representations and warranties that address matters only as of a particular date, which shall be true and correct as of that date), except where the failure of such representations and warranties to be so true and correct would not reasonably be expected to have, individually or in the aggregate, a Material Adverse Effect on the Company, and Parent shall have received a certificate to such effect signed by the President and the Chief Executive Officer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Agreements and Covenants</w:t>
      </w:r>
      <w:r>
        <w:rPr>
          <w:rFonts w:ascii="Times New Roman;Times;Serif" w:hAnsi="Times New Roman;Times;Serif"/>
          <w:b w:val="false"/>
          <w:i w:val="false"/>
          <w:caps w:val="false"/>
          <w:smallCaps w:val="false"/>
          <w:sz w:val="20"/>
        </w:rPr>
        <w:t>. Each of the Company and the Selling Shareholders shall have performed in all material respects, or complied with in all material respects, all agreements and covenants required by this Agreement to be performed or complied with by them prior to the Effective Time, and Parent shall have received a certificate to such effect signed by the President and Chief Executive Officer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Certificate of Secretary</w:t>
      </w:r>
      <w:r>
        <w:rPr>
          <w:rFonts w:ascii="Times New Roman;Times;Serif" w:hAnsi="Times New Roman;Times;Serif"/>
          <w:b w:val="false"/>
          <w:i w:val="false"/>
          <w:caps w:val="false"/>
          <w:smallCaps w:val="false"/>
          <w:sz w:val="20"/>
        </w:rPr>
        <w:t>. The Company shall have delivered to Parent a certificate executed by the Secretary of the Company, certifying: (i) resolutions duly adopted by the Board of Directors of the Company authorizing this Agreement and the Exchange; (ii) the Governing Documents of the Company as in effect immediately prior to the Effective Time, including all amendments thereto; and (iii) the incumbency of the officers of the Company, executing this Agreement and all agreements and documents contemplated 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Consents Obtained</w:t>
      </w:r>
      <w:r>
        <w:rPr>
          <w:rFonts w:ascii="Times New Roman;Times;Serif" w:hAnsi="Times New Roman;Times;Serif"/>
          <w:b w:val="false"/>
          <w:i w:val="false"/>
          <w:caps w:val="false"/>
          <w:smallCaps w:val="false"/>
          <w:sz w:val="20"/>
        </w:rPr>
        <w:t>. All consents, waivers, approvals, authorizations or Orders required to be obtained, and all filings required to be made, by the Company for the authorization, execution and delivery of this Agreement and the consummation by it of the transactions contemplated hereby shall have been obtained and made by the Company, except for such consents, waivers, approvals, authorizations and Orders, and such filings, which would not be reasonably likely to have a Material Adverse Effect on the Company or the Parent.</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Absence of Material Adverse Effect</w:t>
      </w:r>
      <w:r>
        <w:rPr>
          <w:rFonts w:ascii="Times New Roman;Times;Serif" w:hAnsi="Times New Roman;Times;Serif"/>
          <w:b w:val="false"/>
          <w:i w:val="false"/>
          <w:caps w:val="false"/>
          <w:smallCaps w:val="false"/>
          <w:sz w:val="20"/>
        </w:rPr>
        <w:t>. Since the date of this Agreement, there shall not have been any Material Adverse Effect with respect to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val="false"/>
          <w:caps w:val="false"/>
          <w:smallCaps w:val="false"/>
          <w:sz w:val="20"/>
        </w:rPr>
        <w:t>Company Shareholder Written Consent</w:t>
      </w:r>
      <w:r>
        <w:rPr>
          <w:rFonts w:ascii="Times New Roman;Times;Serif" w:hAnsi="Times New Roman;Times;Serif"/>
          <w:b w:val="false"/>
          <w:i w:val="false"/>
          <w:caps w:val="false"/>
          <w:smallCaps w:val="false"/>
          <w:sz w:val="20"/>
        </w:rPr>
        <w:t>. The Company Shareholder Written Consent executed by the Selling Shareholders shall be in full force and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i w:val="false"/>
          <w:caps w:val="false"/>
          <w:smallCaps w:val="false"/>
          <w:sz w:val="20"/>
        </w:rPr>
        <w:t>Due Diligence.</w:t>
      </w:r>
      <w:r>
        <w:rPr>
          <w:rFonts w:ascii="Times New Roman;Times;Serif" w:hAnsi="Times New Roman;Times;Serif"/>
          <w:b w:val="false"/>
          <w:i w:val="false"/>
          <w:caps w:val="false"/>
          <w:smallCaps w:val="false"/>
          <w:sz w:val="20"/>
        </w:rPr>
        <w:t xml:space="preserve"> Parent shall have completed its legal, financial, tax, commercial, and operational due diligence review of the Company to Parent’s reasonable satisfaction, except to the extent any issues arising from such due diligence review are specifically disclosed in the Company Disclosure Schedule.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i w:val="false"/>
          <w:caps w:val="false"/>
          <w:smallCaps w:val="false"/>
          <w:sz w:val="20"/>
        </w:rPr>
        <w:t>Selling Shareholder Representation Letter</w:t>
      </w:r>
      <w:r>
        <w:rPr>
          <w:rFonts w:ascii="Times New Roman;Times;Serif" w:hAnsi="Times New Roman;Times;Serif"/>
          <w:b w:val="false"/>
          <w:i w:val="false"/>
          <w:caps w:val="false"/>
          <w:smallCaps w:val="false"/>
          <w:sz w:val="20"/>
        </w:rPr>
        <w:t xml:space="preserve">. Each of the Selling Shareholders shall have completed and executed the selling shareholder representation letter attached hereto as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rPr>
        <w:t>Lock-Up Agreement</w:t>
      </w:r>
      <w:r>
        <w:rPr>
          <w:rFonts w:ascii="Times New Roman;Times;Serif" w:hAnsi="Times New Roman;Times;Serif"/>
          <w:b w:val="false"/>
          <w:i w:val="false"/>
          <w:caps w:val="false"/>
          <w:smallCaps w:val="false"/>
          <w:sz w:val="20"/>
        </w:rPr>
        <w:t xml:space="preserve">. Certain of the Selling Shareholders, as agreed upon by Parent, shall have executed the Lock-Up Agreement in the form attached hereto as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7.3 Additional Conditions to Obligations of the Company</w:t>
      </w:r>
      <w:r>
        <w:rPr>
          <w:rFonts w:ascii="Times New Roman;Times;Serif" w:hAnsi="Times New Roman;Times;Serif"/>
          <w:b w:val="false"/>
          <w:i w:val="false"/>
          <w:caps w:val="false"/>
          <w:smallCaps w:val="false"/>
          <w:sz w:val="20"/>
        </w:rPr>
        <w:t>. The obligations of the Company and the Selling Shareholders to consummate the transactions contemplated herein are also subject to the satisfaction or waiver in writing prior to the Effective Time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Representations and Warranties</w:t>
      </w:r>
      <w:r>
        <w:rPr>
          <w:rFonts w:ascii="Times New Roman;Times;Serif" w:hAnsi="Times New Roman;Times;Serif"/>
          <w:b w:val="false"/>
          <w:i w:val="false"/>
          <w:caps w:val="false"/>
          <w:smallCaps w:val="false"/>
          <w:sz w:val="20"/>
        </w:rPr>
        <w:t>. The representations and warranties of Parent contained in this Agreement and in any certificate delivered to the Company pursuant hereto shall be true and correct as of immediately prior to the Effective Time with the same force and effect as if made at and as such time (except those representations and warranties that address matters only as of a particular date, which shall be true and correct as of that date), except where the failure of such representations and warranties to be so true and correct would not reasonably be expected to have, individually or in the aggregate, a Material Adverse Effect on Parent, and the Company shall have received a certificate to such effect signed by the Chief Executive Officer of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Agreements and Covenants</w:t>
      </w:r>
      <w:r>
        <w:rPr>
          <w:rFonts w:ascii="Times New Roman;Times;Serif" w:hAnsi="Times New Roman;Times;Serif"/>
          <w:b w:val="false"/>
          <w:i w:val="false"/>
          <w:caps w:val="false"/>
          <w:smallCaps w:val="false"/>
          <w:sz w:val="20"/>
        </w:rPr>
        <w:t>. Parent shall have performed in all material respects, or complied with in all material respects, all agreements and covenants required by this Agreement to be performed or complied with by them prior to the Effective Time, and the Company shall have received a certificate to such effect signed by the Chief Executive Officer of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Certificate of Secretary</w:t>
      </w:r>
      <w:r>
        <w:rPr>
          <w:rFonts w:ascii="Times New Roman;Times;Serif" w:hAnsi="Times New Roman;Times;Serif"/>
          <w:b w:val="false"/>
          <w:i w:val="false"/>
          <w:caps w:val="false"/>
          <w:smallCaps w:val="false"/>
          <w:sz w:val="20"/>
        </w:rPr>
        <w:t>. Parent shall have delivered to the Company a certificate executed by the Secretary of Parent certifying: (i) resolutions duly adopted by the Board of Directors and stockholders of Parent authorizing this Agreement and the Exchange; (ii) the Certificate of Incorporation and Bylaws of Parent as in effect immediately prior to the Effective Time, including all amendments thereto; and (iii) the incumbency of the officers of Parent executing this Agreement and all agreements and documents contemplated 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Consents Obtained</w:t>
      </w:r>
      <w:r>
        <w:rPr>
          <w:rFonts w:ascii="Times New Roman;Times;Serif" w:hAnsi="Times New Roman;Times;Serif"/>
          <w:b w:val="false"/>
          <w:i w:val="false"/>
          <w:caps w:val="false"/>
          <w:smallCaps w:val="false"/>
          <w:sz w:val="20"/>
        </w:rPr>
        <w:t>. All consents, waivers, approvals, authorizations or Orders required to be obtained, and all filings required to be made, by Parent for the authorization, execution and delivery of this Agreement and the consummation by it of the transactions contemplated hereby shall have been obtained and made by Parent, except for such consents, waivers, approvals, authorizations and Orders, and such filings, which would not be reasonably likely to have a Material Adverse Effect on Parent.</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Absence of Material Adverse Effect</w:t>
      </w:r>
      <w:r>
        <w:rPr>
          <w:rFonts w:ascii="Times New Roman;Times;Serif" w:hAnsi="Times New Roman;Times;Serif"/>
          <w:b w:val="false"/>
          <w:i w:val="false"/>
          <w:caps w:val="false"/>
          <w:smallCaps w:val="false"/>
          <w:sz w:val="20"/>
        </w:rPr>
        <w:t>. Since the date of this Agreement, there shall not have been any Material Adverse Effect on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8</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TERMINATION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 Termination.</w:t>
      </w:r>
      <w:r>
        <w:rPr>
          <w:rFonts w:ascii="Times New Roman;Times;Serif" w:hAnsi="Times New Roman;Times;Serif"/>
          <w:b w:val="false"/>
          <w:i w:val="false"/>
          <w:caps w:val="false"/>
          <w:smallCaps w:val="false"/>
          <w:sz w:val="20"/>
        </w:rPr>
        <w:t xml:space="preserve"> This Agreement may be terminated at any time prior to the Effective Time, whether before or after approval of the Exchange by the shareholders of the Company and Parent, unless specified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agreement of the Company and Parent duly authorized by the Boards of Directors of the Company and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either the Company or Parent, if the other Party has breached any representation, warranty, covenant or agreement of such other Party set forth in this Agreement and such breach (i) has resulted in or is reasonably expected to result in a Material Adverse Effect on such other Party or would prevent or materially delay the consummation of the Exchange, (ii) has not been cured by such breaching Party within thirty (30) days following written notice of such breach from the non-breaching Party, and (iii) has not been waived by the non-breaching Party; provided, however, that the right to terminate this Agreement under this Section 8.1(b) shall not be available to any Party whose breach of any representation, warranty, covenant or agreement set forth in this Agreement has been the cause of, or resulted in, such other Party’s breach;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by either the Company or Parent, if all the conditions to the obligations of such Party for Closing the Exchange shall not have been satisfied or waived on or before the Final Date (as defined below);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the SEC has declared effective under the Securities Act the Registration Statement by the Final Date, then either the Company or Parent shall be entitled to extend the Final Date for an additional sixty (60) days in order to hold the Parent Stockholder Meeting and obtain the Parent Stockholder Exchange Vote;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right to terminate this Agreement pursuant to this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xml:space="preserve"> shall not be available to any Party whose breach of any representation, warranty, covenant or agreement set forth in this Agreement has been the cause of, or resulted in, such failure;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by either the Company or Parent, if any Law, permanent injunction or other Order by any Governmental Entity which would make illegal or otherwise restrain or prohibit the consummation of the Exchange shall have been issued, entered, or enacted and shall have become final and nonappealable; provided, however, that the right to terminate this Agreement pursuant to this </w:t>
      </w:r>
      <w:r>
        <w:rPr>
          <w:rFonts w:ascii="Times New Roman;Times;Serif" w:hAnsi="Times New Roman;Times;Serif"/>
          <w:b w:val="false"/>
          <w:i w:val="false"/>
          <w:caps w:val="false"/>
          <w:smallCaps w:val="false"/>
          <w:sz w:val="20"/>
          <w:u w:val="single"/>
        </w:rPr>
        <w:t>Section 8.1(d)</w:t>
      </w:r>
      <w:r>
        <w:rPr>
          <w:rFonts w:ascii="Times New Roman;Times;Serif" w:hAnsi="Times New Roman;Times;Serif"/>
          <w:b w:val="false"/>
          <w:i w:val="false"/>
          <w:caps w:val="false"/>
          <w:smallCaps w:val="false"/>
          <w:sz w:val="20"/>
        </w:rPr>
        <w:t xml:space="preserve"> shall not be available to any Party whose breach of any representation, warranty, covenant or agreement set forth in this Agreement has been the cause of, or resulted in, the issuance, entry, or enactment of any such Law or Order;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by either the Company or Parent if (i) the Parent Stockholder Meeting (including any adjournments and postponements thereof) shall have been held and completed and Parent’s stockholders shall have taken a final vote on the Parent Stockholder Matters, and (ii) the Parent Stockholder Exchange Approval Matter shall not have been approved at the Parent Stockholder Meeting (or at any adjournment or postponement thereof) by the Parent Stockholder Exchange Vote;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8.1(e)</w:t>
      </w:r>
      <w:r>
        <w:rPr>
          <w:rFonts w:ascii="Times New Roman;Times;Serif" w:hAnsi="Times New Roman;Times;Serif"/>
          <w:b w:val="false"/>
          <w:i w:val="false"/>
          <w:caps w:val="false"/>
          <w:smallCaps w:val="false"/>
          <w:sz w:val="20"/>
        </w:rPr>
        <w:t xml:space="preserve"> shall not be available to Parent where the failure to obtain the Parent Stockholder Exchange Vote shall have been caused by the action or failure to act of Parent and such action or failure to act constitutes a material breach by Parent of this Agreement; or</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by Parent if the Required Company Shareholder Vote shall not have been obtained within two (2) Business Days of the Registration Statement becoming effective in accordance with the provisions of the Securities Act;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once the Required Company Shareholder Vote has been obtained, Parent may not terminate this Agreement pursuant to this </w:t>
      </w:r>
      <w:r>
        <w:rPr>
          <w:rFonts w:ascii="Times New Roman;Times;Serif" w:hAnsi="Times New Roman;Times;Serif"/>
          <w:b w:val="false"/>
          <w:i w:val="false"/>
          <w:caps w:val="false"/>
          <w:smallCaps w:val="false"/>
          <w:sz w:val="20"/>
          <w:u w:val="single"/>
        </w:rPr>
        <w:t>Section 8.1(f)</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the “</w:t>
      </w:r>
      <w:r>
        <w:rPr>
          <w:rFonts w:ascii="Times New Roman;Times;Serif" w:hAnsi="Times New Roman;Times;Serif"/>
          <w:b/>
          <w:i w:val="false"/>
          <w:caps w:val="false"/>
          <w:smallCaps w:val="false"/>
          <w:sz w:val="20"/>
        </w:rPr>
        <w:t>Final Date</w:t>
      </w:r>
      <w:r>
        <w:rPr>
          <w:rFonts w:ascii="Times New Roman;Times;Serif" w:hAnsi="Times New Roman;Times;Serif"/>
          <w:b w:val="false"/>
          <w:i w:val="false"/>
          <w:caps w:val="false"/>
          <w:smallCaps w:val="false"/>
          <w:sz w:val="20"/>
        </w:rPr>
        <w:t>” shall be December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8.2 Notice of Termination</w:t>
      </w:r>
      <w:r>
        <w:rPr>
          <w:rFonts w:ascii="Times New Roman;Times;Serif" w:hAnsi="Times New Roman;Times;Serif"/>
          <w:b w:val="false"/>
          <w:i w:val="false"/>
          <w:caps w:val="false"/>
          <w:smallCaps w:val="false"/>
          <w:sz w:val="20"/>
        </w:rPr>
        <w:t xml:space="preserve">. Any termination of this Agreement under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above will be effective immediately upon the delivery of written notice of the terminating Party to the other Party hereto specifying with reasonable particularity the reason for such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8.3 Effect of Termination</w:t>
      </w:r>
      <w:r>
        <w:rPr>
          <w:rFonts w:ascii="Times New Roman;Times;Serif" w:hAnsi="Times New Roman;Times;Serif"/>
          <w:b w:val="false"/>
          <w:i w:val="false"/>
          <w:caps w:val="false"/>
          <w:smallCaps w:val="false"/>
          <w:sz w:val="20"/>
        </w:rPr>
        <w:t xml:space="preserve">. In the case of any termination of this Agreement as provided in this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this Agreement shall be of no further force and effect, with no liability on the part of any Party to this Agreement (or any stockholder, director, officer, employee, agent or representative of such Party) to any other Party hereto, except (i) with respect to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xml:space="preserve"> (and any related definitions contained in any such Sections or Articles), which shall remain in full force and effect and (ii) with respect to any liabilities or damages incurred or suffered by a Party, to the extent such liabilities or damages were the result of fraud or the material breach by another Party of any of its representations, warranties, covenants or other agreements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9</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SURVIVAL OF REPRESENTATIONS, WARRANTIES AND 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None of the representations and warranties contained in this Agreement or in any instrument delivered under this Agreement will survive the Effective Time. This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does not limit any covenant of the parties to this Agreement which, by its terms, contemplates performance after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10</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 Notices</w:t>
      </w:r>
      <w:r>
        <w:rPr>
          <w:rFonts w:ascii="Times New Roman;Times;Serif" w:hAnsi="Times New Roman;Times;Serif"/>
          <w:b w:val="false"/>
          <w:i w:val="false"/>
          <w:caps w:val="false"/>
          <w:smallCaps w:val="false"/>
          <w:sz w:val="20"/>
        </w:rPr>
        <w:t>. All notices and other communications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by hand or (c) on the date delivered in the place of delivery if sent by email or facsimile (with a written or electronic confirmation of delivery) prior to 6:00 p.m. (New York City time), otherwise on the next succeeding Business Day, in each case to the intended recipient as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10, Tower 11, Avenue 5, No. 8</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Jalan Kerinchi, Kuala Lumpur, Malaysia 59200</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Datuk Dr. Doris Wong Sing Ee, Chief Executive Officer</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Ph: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p>
    <w:p>
      <w:pPr>
        <w:pStyle w:val="TextBody"/>
        <w:bidi w:val="0"/>
        <w:spacing w:before="0" w:after="0"/>
        <w:ind w:left="216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Rimon, P.C.</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 Washington Street, Suite 600</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 94111 U.S.A.</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Mark Lee; Debbie Klis</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 (418) 683-5472 or (202) 935-3390</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mark.c.lee@rimonlaw.com</w:t>
      </w:r>
      <w:r>
        <w:rPr>
          <w:rFonts w:ascii="Times New Roman;Times;Serif" w:hAnsi="Times New Roman;Times;Serif"/>
          <w:b w:val="false"/>
          <w:i w:val="false"/>
          <w:caps w:val="false"/>
          <w:smallCaps w:val="false"/>
          <w:sz w:val="20"/>
        </w:rPr>
        <w:t>; debbie.klis@rimonlaw.com</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to the Company or the Selling Shareholders: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Lot PT 6127, 3A/1,</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Jalan Tech Valley, Bandar Sri</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Sendayan, Seremban</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Negeri Sembilan, Malaysia</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Pun Kah Weng, Director</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Ph: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Messrs Rohamat &amp; Ling</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1009, Level 10, Menara PJ,</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Pusat Perdagangan Amcorp,</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18, Jalan Persiaran Barat,</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46050, Petaling Jaya, Selangor, Malaysia</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Mark Wong &amp; Bernard Tee</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 +603-79325115/ +603- 7932 5050</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corporate@r-ling.com</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10.2 Amendment</w:t>
      </w:r>
      <w:r>
        <w:rPr>
          <w:rFonts w:ascii="Times New Roman;Times;Serif" w:hAnsi="Times New Roman;Times;Serif"/>
          <w:b w:val="false"/>
          <w:i w:val="false"/>
          <w:caps w:val="false"/>
          <w:smallCaps w:val="false"/>
          <w:sz w:val="20"/>
        </w:rPr>
        <w:t xml:space="preserve">. This Agreement may be amended with the approval of the respective boards of directors of the Company and Parent, and all of the Selling Shareholders at any time (whether before or after the adoption and approval of this Agreement by the Selling Shareholders or before or after obtaining the Parent Stockholder Vote);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Company, the Selling Shareholders and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10.3 Waiver</w:t>
      </w:r>
      <w:r>
        <w:rPr>
          <w:rFonts w:ascii="Times New Roman;Times;Serif" w:hAnsi="Times New Roman;Times;Serif"/>
          <w:b w:val="false"/>
          <w:i w:val="false"/>
          <w:caps w:val="false"/>
          <w:smallCaps w:val="false"/>
          <w:sz w:val="20"/>
        </w:rPr>
        <w:t>. Any provision hereof may be waived by the waiving Party solely on such Party’s own behalf, without the consent of any other Party.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10.4 Failure or Indulgence Not Waiver; Remedies Cumulative</w:t>
      </w:r>
      <w:r>
        <w:rPr>
          <w:rFonts w:ascii="Times New Roman;Times;Serif" w:hAnsi="Times New Roman;Times;Serif"/>
          <w:b w:val="false"/>
          <w:i w:val="false"/>
          <w:caps w:val="false"/>
          <w:smallCaps w:val="false"/>
          <w:sz w:val="20"/>
        </w:rPr>
        <w:t>. No failure or delay on the part of any Party hereto in the exercise of any right hereunder shall impair such right or be construed to be a waiver of, or acquiescence in, any breach of any representation, warranty or agreement herein, nor shall any single or partial exercise of any such right preclude other or further exercise thereof or of any other rights. Except as otherwise provided hereunder, all rights and remedies existing under this Agreement are cumulative to, and not exclusive of, any rights or remedies otherwise available.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10.5 Headings</w:t>
      </w:r>
      <w:r>
        <w:rPr>
          <w:rFonts w:ascii="Times New Roman;Times;Serif" w:hAnsi="Times New Roman;Times;Serif"/>
          <w:b w:val="false"/>
          <w:i w:val="false"/>
          <w:caps w:val="false"/>
          <w:smallCaps w:val="false"/>
          <w:sz w:val="20"/>
        </w:rPr>
        <w:t>. The headings contained in this Agreement are for reference purposes only and shall not affect in any way the meaning or interpretation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10.6 Severability.</w:t>
      </w:r>
      <w:r>
        <w:rPr>
          <w:rFonts w:ascii="Times New Roman;Times;Serif" w:hAnsi="Times New Roman;Times;Serif"/>
          <w:b w:val="false"/>
          <w:i w:val="false"/>
          <w:caps w:val="false"/>
          <w:smallCaps w:val="false"/>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10.7 Entire Agreement</w:t>
      </w:r>
      <w:r>
        <w:rPr>
          <w:rFonts w:ascii="Times New Roman;Times;Serif" w:hAnsi="Times New Roman;Times;Serif"/>
          <w:b w:val="false"/>
          <w:i w:val="false"/>
          <w:caps w:val="false"/>
          <w:smallCaps w:val="false"/>
          <w:sz w:val="20"/>
        </w:rPr>
        <w:t>. This Agreement (including the Company Disclosure Schedule and the Parent Disclosure Schedule together with the other Transaction Documents and the exhibits and schedules attached hereto and thereto and the certificates referenced herein) constitutes the entire agreement and supersedes all prior agreements and understandings, both oral and written, among the Parties, or any of them, with respect to the subject matter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10.8 Assignment</w:t>
      </w:r>
      <w:r>
        <w:rPr>
          <w:rFonts w:ascii="Times New Roman;Times;Serif" w:hAnsi="Times New Roman;Times;Serif"/>
          <w:b w:val="false"/>
          <w:i w:val="false"/>
          <w:caps w:val="false"/>
          <w:smallCaps w:val="false"/>
          <w:sz w:val="20"/>
        </w:rPr>
        <w:t xml:space="preserve">. This Agreement shall be binding upon, and shall be enforceable by and inure solely to the benefit of, the Parties and their respective successors and permitted assigns;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10.9 Parties In Interest.</w:t>
      </w:r>
      <w:r>
        <w:rPr>
          <w:rFonts w:ascii="Times New Roman;Times;Serif" w:hAnsi="Times New Roman;Times;Serif"/>
          <w:b w:val="false"/>
          <w:i w:val="false"/>
          <w:caps w:val="false"/>
          <w:smallCaps w:val="false"/>
          <w:sz w:val="20"/>
        </w:rPr>
        <w:t xml:space="preserve"> This Agreement shall be binding upon and inure solely to the benefit of each Party hereto and their permitted assigns and respective successors, and nothing in this Agreement, express or implied, is intended to or shall confer upon any other Person any right, benefit or remedy of any nature whatsoever under or by reason of this Agreement, including, without limitation, by way of subrogation.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10.10 Governing Law</w:t>
      </w:r>
      <w:r>
        <w:rPr>
          <w:rFonts w:ascii="Times New Roman;Times;Serif" w:hAnsi="Times New Roman;Times;Serif"/>
          <w:b w:val="false"/>
          <w:i w:val="false"/>
          <w:caps w:val="false"/>
          <w:smallCaps w:val="false"/>
          <w:sz w:val="20"/>
        </w:rPr>
        <w:t xml:space="preserve">. This Agreement will be governed by, and construed and enforced in accordance with the Laws of the State of Delaware as applied to Contracts that are executed and performed in Delaware, without regard to the principles of conflicts of Law thereof. EACH PARTY HEREBY IRREVOCABLY SUBMITS TO THE EXCLUSIVE JURISDICTION OF THE COURT OF CHANCERY OF THE STATE OF DELAWARE (OR, IF THE COURT OF CHANCERY OF THE STATE OF DELAWARE DECLINES TO ACCEPT JURISDICTION OVER A PARTICULAR MATTER, ANY STATE OR FEDERAL COURT WITHIN THE STATE OF DELAWARE) IN RESPECT OF ANY CLAIM, DISPUTE, OR CONTROVERSY ARISING OUT OF OR RELATING TO THIS AGREEMENT OR THE TRANSACTIONS CONTEMPLATED HEREBY, AND HEREBY WAIVES, AND AGREES NOT TO ASSERT, AS A DEFENSE IN ANY ACTION, SUIT OR PROCEEDING FOR THE INTERPRETATION OR ENFORCEMENT HEREOF OR OF ANY SUCH DOCUMENT, THAT IT IS NOT SUBJECT THERETO OR THAT SUCH ACTION, SUIT OR PROCEEDING MAY NOT BE BROUGHT OR IS NOT MAINTAINABLE IN SUCH COURTS OR THAT THE VENUE THEREOF MAY NOT BE APPROPRIATE OR THAT THIS AGREEMENT MAY NOT BE ENFORCED IN OR BY SUCH COURTS, AND THE PARTIES HERETO IRREVOCABLY AGREE THAT ALL CLAIMS WITH RESPECT TO SUCH ACTION OR PROCEEDING SHALL BE HEARD AND DETERMINED IN SUCH COURTS. THE PARTIES HEREBY CONSENT TO AND GRANT ANY SUCH COURT JURISDICTION OVER THE PERSON OF SUCH PARTIES AND OVER THE SUBJECT MATTER OF SUCH DISPUTE AND AGREE THAT MAILING OF PROCESS OR OTHER PAPERS IN CONNECTION WITH ANY SUCH ACTION OR PROCEEDING IN THE MANNER PROVIDED IN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OR IN SUCH OTHER MANNER AS MAY BE PERMITTED BY LAW, SHALL BE VALID AND SUFFICIENT SERVICE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10.11 Waiver of Jury Trial. EACH OF THE PARTIES HERETO HEREBY WAIVES TO THE FULLEST EXTENT PERMITTED BY APPLICABLE LAW ANY RIGHT IT MAY HAVE TO A TRIAL BY JURY WITH RESPECT TO ANY LITIGATION DIRECTLY OR INDIRECTLY ARISING OUT OF, UNDER OR IN CONNECTION WITH THIS AGREEMENT OR THE TRANSACTIONS CONTEMPLATED HEREBY. EACH OF THE PARTIES HERETO HEREBY (A) CERTIFIES THAT NO REPRESENTATIVE, AGENT OR ATTORNEY OF THE OTHER PARTY HAS REPRESENTED, EXPRESSLY OR OTHERWISE, THAT SUCH OTHER PARTY WOULD NOT, IN THE EVENT OF LITIGATION, SEEK TO ENFORCE THE FOREGOING WAIVER AND (B) ACKNOWLEDGES THAT IT HAS BEEN INDUCED TO ENTER INTO THIS AGREEMENT AND THE TRANSACTIONS CONTEMPLATED HEREBY, AS APPLICABLE, BY, AMONG OTHER THINGS, THE MUTUAL WAIVERS AND CERTIFICATIONS IN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10.12 Counterparts</w:t>
      </w:r>
      <w:r>
        <w:rPr>
          <w:rFonts w:ascii="Times New Roman;Times;Serif" w:hAnsi="Times New Roman;Times;Serif"/>
          <w:b w:val="false"/>
          <w:i w:val="false"/>
          <w:caps w:val="false"/>
          <w:smallCaps w:val="false"/>
          <w:sz w:val="20"/>
        </w:rPr>
        <w:t>. This Agreement may be executed in two or more counterparts, any one of which need not contain the signatures of more than one Party, but all such counterparts taken together will constitute one and the same Agreement. This Agreement will become effective when each Party to this Agreement will have received counterparts signed by all of the other parties. This Agreement, to the extent a signed version hereof or signature hereto is delivered by means of a facsimile machine or electronic mail (any such delivery, an “</w:t>
      </w:r>
      <w:r>
        <w:rPr>
          <w:rFonts w:ascii="Times New Roman;Times;Serif" w:hAnsi="Times New Roman;Times;Serif"/>
          <w:b/>
          <w:i w:val="false"/>
          <w:caps w:val="false"/>
          <w:smallCaps w:val="false"/>
          <w:sz w:val="20"/>
        </w:rPr>
        <w:t>Electronic Delivery</w:t>
      </w:r>
      <w:r>
        <w:rPr>
          <w:rFonts w:ascii="Times New Roman;Times;Serif" w:hAnsi="Times New Roman;Times;Serif"/>
          <w:b w:val="false"/>
          <w:i w:val="false"/>
          <w:caps w:val="false"/>
          <w:smallCaps w:val="false"/>
          <w:sz w:val="20"/>
        </w:rPr>
        <w:t>”), shall be treated in all manner and respects as an original agreement or instrument and shall be considered to have the same binding legal effect as if it were the original signed version thereof delivered in person. At the request of any Party hereto, each other Party hereto shall re-execute original forms hereof and deliver them in person to all other parties. No Party hereto shall raise the use of Electronic Delivery to deliver a signature or the fact that any signature or agreement or instrument was transmitted or communicated through the use of Electronic Delivery as a defense to the formation of a contract, and each such Party forever waives any such defense, except to the extent such defense related to lack of authenticity.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10.13 Attorneys’ Fees</w:t>
      </w:r>
      <w:r>
        <w:rPr>
          <w:rFonts w:ascii="Times New Roman;Times;Serif" w:hAnsi="Times New Roman;Times;Serif"/>
          <w:b w:val="false"/>
          <w:i w:val="false"/>
          <w:caps w:val="false"/>
          <w:smallCaps w:val="false"/>
          <w:sz w:val="20"/>
        </w:rPr>
        <w:t>. If any action or proceeding relating to this Agreement, or the enforcement of any provision of this Agreement is brought by a Party hereto against any Party hereto, the prevailing Party shall be entitled to recover reasonable attorneys’ fees, costs and disbursements (in addition to any other relief to which the prevailing Party may be entitled).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10.14 Representation</w:t>
      </w:r>
      <w:r>
        <w:rPr>
          <w:rFonts w:ascii="Times New Roman;Times;Serif" w:hAnsi="Times New Roman;Times;Serif"/>
          <w:b w:val="false"/>
          <w:i w:val="false"/>
          <w:caps w:val="false"/>
          <w:smallCaps w:val="false"/>
          <w:sz w:val="20"/>
        </w:rPr>
        <w:t>. The Parties to this Agreement, and each of them, acknowledge, agree, and represent that it: (a) has been represented in connection with the negotiation and preparation of this Agreement by counsel of that Party’s choosing; (b) has read this Agreement and has had it fully explained by its counsel; (c) is fully aware of the contents and legal effect of this Agreement; and (d) enters into and signs the same by its own free will.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10.15 Drafting</w:t>
      </w:r>
      <w:r>
        <w:rPr>
          <w:rFonts w:ascii="Times New Roman;Times;Serif" w:hAnsi="Times New Roman;Times;Serif"/>
          <w:b w:val="false"/>
          <w:i w:val="false"/>
          <w:caps w:val="false"/>
          <w:smallCaps w:val="false"/>
          <w:sz w:val="20"/>
        </w:rPr>
        <w:t>. The Parties to this Agreement acknowledge that each of them have participated in the drafting and negotiation of this Agreement. For purposes of interpreting this Agreement, each provision, paragraph, sentence and word herein shall be deemed to have been jointly drafted by both parties. The parties intend for this Agreement to be construed and interpreted neutrally in accordance with the plain meaning of the language contained herein, and not presumptively construed against any actual or purported drafter of any specific language contained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10.16 Interpretation</w:t>
      </w:r>
      <w:r>
        <w:rPr>
          <w:rFonts w:ascii="Times New Roman;Times;Serif" w:hAnsi="Times New Roman;Times;Serif"/>
          <w:b w:val="false"/>
          <w:i w:val="false"/>
          <w:caps w:val="false"/>
          <w:smallCaps w:val="false"/>
          <w:sz w:val="20"/>
        </w:rPr>
        <w:t>. For purposes of this Agreement, references to the masculine gender shall include feminine and neuter genders and entities. Where a reference in this Agreement is made to a Section, Exhibit or Schedule, such reference shall be to a Section of, Exhibit to or Schedule of this Agreement unless otherwise indicated.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References to “this Agreement” shall include the Company Disclosure Schedule and the Parent Disclosure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 Signature Page to Follow]</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caused this Exchange Agreement to be executed as of the date first written above by their respective officers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5209" w:type="dxa"/>
        <w:jc w:val="left"/>
        <w:tblInd w:w="0" w:type="dxa"/>
        <w:tblLayout w:type="fixed"/>
        <w:tblCellMar>
          <w:top w:w="0" w:type="dxa"/>
          <w:left w:w="0" w:type="dxa"/>
          <w:bottom w:w="0" w:type="dxa"/>
          <w:right w:w="0" w:type="dxa"/>
        </w:tblCellMar>
      </w:tblPr>
      <w:tblGrid>
        <w:gridCol w:w="75"/>
        <w:gridCol w:w="916"/>
        <w:gridCol w:w="4218"/>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13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BIO GREEN MED SOLUTION, INC.</w:t>
            </w:r>
            <w:r>
              <w:rPr>
                <w:rFonts w:ascii="Times New Roman;Times;Serif" w:hAnsi="Times New Roman;Times;Serif"/>
                <w:b w:val="false"/>
                <w:i w:val="false"/>
                <w:caps w:val="false"/>
                <w:smallCaps w:val="false"/>
                <w:sz w:val="20"/>
              </w:rPr>
              <w:t>, a Delaware corporation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134"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218"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 Sing Ee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4320" w:right="0" w:hanging="0"/>
        <w:jc w:val="both"/>
        <w:rPr>
          <w:caps w:val="false"/>
          <w:smallCaps w:val="false"/>
        </w:rPr>
      </w:pPr>
      <w:r>
        <w:rPr>
          <w:caps w:val="false"/>
          <w:smallCaps w:val="false"/>
        </w:rPr>
        <w:t> </w:t>
      </w:r>
    </w:p>
    <w:tbl>
      <w:tblPr>
        <w:tblW w:w="5359" w:type="dxa"/>
        <w:jc w:val="left"/>
        <w:tblInd w:w="0" w:type="dxa"/>
        <w:tblLayout w:type="fixed"/>
        <w:tblCellMar>
          <w:top w:w="0" w:type="dxa"/>
          <w:left w:w="0" w:type="dxa"/>
          <w:bottom w:w="0" w:type="dxa"/>
          <w:right w:w="0" w:type="dxa"/>
        </w:tblCellMar>
      </w:tblPr>
      <w:tblGrid>
        <w:gridCol w:w="75"/>
        <w:gridCol w:w="1604"/>
        <w:gridCol w:w="368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28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FUTURE NRG SDN. BHD.</w:t>
            </w:r>
            <w:r>
              <w:rPr>
                <w:rFonts w:ascii="Times New Roman;Times;Serif" w:hAnsi="Times New Roman;Times;Serif"/>
                <w:b w:val="false"/>
                <w:i w:val="false"/>
                <w:caps w:val="false"/>
                <w:smallCaps w:val="false"/>
                <w:sz w:val="20"/>
              </w:rPr>
              <w:t>, a Malaysia private limited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284"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80"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Pun Kah Weng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COUNTERPART SIGNATURE PAGE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does hereby agree to be bound by all of the terms and provisions of the Business Combination Agreement, including all exhibits and schedules attached thereto, dated June 4, 2026, by and among Bio Green Med Solution, Inc., a Delaware corporation, Future NRG Sdn. Bhd., a Malaysian private limited company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each of the shareholders of the Company.</w:t>
      </w:r>
    </w:p>
    <w:p>
      <w:pPr>
        <w:pStyle w:val="TextBody"/>
        <w:bidi w:val="0"/>
        <w:spacing w:before="0" w:after="0"/>
        <w:ind w:left="0" w:right="0" w:hanging="0"/>
        <w:jc w:val="left"/>
        <w:rPr>
          <w:caps w:val="false"/>
          <w:smallCaps w:val="false"/>
        </w:rPr>
      </w:pPr>
      <w:r>
        <w:rPr>
          <w:caps w:val="false"/>
          <w:smallCaps w:val="false"/>
        </w:rPr>
        <w:t> </w:t>
      </w:r>
    </w:p>
    <w:tbl>
      <w:tblPr>
        <w:tblW w:w="2360" w:type="dxa"/>
        <w:jc w:val="left"/>
        <w:tblInd w:w="0" w:type="dxa"/>
        <w:tblLayout w:type="fixed"/>
        <w:tblCellMar>
          <w:top w:w="0" w:type="dxa"/>
          <w:left w:w="0" w:type="dxa"/>
          <w:bottom w:w="0" w:type="dxa"/>
          <w:right w:w="0" w:type="dxa"/>
        </w:tblCellMar>
      </w:tblPr>
      <w:tblGrid>
        <w:gridCol w:w="2285"/>
        <w:gridCol w:w="75"/>
      </w:tblGrid>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Selling Shareholder:</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8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(Please Type or Print)</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8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(Signature)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held by Selling Shareholder: ________________</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as used in the Agreement, have the following meanings: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Accounts Receivable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Company Interim Financial Statements</w:t>
      </w:r>
      <w:r>
        <w:rPr>
          <w:rFonts w:ascii="Times New Roman;Times;Serif" w:hAnsi="Times New Roman;Times;Serif"/>
          <w:b w:val="false"/>
          <w:i w:val="false"/>
          <w:caps w:val="false"/>
          <w:smallCaps w:val="false"/>
          <w:sz w:val="20"/>
        </w:rPr>
        <w:t>” means an unaudited interim financial statements for each interim period completed prior to Closing that would be required to be included in the Registration Statement or any periodic report due prior to the Closing if the Company were subject to the periodic reporting requirements under the Securities Act or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(s)” shall have the meaning set forth in Rule 12b-2 of the regulations promulgated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Aggregate Transaction Consideration Value</w:t>
      </w:r>
      <w:r>
        <w:rPr>
          <w:rFonts w:ascii="Times New Roman;Times;Serif" w:hAnsi="Times New Roman;Times;Serif"/>
          <w:b w:val="false"/>
          <w:i w:val="false"/>
          <w:caps w:val="false"/>
          <w:smallCaps w:val="false"/>
          <w:sz w:val="20"/>
        </w:rPr>
        <w:t>” means $2,000,000,000.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shall have the meaning as set forth in the Preamble.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Alternative Acquisition</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Assets</w:t>
      </w:r>
      <w:r>
        <w:rPr>
          <w:rFonts w:ascii="Times New Roman;Times;Serif" w:hAnsi="Times New Roman;Times;Serif"/>
          <w:b w:val="false"/>
          <w:i w:val="false"/>
          <w:caps w:val="false"/>
          <w:smallCaps w:val="false"/>
          <w:sz w:val="20"/>
        </w:rPr>
        <w:t>” of a Person shall mean all of the assets, properties, businesses and rights of such Person of every kind, nature, character and description, whether real, personal or mixed, tangible or intangible, accrued or contingent, or otherwise relating to or utilized in such Person’s business, directly or indirectly, in whole or in part, whether or not carried on the books and records of such Person, and whether or not owned in the name of such Person or any Affiliate of such Person and wherever located.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Benefit Plans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BGMS</w:t>
      </w:r>
      <w:r>
        <w:rPr>
          <w:rFonts w:ascii="Times New Roman;Times;Serif" w:hAnsi="Times New Roman;Times;Serif"/>
          <w:b w:val="false"/>
          <w:i w:val="false"/>
          <w:caps w:val="false"/>
          <w:smallCaps w:val="false"/>
          <w:sz w:val="20"/>
        </w:rPr>
        <w:t>” means the Nasdaq symbol where Shares of common stock of Parent, par value $0.001, are shown.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a day on which banks in the State of New York are authorized or obligated to close.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shall have the meaning as set forth in the Preamble.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Audited Financial Statements</w:t>
      </w:r>
      <w:r>
        <w:rPr>
          <w:rFonts w:ascii="Times New Roman;Times;Serif" w:hAnsi="Times New Roman;Times;Serif"/>
          <w:b w:val="false"/>
          <w:i w:val="false"/>
          <w:caps w:val="false"/>
          <w:smallCaps w:val="false"/>
          <w:sz w:val="20"/>
        </w:rPr>
        <w:t>” means audited financial statements for each of its fiscal years required to be included in the Registration Statement, together with the auditor’s report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Balance Sheet Date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2.6(b)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Board Recommendation</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6.8(b)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Disclosure Schedule</w:t>
      </w:r>
      <w:r>
        <w:rPr>
          <w:rFonts w:ascii="Times New Roman;Times;Serif" w:hAnsi="Times New Roman;Times;Serif"/>
          <w:b w:val="false"/>
          <w:i w:val="false"/>
          <w:caps w:val="false"/>
          <w:smallCaps w:val="false"/>
          <w:sz w:val="20"/>
        </w:rPr>
        <w:t xml:space="preserve">” shall have the meaning as set forth in the opening paragraph of </w:t>
      </w:r>
      <w:r>
        <w:rPr>
          <w:rFonts w:ascii="Times New Roman;Times;Serif" w:hAnsi="Times New Roman;Times;Serif"/>
          <w:b w:val="false"/>
          <w:i w:val="false"/>
          <w:caps w:val="false"/>
          <w:smallCaps w:val="false"/>
          <w:sz w:val="20"/>
          <w:u w:val="single"/>
        </w:rPr>
        <w:t>Article 2</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Financial Statements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Interim Financial Statements</w:t>
      </w:r>
      <w:r>
        <w:rPr>
          <w:rFonts w:ascii="Times New Roman;Times;Serif" w:hAnsi="Times New Roman;Times;Serif"/>
          <w:b w:val="false"/>
          <w:i w:val="false"/>
          <w:caps w:val="false"/>
          <w:smallCaps w:val="false"/>
          <w:sz w:val="20"/>
        </w:rPr>
        <w:t>” means the Company Q1 2026 Interim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Material Contract</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Ordinary Shares</w:t>
      </w:r>
      <w:r>
        <w:rPr>
          <w:rFonts w:ascii="Times New Roman;Times;Serif" w:hAnsi="Times New Roman;Times;Serif"/>
          <w:b w:val="false"/>
          <w:i w:val="false"/>
          <w:caps w:val="false"/>
          <w:smallCaps w:val="false"/>
          <w:sz w:val="20"/>
        </w:rPr>
        <w:t>” means the ordinary shares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Company-Owned IP</w:t>
      </w:r>
      <w:r>
        <w:rPr>
          <w:rFonts w:ascii="Times New Roman;Times;Serif" w:hAnsi="Times New Roman;Times;Serif"/>
          <w:b w:val="false"/>
          <w:i w:val="false"/>
          <w:caps w:val="false"/>
          <w:smallCaps w:val="false"/>
          <w:sz w:val="20"/>
        </w:rPr>
        <w:t>” means all Intellectual Property owned or purported to be owned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Q1 2026 Interim Financial Statements</w:t>
      </w:r>
      <w:r>
        <w:rPr>
          <w:rFonts w:ascii="Times New Roman;Times;Serif" w:hAnsi="Times New Roman;Times;Serif"/>
          <w:b w:val="false"/>
          <w:i w:val="false"/>
          <w:caps w:val="false"/>
          <w:smallCaps w:val="false"/>
          <w:sz w:val="20"/>
        </w:rPr>
        <w:t>” unaudited interim financial statements for the interim period completed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Required S-4 Information</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6.7(d)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Shareholder Written Consents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6.8(a).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w:t>
      </w:r>
      <w:r>
        <w:rPr>
          <w:rFonts w:ascii="Times New Roman;Times;Serif" w:hAnsi="Times New Roman;Times;Serif"/>
          <w:b w:val="false"/>
          <w:i w:val="false"/>
          <w:caps w:val="false"/>
          <w:smallCaps w:val="false"/>
          <w:sz w:val="20"/>
        </w:rPr>
        <w:t>” means any written or oral agreement, arrangement, commitment, contract, indenture, instrument, lease, obligation, plan, restriction, understanding or undertaking of any kind or character, or other document to which any Person is a party or by which such Person is bound or affecting such Person’s capital stock, Assets or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Copyrights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Data Protection Laws</w:t>
      </w:r>
      <w:r>
        <w:rPr>
          <w:rFonts w:ascii="Times New Roman;Times;Serif" w:hAnsi="Times New Roman;Times;Serif"/>
          <w:b w:val="false"/>
          <w:i w:val="false"/>
          <w:caps w:val="false"/>
          <w:smallCaps w:val="false"/>
          <w:sz w:val="20"/>
        </w:rPr>
        <w:t>” means all applicable Laws relating to data privacy, data protection, cybersecurity, and the collection, storage, use, disclosure, and transfer of Personal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means (i) any breach or violation of or default under any Contract, Order or Permit, (ii) any occurrence of any event that with the passage of time or the giving of notice or both would constitute a breach or violation of or default under any Contract, Order or Permit, or (iii) any occurrence of any event that with or without the passage of time or the giving of notice would give rise to a right to terminate or revoke, change the current terms of, or renegotiate, or to accelerate, increase, or impose any Liability under, any Contract, Order or Permit.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means the Delaware General Corporation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Delivery</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10.11</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mean any and all federal, state, local and foreign statutes, laws, judicial decisions, regulations, ordinances, rules, judgments, orders, decrees, codes, plans, injunctions, Permits, concessions, grants, franchises, licenses, agreements and governmental restrictions, relating to human health, the environment or to emissions, discharges or releases of pollutants, contaminants or other Hazardous Material or wastes into the environment, including without limitation ambient air, surface water, ground water or land, or otherwise relating to the manufacture, processing, distribution, use, treatment, storage, disposal, transport or handling of pollutants, contaminants or other Hazardous Material or wastes or the clean-up or other remediation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w:t>
      </w:r>
      <w:r>
        <w:rPr>
          <w:rFonts w:ascii="Times New Roman;Times;Serif" w:hAnsi="Times New Roman;Times;Serif"/>
          <w:b w:val="false"/>
          <w:i w:val="false"/>
          <w:caps w:val="false"/>
          <w:smallCaps w:val="false"/>
          <w:sz w:val="20"/>
        </w:rPr>
        <w:t>” shall have the meaning as set forth in the Recitals.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 Documents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Shares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1.1(b)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Final Date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Future Financing</w:t>
      </w:r>
      <w:r>
        <w:rPr>
          <w:rFonts w:ascii="Times New Roman;Times;Serif" w:hAnsi="Times New Roman;Times;Serif"/>
          <w:b w:val="false"/>
          <w:i w:val="false"/>
          <w:caps w:val="false"/>
          <w:smallCaps w:val="false"/>
          <w:sz w:val="20"/>
        </w:rPr>
        <w:t>” means a potential equity financing between the Closing Date and twenty four months thereafter, undertaken by Parent for up to $50,000,000, at a price range and for use of proceeds to be determined prior to filing the Form S-4.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Form S-4</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6.7(a)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U.S. generally accepted accounting principles in effect as of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Governing Documents</w:t>
      </w:r>
      <w:r>
        <w:rPr>
          <w:rFonts w:ascii="Times New Roman;Times;Serif" w:hAnsi="Times New Roman;Times;Serif"/>
          <w:b w:val="false"/>
          <w:i w:val="false"/>
          <w:caps w:val="false"/>
          <w:smallCaps w:val="false"/>
          <w:sz w:val="20"/>
        </w:rPr>
        <w:t>” means, with respect to any Person that is an entity, its certificate of incorporation or formation, bylaws, operating agreement, constitution, memorandum and articles of association or similar organizational documents, in each case,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Entity</w:t>
      </w:r>
      <w:r>
        <w:rPr>
          <w:rFonts w:ascii="Times New Roman;Times;Serif" w:hAnsi="Times New Roman;Times;Serif"/>
          <w:b w:val="false"/>
          <w:i w:val="false"/>
          <w:caps w:val="false"/>
          <w:smallCaps w:val="false"/>
          <w:sz w:val="20"/>
        </w:rPr>
        <w:t>” means any government or any agency, bureau, board, directorate, commission, court, department, official, political subdivision, tribunal, or other instrumentality of any government, whether federal, state or local, domestic or foreign.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w:t>
      </w:r>
      <w:r>
        <w:rPr>
          <w:rFonts w:ascii="Times New Roman;Times;Serif" w:hAnsi="Times New Roman;Times;Serif"/>
          <w:b w:val="false"/>
          <w:i w:val="false"/>
          <w:caps w:val="false"/>
          <w:smallCaps w:val="false"/>
          <w:sz w:val="20"/>
        </w:rPr>
        <w:t>” means any toxic, radioactive, corrosive or otherwise hazardous substance, including petroleum, its derivatives, by-products and other hydrocarbons, or any substance having any constituent elements displaying any of the foregoing characteristics, which in any event is regulated under any Environmental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w:t>
      </w:r>
      <w:r>
        <w:rPr>
          <w:rFonts w:ascii="Times New Roman;Times;Serif" w:hAnsi="Times New Roman;Times;Serif"/>
          <w:b w:val="false"/>
          <w:i w:val="false"/>
          <w:caps w:val="false"/>
          <w:smallCaps w:val="false"/>
          <w:sz w:val="20"/>
        </w:rPr>
        <w:t>” means the actual knowledge of the officers of a party, and knowledge that a reasonable person in such capacity should have after due inquiry.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w:t>
      </w:r>
      <w:r>
        <w:rPr>
          <w:rFonts w:ascii="Times New Roman;Times;Serif" w:hAnsi="Times New Roman;Times;Serif"/>
          <w:b w:val="false"/>
          <w:i w:val="false"/>
          <w:caps w:val="false"/>
          <w:smallCaps w:val="false"/>
          <w:sz w:val="20"/>
        </w:rPr>
        <w:t>” means any code, law, ordinance, regulation, reporting or licensing requirement, rule, or statute applicable to a Person or its Assets, liabilities or business, including those promulgated, interpreted or enforced by any Regulatory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with respect to any asset, any mortgage, lien, pledge, charge, security interest or encumbrance of any kind in respect to such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Malaysia Form of Transfer</w:t>
      </w:r>
      <w:r>
        <w:rPr>
          <w:rFonts w:ascii="Times New Roman;Times;Serif" w:hAnsi="Times New Roman;Times;Serif"/>
          <w:b w:val="false"/>
          <w:i w:val="false"/>
          <w:caps w:val="false"/>
          <w:smallCaps w:val="false"/>
          <w:sz w:val="20"/>
        </w:rPr>
        <w:t xml:space="preserve">” means a form for the transfer of securities pursuant to Form Section 105 of the Malaysian Companies Act, in substantially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Malaysian Companies Act</w:t>
      </w:r>
      <w:r>
        <w:rPr>
          <w:rFonts w:ascii="Times New Roman;Times;Serif" w:hAnsi="Times New Roman;Times;Serif"/>
          <w:b w:val="false"/>
          <w:i w:val="false"/>
          <w:caps w:val="false"/>
          <w:smallCaps w:val="false"/>
          <w:sz w:val="20"/>
        </w:rPr>
        <w:t>” means the Laws of Malaysia, Act 125, Companies Act 2016.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Marks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Materially</w:t>
      </w:r>
      <w:r>
        <w:rPr>
          <w:rFonts w:ascii="Times New Roman;Times;Serif" w:hAnsi="Times New Roman;Times;Serif"/>
          <w:b w:val="false"/>
          <w:i w:val="false"/>
          <w:caps w:val="false"/>
          <w:smallCaps w:val="false"/>
          <w:sz w:val="20"/>
        </w:rPr>
        <w:t>” for purposes of this Agreement shall be determined in light of the facts and circumstances of the matter in question; provided that any specific monetary amount stated in this Agreement shall determine materiality in that instance.</w:t>
      </w:r>
    </w:p>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with respect to any Person, a material adverse effect on the condition (financial or otherwise), business, Assets, liabilities or the results of operations of such Person and its Subsidiaries taken as a whole; provided, however, that any adverse change, event, development or effect arising from or relating to any of the following shall not be taken into account in determining whether there has been a Material Adverse Effect: (a) general business or economic conditions, (b) national or international political or social conditions, including the engagement by the United States or Malaysia in hostilities, whether or not pursuant to the declaration of a national emergency or war, or the occurrence of any military or terrorist attack upon the United States or Malaysia, respectively, or any of its territories, possessions, or diplomatic or consular offices or upon any military installation, equipment or personnel of the United States or Malaysia, respectively, (c) financial, banking, or securities markets (including any disruption thereof and any decline in the price of any security or any market index), (d) changes in GAAP, (e) changes in laws, rules, regulations, orders, or other binding directives issued by any Governmental Entity or (f) the taking of any action required by this Agreement and the other agreements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Contract Default</w:t>
      </w:r>
      <w:r>
        <w:rPr>
          <w:rFonts w:ascii="Times New Roman;Times;Serif" w:hAnsi="Times New Roman;Times;Serif"/>
          <w:b w:val="false"/>
          <w:i w:val="false"/>
          <w:caps w:val="false"/>
          <w:smallCaps w:val="false"/>
          <w:sz w:val="20"/>
        </w:rPr>
        <w:t>” means a default under any Contract which would (A) permit any other party to cancel or terminate the same (with or without notice of passage of time) or (B) provide a basis for any other party to claim money damages in excess of $100,000 (either individually or in the aggregate with all other such claims under that contract) or (C) give rise to a right of acceleration of any material obligation or loss of any material benefit under any such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Medical Waste</w:t>
      </w:r>
      <w:r>
        <w:rPr>
          <w:rFonts w:ascii="Times New Roman;Times;Serif" w:hAnsi="Times New Roman;Times;Serif"/>
          <w:b w:val="false"/>
          <w:i w:val="false"/>
          <w:caps w:val="false"/>
          <w:smallCaps w:val="false"/>
          <w:sz w:val="20"/>
        </w:rPr>
        <w:t>” shall have the meaning as set forth in Section 2.12(b)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Medical Waste Permits</w:t>
      </w:r>
      <w:r>
        <w:rPr>
          <w:rFonts w:ascii="Times New Roman;Times;Serif" w:hAnsi="Times New Roman;Times;Serif"/>
          <w:b w:val="false"/>
          <w:i w:val="false"/>
          <w:caps w:val="false"/>
          <w:smallCaps w:val="false"/>
          <w:sz w:val="20"/>
        </w:rPr>
        <w:t>” shall have the meaning as set forth in Section 2.12(b)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means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Nasdaq Reverse Split</w:t>
      </w:r>
      <w:r>
        <w:rPr>
          <w:rFonts w:ascii="Times New Roman;Times;Serif" w:hAnsi="Times New Roman;Times;Serif"/>
          <w:b w:val="false"/>
          <w:i w:val="false"/>
          <w:caps w:val="false"/>
          <w:smallCaps w:val="false"/>
          <w:sz w:val="20"/>
        </w:rPr>
        <w:t>” means a reverse stock split of all outstanding shares of Parent Common Stock effected by Parent for the purpose of maintaining compliance with Nasdaq listing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also known as the Office of Foreign Assets Control of the U.S. Treasury Department.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Order</w:t>
      </w:r>
      <w:r>
        <w:rPr>
          <w:rFonts w:ascii="Times New Roman;Times;Serif" w:hAnsi="Times New Roman;Times;Serif"/>
          <w:b w:val="false"/>
          <w:i w:val="false"/>
          <w:caps w:val="false"/>
          <w:smallCaps w:val="false"/>
          <w:sz w:val="20"/>
        </w:rPr>
        <w:t>” means any administrative decision or award, decree, injunction, judgment, order, quasi-judicial decision or award, ruling, or writ of any federal, state, local or foreign or other court, arbitrator, mediator, tribunal, administrative agency or Regulatory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shall have the meaning as set forth in the Preamble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Accounts Receivable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3.14</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Alternative Acquisition</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Balance Sheet Date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3.6(b)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Board Recommendation</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6.9(b)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Common Stock</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Disclosure Schedule</w:t>
      </w:r>
      <w:r>
        <w:rPr>
          <w:rFonts w:ascii="Times New Roman;Times;Serif" w:hAnsi="Times New Roman;Times;Serif"/>
          <w:b w:val="false"/>
          <w:i w:val="false"/>
          <w:caps w:val="false"/>
          <w:smallCaps w:val="false"/>
          <w:sz w:val="20"/>
        </w:rPr>
        <w:t>” shall mean the written disclosure schedule delivered prior to the execution of the Agreement by Parent to the Company that is arranged in paragraphs corresponding to the numbered and lettered paragraphs corresponding to the numbered and lettered paragraphs contained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Material Contract</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3.13</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Preferred Stock</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SEC Documents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3.6(a)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Stockholder Exchange Approval Matter</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6.9(a)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Stockholder Exchange Vote</w:t>
      </w:r>
      <w:r>
        <w:rPr>
          <w:rFonts w:ascii="Times New Roman;Times;Serif" w:hAnsi="Times New Roman;Times;Serif"/>
          <w:b w:val="false"/>
          <w:i w:val="false"/>
          <w:caps w:val="false"/>
          <w:smallCaps w:val="false"/>
          <w:sz w:val="20"/>
        </w:rPr>
        <w:t>” means the affirmative vote of a majority of (a) the shares of Parent Common Stock properly cast is the only vote of the holders of any class or series of Parent’s capital stock necessary to approve this Agreement and thereby approve the transactions contemplated under this Agreement, including the issuance of the Exchange Shares to the Selling Shareholders pursuant to the terms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Stockholder Matters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6.9(a)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Stockholder Meeting</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6.9(a)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Stockholder Vote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3.17</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means the Company, the Selling Shareholders and Parent.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Patents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w:t>
      </w:r>
      <w:r>
        <w:rPr>
          <w:rFonts w:ascii="Times New Roman;Times;Serif" w:hAnsi="Times New Roman;Times;Serif"/>
          <w:b w:val="false"/>
          <w:i w:val="false"/>
          <w:caps w:val="false"/>
          <w:smallCaps w:val="false"/>
          <w:sz w:val="20"/>
        </w:rPr>
        <w:t>” means any federal, state, local, and foreign governmental approval, authorization, certificate, consent, easement, filing, franchise, letter of good standing, license, notice, permit, qualification, registration or right of or from any Governmental Entity (or any extension, modification, amendment or waiver of any of these) to which any Person is a party or that is or may be binding upon or inure to the benefit of any Person or its securities, Assets or business, or any notice, statement, filing or other communication to be filed with or delivered to any Governmental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a corporation, a partnership, an association, a trust, a limited liability company or any other entity or organization, including a government or political subdivision or any agency or instrumentality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means any data relating to an identified or identifiable natural person that is protected under applicable Data Protection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means a statement relating to the Parent Stockholder Meeting to be held in connection with the Exchange (together with any amendments thereof or supplements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the Proxy Statement and the Form S-4, collectively.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Company Shareholder Vote</w:t>
      </w:r>
      <w:r>
        <w:rPr>
          <w:rFonts w:ascii="Times New Roman;Times;Serif" w:hAnsi="Times New Roman;Times;Serif"/>
          <w:b w:val="false"/>
          <w:i w:val="false"/>
          <w:caps w:val="false"/>
          <w:smallCaps w:val="false"/>
          <w:sz w:val="20"/>
        </w:rPr>
        <w:t>” means the affirmative unanimous vote (or written consent) of the Selling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 List</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2.22(c)</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1.1(a)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Software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 (i) any corporation, limited liability company, association or other business entity of which more than fifty percent (50%) of the total voting power of the capital shares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 and (ii) any partnership (a) the sole general partner or managing general partner of which is such Person or a Subsidiary of such Person or (b) the only general partners of which are such Person or of one or more Subsidiaries of such Person (or any combination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all United States federal, state, provincial, local or foreign taxes and any other applicable duties, levies, fees, charges and assessments that are in the nature of a tax, including income, gross receipts, property, sales, use, license, excise, franchise, ad valorem, value-added, transfer, severance, stamp, occupation, premium, windfall profits, environmental (including taxes under Section 59A of the Code), customs, capital stock, real property, personal property, alternative or add-on minimum, estimated, social security payments, and health taxes and any deductibles relating to wages, salaries and benefits and payments to subcontractors, together with all interest, penalties and additions imposed with respect to such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Return</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2.11(c)</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Technology</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 Secrets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any day on which the Nasdaq is open for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Consideration Shares</w:t>
      </w:r>
      <w:r>
        <w:rPr>
          <w:rFonts w:ascii="Times New Roman;Times;Serif" w:hAnsi="Times New Roman;Times;Serif"/>
          <w:b w:val="false"/>
          <w:i w:val="false"/>
          <w:caps w:val="false"/>
          <w:smallCaps w:val="false"/>
          <w:sz w:val="20"/>
        </w:rPr>
        <w:t xml:space="preserve">” means that number of shares of Parent Common Stock equal to the quotient of Aggregate Transaction Consideration Value divided </w:t>
      </w:r>
      <w:r>
        <w:rPr>
          <w:rFonts w:ascii="Times New Roman;Times;Serif" w:hAnsi="Times New Roman;Times;Serif"/>
          <w:b w:val="false"/>
          <w:i/>
          <w:caps w:val="false"/>
          <w:smallCaps w:val="false"/>
          <w:sz w:val="20"/>
        </w:rPr>
        <w:t>by</w:t>
      </w:r>
      <w:r>
        <w:rPr>
          <w:rFonts w:ascii="Times New Roman;Times;Serif" w:hAnsi="Times New Roman;Times;Serif"/>
          <w:b w:val="false"/>
          <w:i w:val="false"/>
          <w:caps w:val="false"/>
          <w:smallCaps w:val="false"/>
          <w:sz w:val="20"/>
        </w:rPr>
        <w:t xml:space="preserve"> (y) thirty (30) day VWAP immediately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the Agreement and any other document executed and delivered pursuant hereto, together with any exhibits or schedules to such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shall mean Equiniti Trust Company,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Taxes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Trading Day, the daily volume weighted average price of the Parent Common Stock for such Trading Day on Nasdaq (or, if the Parent Common Stock are not then listed on Nasdaq, on the principal national securities exchange on which the Parent Common Stock are then listed) as reported by Bloomberg L.P. (or, if Bloomberg L.P. is not then available, by such other reliable source as reasonably determined by Parent).</w:t>
      </w:r>
    </w:p>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A-6</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130" w:name="vb_022"/>
      <w:bookmarkEnd w:id="130"/>
      <w:r>
        <w:rPr>
          <w:rFonts w:ascii="Times New Roman;Times;Serif" w:hAnsi="Times New Roman;Times;Serif"/>
          <w:b/>
          <w:i w:val="false"/>
          <w:caps w:val="false"/>
          <w:smallCaps w:val="false"/>
          <w:sz w:val="20"/>
        </w:rPr>
        <w:t>Annex B</w:t>
      </w:r>
    </w:p>
    <w:p>
      <w:pPr>
        <w:pStyle w:val="TextBody"/>
        <w:bidi w:val="0"/>
        <w:jc w:val="right"/>
        <w:rPr>
          <w:caps w:val="false"/>
          <w:smallCaps w:val="false"/>
        </w:rPr>
      </w:pPr>
      <w:r>
        <w:rPr>
          <w:caps w:val="false"/>
          <w:smallCaps w:val="false"/>
        </w:rPr>
        <w:t> </w:t>
      </w:r>
    </w:p>
    <w:tbl>
      <w:tblPr>
        <w:tblW w:w="8195" w:type="dxa"/>
        <w:jc w:val="left"/>
        <w:tblInd w:w="0" w:type="dxa"/>
        <w:tblLayout w:type="fixed"/>
        <w:tblCellMar>
          <w:top w:w="0" w:type="dxa"/>
          <w:left w:w="0" w:type="dxa"/>
          <w:bottom w:w="0" w:type="dxa"/>
          <w:right w:w="0" w:type="dxa"/>
        </w:tblCellMar>
      </w:tblPr>
      <w:tblGrid>
        <w:gridCol w:w="2775"/>
        <w:gridCol w:w="60"/>
        <w:gridCol w:w="5360"/>
      </w:tblGrid>
      <w:tr>
        <w:trPr/>
        <w:tc>
          <w:tcPr>
            <w:tcW w:w="2775" w:type="dxa"/>
            <w:tcBorders/>
            <w:vAlign w:val="center"/>
          </w:tcPr>
          <w:p>
            <w:pPr>
              <w:pStyle w:val="TableContents"/>
              <w:bidi w:val="0"/>
              <w:spacing w:before="0" w:after="283"/>
              <w:jc w:val="left"/>
              <w:rPr/>
            </w:pPr>
            <w:r>
              <w:rPr/>
              <w:drawing>
                <wp:inline distT="0" distB="0" distL="0" distR="0">
                  <wp:extent cx="1714500" cy="15335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714500" cy="1533525"/>
                          </a:xfrm>
                          <a:prstGeom prst="rect">
                            <a:avLst/>
                          </a:prstGeom>
                        </pic:spPr>
                      </pic:pic>
                    </a:graphicData>
                  </a:graphic>
                </wp:inline>
              </w:drawing>
            </w: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5360" w:type="dxa"/>
            <w:tcBorders/>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Strategic Capital Advisory Sdn. Bhd.</w:t>
            </w:r>
          </w:p>
          <w:p>
            <w:pPr>
              <w:pStyle w:val="TableContents"/>
              <w:bidi w:val="0"/>
              <w:jc w:val="left"/>
              <w:rPr>
                <w:rFonts w:ascii="Times New Roman;Times;Serif" w:hAnsi="Times New Roman;Times;Serif"/>
                <w:sz w:val="20"/>
              </w:rPr>
            </w:pPr>
            <w:r>
              <w:rPr>
                <w:rFonts w:ascii="Times New Roman;Times;Serif" w:hAnsi="Times New Roman;Times;Serif"/>
                <w:sz w:val="20"/>
              </w:rPr>
              <w:t>(Registration No. 199901003253 (478153-U))</w:t>
            </w:r>
          </w:p>
          <w:p>
            <w:pPr>
              <w:pStyle w:val="TableContents"/>
              <w:bidi w:val="0"/>
              <w:jc w:val="left"/>
              <w:rPr>
                <w:rFonts w:ascii="Times New Roman;Times;Serif" w:hAnsi="Times New Roman;Times;Serif"/>
                <w:b/>
                <w:sz w:val="20"/>
              </w:rPr>
            </w:pPr>
            <w:r>
              <w:rPr>
                <w:rFonts w:ascii="Times New Roman;Times;Serif" w:hAnsi="Times New Roman;Times;Serif"/>
                <w:b/>
                <w:sz w:val="20"/>
              </w:rPr>
              <w:t>Investment Advisers – Corporate Finance (CMSL/A0124/2007)</w:t>
            </w:r>
          </w:p>
          <w:p>
            <w:pPr>
              <w:pStyle w:val="TableContents"/>
              <w:bidi w:val="0"/>
              <w:jc w:val="left"/>
              <w:rPr>
                <w:rFonts w:ascii="Times New Roman;Times;Serif" w:hAnsi="Times New Roman;Times;Serif"/>
                <w:b/>
                <w:sz w:val="20"/>
              </w:rPr>
            </w:pPr>
            <w:r>
              <w:rPr>
                <w:rFonts w:ascii="Times New Roman;Times;Serif" w:hAnsi="Times New Roman;Times;Serif"/>
                <w:b/>
                <w:sz w:val="20"/>
              </w:rPr>
              <w:t>(Licensed by Securities Commission)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 T05, Tower Block, Plaza Dwitasik,</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Jalan Tasik Permaisuri 1, Bandar Sri Permaisuri,</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56000 Kuala Lumpur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Tel : 603 9171 9600 Our Fax : 603 9173 7600</w:t>
            </w:r>
          </w:p>
          <w:p>
            <w:pPr>
              <w:pStyle w:val="TableContents"/>
              <w:bidi w:val="0"/>
              <w:spacing w:before="0" w:after="0"/>
              <w:ind w:left="0" w:right="0" w:hanging="0"/>
              <w:jc w:val="left"/>
              <w:rPr>
                <w:caps w:val="false"/>
                <w:smallCaps w:val="false"/>
              </w:rPr>
            </w:pPr>
            <w:r>
              <w:rPr>
                <w:caps w:val="false"/>
                <w:smallCaps w:val="false"/>
              </w:rPr>
              <w:drawing>
                <wp:inline distT="0" distB="0" distL="0" distR="0">
                  <wp:extent cx="190500" cy="1714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90500" cy="171450"/>
                          </a:xfrm>
                          <a:prstGeom prst="rect">
                            <a:avLst/>
                          </a:prstGeom>
                        </pic:spPr>
                      </pic:pic>
                    </a:graphicData>
                  </a:graphic>
                </wp:inline>
              </w:drawing>
            </w:r>
            <w:r>
              <w:rPr>
                <w:rFonts w:ascii="Times New Roman;Times;Serif" w:hAnsi="Times New Roman;Times;Serif"/>
                <w:b w:val="false"/>
                <w:i w:val="false"/>
                <w:caps w:val="false"/>
                <w:smallCaps w:val="false"/>
                <w:sz w:val="20"/>
              </w:rPr>
              <w:t>www.strategiccapital.my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May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10, Tower 11, Avenue 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8, Jalan Kerinchi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59200, Kuala Lumpur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Strictly Private &amp; Confidential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FAIRNESS OPINION IN RELATION TO THE PROPOSED ACQUISITION OF THE ENTIRE EQUITY INTEREST IN FUTURE NRG SDN BHD FOR A PURCHASE CONSIDERATION OF USD2.00 BILLION (“PROPOSED EVALUATION”)</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w:t>
      </w:r>
      <w:r>
        <w:rPr>
          <w:rFonts w:ascii="Times New Roman;Times;Serif" w:hAnsi="Times New Roman;Times;Serif"/>
          <w:b/>
          <w:i w:val="false"/>
          <w:caps w:val="false"/>
          <w:smallCaps w:val="false"/>
          <w:sz w:val="20"/>
        </w:rPr>
        <w:t>Letter</w:t>
      </w:r>
      <w:r>
        <w:rPr>
          <w:rFonts w:ascii="Times New Roman;Times;Serif" w:hAnsi="Times New Roman;Times;Serif"/>
          <w:b w:val="false"/>
          <w:i w:val="false"/>
          <w:caps w:val="false"/>
          <w:smallCaps w:val="false"/>
          <w:sz w:val="20"/>
        </w:rPr>
        <w:t>”) is prepared and to be included in the Form S-4 of the Securities and Exchange Commission in connection with the proposed acquisition of the entire equity interest in Future NRG Sdn Bhd (“</w:t>
      </w:r>
      <w:r>
        <w:rPr>
          <w:rFonts w:ascii="Times New Roman;Times;Serif" w:hAnsi="Times New Roman;Times;Serif"/>
          <w:b/>
          <w:i w:val="false"/>
          <w:caps w:val="false"/>
          <w:smallCaps w:val="false"/>
          <w:sz w:val="20"/>
        </w:rPr>
        <w:t>Target Co</w:t>
      </w:r>
      <w:r>
        <w:rPr>
          <w:rFonts w:ascii="Times New Roman;Times;Serif" w:hAnsi="Times New Roman;Times;Serif"/>
          <w:b w:val="false"/>
          <w:i w:val="false"/>
          <w:caps w:val="false"/>
          <w:smallCaps w:val="false"/>
          <w:sz w:val="20"/>
        </w:rPr>
        <w:t>”) for the purchase consideration of USD2.00 billion (“</w:t>
      </w:r>
      <w:r>
        <w:rPr>
          <w:rFonts w:ascii="Times New Roman;Times;Serif" w:hAnsi="Times New Roman;Times;Serif"/>
          <w:b/>
          <w:i w:val="false"/>
          <w:caps w:val="false"/>
          <w:smallCaps w:val="false"/>
          <w:sz w:val="20"/>
        </w:rPr>
        <w:t>Purchase Consideration</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Proposed Acquisition</w:t>
      </w:r>
      <w:r>
        <w:rPr>
          <w:rFonts w:ascii="Times New Roman;Times;Serif" w:hAnsi="Times New Roman;Times;Serif"/>
          <w:b w:val="false"/>
          <w:i w:val="false"/>
          <w:caps w:val="false"/>
          <w:smallCaps w:val="false"/>
          <w:sz w:val="20"/>
        </w:rPr>
        <w:t>”) for Bio Green Med Solution Inc’s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evaluation purposes.</w:t>
      </w:r>
    </w:p>
    <w:p>
      <w:pPr>
        <w:pStyle w:val="TextBody"/>
        <w:bidi w:val="0"/>
        <w:spacing w:before="0" w:after="0"/>
        <w:ind w:left="0" w:right="0" w:hanging="0"/>
        <w:jc w:val="left"/>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185"/>
        <w:gridCol w:w="156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5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Capital Advisory Sdn Bhd (“</w:t>
      </w:r>
      <w:r>
        <w:rPr>
          <w:rFonts w:ascii="Times New Roman;Times;Serif" w:hAnsi="Times New Roman;Times;Serif"/>
          <w:b/>
          <w:i w:val="false"/>
          <w:caps w:val="false"/>
          <w:smallCaps w:val="false"/>
          <w:sz w:val="20"/>
        </w:rPr>
        <w:t>SCA</w:t>
      </w:r>
      <w:r>
        <w:rPr>
          <w:rFonts w:ascii="Times New Roman;Times;Serif" w:hAnsi="Times New Roman;Times;Serif"/>
          <w:b w:val="false"/>
          <w:i w:val="false"/>
          <w:caps w:val="false"/>
          <w:smallCaps w:val="false"/>
          <w:sz w:val="20"/>
        </w:rPr>
        <w:t>”) has been appointed by the Board of Directors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the Company as an Expert to undertake the Proposed Evaluation. SCA confirms that SCA and its employees do not have any direct or indirect financial interests in the Company or its subsidiaries and is not in a position that may affect our objectivity in performing this engagement, therefore confirming our independence in relation to the Proposed Evaluation.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Letter is to set out the evaluation in relation to the Proposed Evaluation and is subject to the limitations of our role and evaluation as explained herein. Other than for this intended purpose, this Letter should not be used for any other purpose and/or by any other persons and/or reproduced, wholly or partially, without our express written consent. Should any information and/or section of our Letter is to be extracted, quoted and/or referenced in any document, the relevant paragraphs and/or sections of the said document shall be reviewed and consented in writing by us prior to the release of the said document to any party for any purposes.</w:t>
      </w:r>
    </w:p>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185"/>
        <w:gridCol w:w="474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47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BACKGROUD INFORMATION OF THE TARGET CO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Target Co was incorporated in Malaysia on 17 April 2008 as a private limited liability company. The Target Co is principally engaged in renewable energy development. The Target Co offers green solution of scheduled waste (SW 404 – pathogenic wastes, clinical wastes or quarantined material) treatment to private medical practitioners throughout Peninsular Malaysia. The Target Co currently owns and operates a medical waste plant named Sendayan Ozone Medical Waste Treatment Plant with the plant capacity of 10 metric tonnes per day, located at Sendayan Tech Valley, Negeri Sembilan, Malaysia (“</w:t>
      </w:r>
      <w:r>
        <w:rPr>
          <w:rFonts w:ascii="Times New Roman;Times;Serif" w:hAnsi="Times New Roman;Times;Serif"/>
          <w:b/>
          <w:i w:val="false"/>
          <w:caps w:val="false"/>
          <w:smallCaps w:val="false"/>
          <w:sz w:val="20"/>
        </w:rPr>
        <w:t>Plant</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Plant is a specialized facility designed to disinfect and treat biomedical waste using ozone gas (O₃) before final disposal. Medical waste such as used syringes, gloves, bandages, laboratory materials, and other infectious items is first collected and often shredded to increase surface area. The shredded waste is then placed inside a sealed treatment chamber where ozone gas is introduced. Ozone, being a powerful oxidizing agent, destroys harmful microorganisms including bacteria, viruses, fungi, and spores by breaking down their cell walls and genetic material. After treatment, the waste becomes non-infectious and safer for disposal, recycling, or energy recovery. Unlike incineration, ozone treatment operates at lower temperatures, produces minimal emissions, and leaves no toxic residues because ozone naturally decomposes into oxygen. This makes it an environmentally friendly and efficient method for managing medical waste in hospitals, laboratories, clinics, and healthcare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Co had recently undertaken a corporate restructuring exercise, not limited to the disposal of its subsidiary, namely Solid Orient Holdings Sdn Bhd, with the aim to streamline its business and focus on the renewable energy development business. After the completion of the restructuring exercises, the Target Co intends to replicate the currently business model regionally and has identify Thailand, Vietnam and Philippines as these countries are known to have larger population and higher potential when it comes to medical waste management. Other than diversifying its business geographically, the Target Co is of the view that having such facilities in the region can effectively disinfects infectious medical waste by destroying bacteria, viruses, fungi, and spores, thereby reducing the risk of disease transmission and protecting public health. Unlike incineration, ozone treatment operates at lower temperatures and produces minimal air pollutants, making it a more environmentally friendly option. Because ozone naturally breaks down into oxygen after use, it leaves no toxic residues behind.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installing an on-site ozone treatment plant helps hospitals and clinics reduce waste transportation costs and minimize the risks associated with moving hazardous materials. It improves operational efficiency by allowing immediate treatment of waste and can lower long-term disposal expenses. The system also helps healthcare facilities comply with environmental and waste management regulations while promoting sustainable practices. Overall, such a plant enhances safety, reduces environmental impact, and supports responsible medical waste management.</w:t>
      </w:r>
    </w:p>
    <w:p>
      <w:pPr>
        <w:pStyle w:val="TextBody"/>
        <w:bidi w:val="0"/>
        <w:spacing w:before="0" w:after="0"/>
        <w:ind w:left="0" w:right="0" w:hanging="0"/>
        <w:jc w:val="left"/>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185"/>
        <w:gridCol w:w="228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22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 REFERENCE</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basis of our opinion is the fair market value which is defined as the arms’ length price at which such asset would change hands between a willing buyer and a willing seller, neither being under any compulsion to buy or to sell, in an open and unrestricted market and both having reasonable knowledge of relevant facts. The concept of market value means the cash equivalent price of an asset being valued assuming the transaction took place under conditions existing at the date of valuation of the assets. The amount would not be considered market value if it was influenced by special motivations or characteristic of a typical buyer or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Sources of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sources of information which we have used in our evaluation are as follows:</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9"/>
        <w:gridCol w:w="9828"/>
      </w:tblGrid>
      <w:tr>
        <w:trPr/>
        <w:tc>
          <w:tcPr>
            <w:tcW w:w="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Co’s draft audited financial statements for the financial year ended 31 December (“</w:t>
            </w:r>
            <w:r>
              <w:rPr>
                <w:rFonts w:ascii="Times New Roman;Times;Serif" w:hAnsi="Times New Roman;Times;Serif"/>
                <w:b/>
                <w:i w:val="false"/>
                <w:caps w:val="false"/>
                <w:smallCaps w:val="false"/>
                <w:sz w:val="20"/>
              </w:rPr>
              <w:t>FYE</w:t>
            </w:r>
            <w:r>
              <w:rPr>
                <w:rFonts w:ascii="Times New Roman;Times;Serif" w:hAnsi="Times New Roman;Times;Serif"/>
                <w:b w:val="false"/>
                <w:i w:val="false"/>
                <w:caps w:val="false"/>
                <w:smallCaps w:val="false"/>
                <w:sz w:val="20"/>
              </w:rPr>
              <w:t>”) 2024 and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Co’s management accounts for the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Quarter financial period ended 31 March 2026 (“</w:t>
            </w:r>
            <w:r>
              <w:rPr>
                <w:rFonts w:ascii="Times New Roman;Times;Serif" w:hAnsi="Times New Roman;Times;Serif"/>
                <w:b/>
                <w:i w:val="false"/>
                <w:caps w:val="false"/>
                <w:smallCaps w:val="false"/>
                <w:sz w:val="20"/>
              </w:rPr>
              <w:t>3M-FPE 2026</w:t>
            </w:r>
            <w:r>
              <w:rPr>
                <w:rFonts w:ascii="Times New Roman;Times;Serif" w:hAnsi="Times New Roman;Times;Serif"/>
                <w:b w:val="false"/>
                <w:i w:val="false"/>
                <w:caps w:val="false"/>
                <w:smallCaps w:val="false"/>
                <w:sz w:val="20"/>
              </w:rPr>
              <w:t>”);</w:t>
            </w:r>
          </w:p>
        </w:tc>
      </w:tr>
      <w:tr>
        <w:trPr/>
        <w:tc>
          <w:tcPr>
            <w:tcW w:w="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forecast and projection of the Target Co from the FYEs 31 December 2026 to 31 December 2029 (“</w:t>
            </w:r>
            <w:r>
              <w:rPr>
                <w:rFonts w:ascii="Times New Roman;Times;Serif" w:hAnsi="Times New Roman;Times;Serif"/>
                <w:b/>
                <w:i w:val="false"/>
                <w:caps w:val="false"/>
                <w:smallCaps w:val="false"/>
                <w:sz w:val="20"/>
              </w:rPr>
              <w:t>Future Financials</w:t>
            </w:r>
            <w:r>
              <w:rPr>
                <w:rFonts w:ascii="Times New Roman;Times;Serif" w:hAnsi="Times New Roman;Times;Serif"/>
                <w:b w:val="false"/>
                <w:i w:val="false"/>
                <w:caps w:val="false"/>
                <w:smallCaps w:val="false"/>
                <w:sz w:val="20"/>
              </w:rPr>
              <w:t>”) prepared by the management of the Target Co (“</w:t>
            </w:r>
            <w:r>
              <w:rPr>
                <w:rFonts w:ascii="Times New Roman;Times;Serif" w:hAnsi="Times New Roman;Times;Serif"/>
                <w:b/>
                <w:i w:val="false"/>
                <w:caps w:val="false"/>
                <w:smallCaps w:val="false"/>
                <w:sz w:val="20"/>
              </w:rPr>
              <w:t>Management</w:t>
            </w:r>
            <w:r>
              <w:rPr>
                <w:rFonts w:ascii="Times New Roman;Times;Serif" w:hAnsi="Times New Roman;Times;Serif"/>
                <w:b w:val="false"/>
                <w:i w:val="false"/>
                <w:caps w:val="false"/>
                <w:smallCaps w:val="false"/>
                <w:sz w:val="20"/>
              </w:rPr>
              <w:t>”);</w:t>
            </w:r>
          </w:p>
        </w:tc>
      </w:tr>
      <w:tr>
        <w:trPr/>
        <w:tc>
          <w:tcPr>
            <w:tcW w:w="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Metro Manila Solid Waste Management Report dated September 2003 (“</w:t>
            </w:r>
            <w:r>
              <w:rPr>
                <w:rFonts w:ascii="Times New Roman;Times;Serif" w:hAnsi="Times New Roman;Times;Serif"/>
                <w:b/>
                <w:i w:val="false"/>
                <w:caps w:val="false"/>
                <w:smallCaps w:val="false"/>
                <w:sz w:val="20"/>
              </w:rPr>
              <w:t>Manila Report</w:t>
            </w:r>
            <w:r>
              <w:rPr>
                <w:rFonts w:ascii="Times New Roman;Times;Serif" w:hAnsi="Times New Roman;Times;Serif"/>
                <w:b w:val="false"/>
                <w:i w:val="false"/>
                <w:caps w:val="false"/>
                <w:smallCaps w:val="false"/>
                <w:sz w:val="20"/>
              </w:rPr>
              <w:t>”);</w:t>
            </w:r>
          </w:p>
        </w:tc>
      </w:tr>
      <w:tr>
        <w:trPr/>
        <w:tc>
          <w:tcPr>
            <w:tcW w:w="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8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Waste Management in Thailand and Vietnam dated 2024, prepared from Lappeenrantha- Lahti University of Technology (“</w:t>
            </w:r>
            <w:r>
              <w:rPr>
                <w:rFonts w:ascii="Times New Roman;Times;Serif" w:hAnsi="Times New Roman;Times;Serif"/>
                <w:b/>
                <w:i w:val="false"/>
                <w:caps w:val="false"/>
                <w:smallCaps w:val="false"/>
                <w:sz w:val="20"/>
              </w:rPr>
              <w:t>LUT Report</w:t>
            </w:r>
            <w:r>
              <w:rPr>
                <w:rFonts w:ascii="Times New Roman;Times;Serif" w:hAnsi="Times New Roman;Times;Serif"/>
                <w:b w:val="false"/>
                <w:i w:val="false"/>
                <w:caps w:val="false"/>
                <w:smallCaps w:val="false"/>
                <w:sz w:val="20"/>
              </w:rPr>
              <w:t>”);</w:t>
            </w:r>
          </w:p>
        </w:tc>
      </w:tr>
      <w:tr>
        <w:trPr/>
        <w:tc>
          <w:tcPr>
            <w:tcW w:w="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8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 and explanation by the Management;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8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publicly available information in respect of the industry that the Target Co is involved in.</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B-2</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right"/>
        <w:rPr/>
      </w:pPr>
      <w:r>
        <w:rPr/>
        <w:drawing>
          <wp:inline distT="0" distB="0" distL="0" distR="0">
            <wp:extent cx="952500" cy="15906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52500" cy="159067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assumed and relied upon, without independent verification, the validity, accuracy and completeness of information that was publicly available or supplied or otherwise made available to us by the Management, which such information formed a substantial basis of our opinion and we express no opinion on such documents, financials and/or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relied on the Management to exercise due care to ensure that all information and documents as mentioned above and that all relevant facts, information and representations necessary for our evaluation have been disclosed to us, that such information is accurate, valid and there is no omission of material facts, which would make any information provided to us incomplete, misleading or inaccurate and undertake to inform us of any material changes in the subject matters which may have an impact on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this Letter is based upon, amongst others, the economic, industry and other conditions prevailing as at the Date of Opinion, as well as publicly available information and information provided to us by the Management. Such conditions may change significantly over a relatively short period of time. It should also be highlighted that the valuation may be materially or adversely affected should the actual results or events differ from any of the bases and assumptions upon which the relevant reports were based.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our opinion is 15 May 2026 (herein also referred to as the “</w:t>
      </w:r>
      <w:r>
        <w:rPr>
          <w:rFonts w:ascii="Times New Roman;Times;Serif" w:hAnsi="Times New Roman;Times;Serif"/>
          <w:b/>
          <w:i w:val="false"/>
          <w:caps w:val="false"/>
          <w:smallCaps w:val="false"/>
          <w:sz w:val="20"/>
        </w:rPr>
        <w:t>Date of Opinion</w:t>
      </w:r>
      <w:r>
        <w:rPr>
          <w:rFonts w:ascii="Times New Roman;Times;Serif" w:hAnsi="Times New Roman;Times;Serif"/>
          <w:b w:val="false"/>
          <w:i w:val="false"/>
          <w:caps w:val="false"/>
          <w:smallCaps w:val="false"/>
          <w:sz w:val="20"/>
        </w:rPr>
        <w:t xml:space="preserve">”).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Scope and Limitation of Review</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 was not involved in the formulation or any deliberation and negotiation on the terms and conditions of any corporate exercise intended to be undertaken by the Company. Our role as the Expert does not extend to us expressing an opinion on the commercial merits of any corporate exercise intended to be undertaken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assessment of the commercial merits is solely the responsibility of the Board, although we may draw upon their views in arriving at our opinion. As such, where comments or points of consideration are included on matters, which may be commercially oriented, these are incidental to our overall valuation and concern matters, which we may deem material for disclosure. Further, our terms of reference do not include us rendering an expert opinion on legal, accounting and taxation issues relating to the Proposed Evaluation.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work includes holding discussions with and making enquiries from the Management regarding representations made on the Proposed Evaluation. We rely on the Management’s oral and written representations as well as third party sources as explained in the relevant sections of this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regards to the Future Financials furnished to us by the Management, we have assumed that they have been reasonably prepared on bases reflecting the best currently available estimates and judgement by the Management on the future financial performance of the Target Co and of which the Management are solely responsible for the bases and assumptions and the preparation and presentation of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we make no representations as to the accuracy or completeness of the information provided and in no event shall we, our partners, principals, directors, shareholders, agents or employees are liable for any misrepresentations by the Management.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undertaken an independent investigation into the business of the Target Co. Our procedures and inquiries do not include any verification work that constitutes an audit on the information that we have relied upon in preparing this Letter. Furthermore, the Future Financials have not been audited or reviewed by a firm of accountants.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have not undertaken a review on the reasonableness of the Future Financials and we do not express any opinion on the achievability of the Future Financials. Our work involves the determination of the discount rate to be used and undertaking a sensitivity analysis based on the information provided by the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representation or warranty, whether expressed or implied, is given by SCA that the information and documents provided will remain unaltered after the issuance of this Letter. As such, we assume no responsibility to update and revise our Letter in light of any subsequent development after the date of this Letter that may affect our evaluation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Management has, individually and collectively, accepted full responsibility for all material facts, financial and other information essential to our evaluation have been disclosed to us and are as set out in this Letter, and for the accuracy of the information in respect of the Proposed Evaluation (save for those in relation to our evaluation and opinion pertaining to the same) as prepared herein and confirmed that after making all reasonable enquires and to the best of their knowledge and belief, there are no other facts omitted which would make any statement herein incomplete, false and/or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remainder of this page has been intentionally left blank]</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B-3</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right"/>
        <w:rPr/>
      </w:pPr>
      <w:r>
        <w:rPr/>
        <w:drawing>
          <wp:inline distT="0" distB="0" distL="0" distR="0">
            <wp:extent cx="952500" cy="15906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52500" cy="1590675"/>
                    </a:xfrm>
                    <a:prstGeom prst="rect">
                      <a:avLst/>
                    </a:prstGeom>
                  </pic:spPr>
                </pic:pic>
              </a:graphicData>
            </a:graphic>
          </wp:inline>
        </w:drawing>
      </w:r>
    </w:p>
    <w:p>
      <w:pPr>
        <w:pStyle w:val="TextBody"/>
        <w:bidi w:val="0"/>
        <w:spacing w:before="0" w:after="283"/>
        <w:jc w:val="left"/>
        <w:rPr/>
      </w:pPr>
      <w:r>
        <w:rPr/>
        <w:t> </w:t>
      </w:r>
    </w:p>
    <w:tbl>
      <w:tblPr>
        <w:tblW w:w="5905" w:type="dxa"/>
        <w:jc w:val="left"/>
        <w:tblInd w:w="0" w:type="dxa"/>
        <w:tblLayout w:type="fixed"/>
        <w:tblCellMar>
          <w:top w:w="0" w:type="dxa"/>
          <w:left w:w="0" w:type="dxa"/>
          <w:bottom w:w="0" w:type="dxa"/>
          <w:right w:w="0" w:type="dxa"/>
        </w:tblCellMar>
      </w:tblPr>
      <w:tblGrid>
        <w:gridCol w:w="185"/>
        <w:gridCol w:w="572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57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AND PROSPECTS OF THE MALAYSIAN ECONOMY</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Malaysia’s economy is expected to grow between 4% and 4.5% in 2026, supported by strong domestic demand, a healthy job market and government reforms.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global trade tensions and United States of America (“US”) tariffs may impact exports, especially in the electrical and electronics (“E&amp;E”) sector, the domestic economy remains resilient. Key policies and events like Visit Malaysia 2026 and the 2025 Asean chairmanship are also expected to boost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Nonetheless, the full impact of US tariffs could be felt in 2026, especially if semiconductor tariff exemptions are removed. However, proactive measures, including new industrial strategies and market diversification, will help soften the blow and maintain Malaysia’s competitiveness.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(Source: Ministry of Finance’s (MOF) Economic Outlook 2026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developments in the Malaysian economy as extracted from quarterly bulletin for the first quarter of 2026 (“</w:t>
      </w:r>
      <w:r>
        <w:rPr>
          <w:rFonts w:ascii="Times New Roman;Times;Serif" w:hAnsi="Times New Roman;Times;Serif"/>
          <w:b/>
          <w:i w:val="false"/>
          <w:caps w:val="false"/>
          <w:smallCaps w:val="false"/>
          <w:sz w:val="20"/>
        </w:rPr>
        <w:t>1Q2026</w:t>
      </w:r>
      <w:r>
        <w:rPr>
          <w:rFonts w:ascii="Times New Roman;Times;Serif" w:hAnsi="Times New Roman;Times;Serif"/>
          <w:b w:val="false"/>
          <w:i w:val="false"/>
          <w:caps w:val="false"/>
          <w:smallCaps w:val="false"/>
          <w:sz w:val="20"/>
        </w:rPr>
        <w:t>”) published by Bank Negara Malaysia (“</w:t>
      </w:r>
      <w:r>
        <w:rPr>
          <w:rFonts w:ascii="Times New Roman;Times;Serif" w:hAnsi="Times New Roman;Times;Serif"/>
          <w:b/>
          <w:i w:val="false"/>
          <w:caps w:val="false"/>
          <w:smallCaps w:val="false"/>
          <w:sz w:val="20"/>
        </w:rPr>
        <w:t>BNM</w:t>
      </w:r>
      <w:r>
        <w:rPr>
          <w:rFonts w:ascii="Times New Roman;Times;Serif" w:hAnsi="Times New Roman;Times;Serif"/>
          <w:b w:val="false"/>
          <w:i w:val="false"/>
          <w:caps w:val="false"/>
          <w:smallCaps w:val="false"/>
          <w:sz w:val="20"/>
        </w:rPr>
        <w:t>”)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 economy expanded by 5.4% in the 1Q2026, driven by domestic demand. The factors supporting the growth in the 1Q2026 includes:</w:t>
            </w:r>
          </w:p>
        </w:tc>
      </w:tr>
    </w:tbl>
    <w:p>
      <w:pPr>
        <w:pStyle w:val="TextBody"/>
        <w:bidi w:val="0"/>
        <w:spacing w:before="0" w:after="283"/>
        <w:jc w:val="left"/>
        <w:rPr/>
      </w:pPr>
      <w:r>
        <w:rPr/>
        <w:t> </w:t>
      </w:r>
    </w:p>
    <w:tbl>
      <w:tblPr>
        <w:tblW w:w="10068" w:type="dxa"/>
        <w:jc w:val="left"/>
        <w:tblInd w:w="0" w:type="dxa"/>
        <w:tblLayout w:type="fixed"/>
        <w:tblCellMar>
          <w:top w:w="0" w:type="dxa"/>
          <w:left w:w="0" w:type="dxa"/>
          <w:bottom w:w="0" w:type="dxa"/>
          <w:right w:w="0" w:type="dxa"/>
        </w:tblCellMar>
      </w:tblPr>
      <w:tblGrid>
        <w:gridCol w:w="38"/>
        <w:gridCol w:w="170"/>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Sustained household spending;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Steady investment activities;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export growth (supported by Electrical &amp; Electronic, travel and Information Communication and Technology.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growth was underpinned by continued implementation of multi-year projects by both the private and public sectors, a high realisation rate of approved investments, and the ongoing rollout of national master plans. Meanwhile, gross import growth moderated amid slower growth in capital, intermediate and consumer goods imports.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8"/>
        <w:gridCol w:w="9899"/>
      </w:tblGrid>
      <w:tr>
        <w:trPr/>
        <w:tc>
          <w:tcPr>
            <w:tcW w:w="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Headline inflation increased to 1.6% (4Q 2025: 1.3%) while core inflation moderated to 2.1% (4Q 2025: 2.3%). The higher headline inflation reflected some initial cost pass-through of higher global cost pressures, partly due to the conflict in the Middle East. Electricity charges and fuel prices, mainly RON97 and diesel, increased during the quarter, which led to slower declines in electricity and fuel inflation. These increases were partly offset by lower core inflation, mainly reflecting softer inflation in food away from home and rental inflation. Inflation pervasiveness, measured by the share of Consumer Price Index items registering monthly price increases, continued to decline to 38.3% in 1Q 2026 (4Q 2025: 39.6%), trending well below the historical first-quarter average of 52.2%.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first quarter of 2026, the ringgit strengthened against currencies of Malaysia’s major trading partners, as reflected in the 1.4% nominal effective exchange rate appreciation. Looking ahead, while external factors will continue to drive exchange rate movements, Malaysia’s firm economic prospects and sustained reform momentum are expected to provide enduring support to the ringgit.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Headline inflation is projected to average 1.5%–2.5% in 2026. Following the Middle East conflict, inflation is expected to edge higher due to elevated global energy and other key commodity prices, broadly in line with expectations. In the absence of excessive demand pressures, existing policy measures, including targeted fuel subsidies and other mitigation measures, are expected to help limit near-term spillovers to broader inflation. However, the extent and pace of pass-through to domestic prices from the ongoing conflict will also depend on firms’ pricing behaviour and demand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(Source: BNM Quarterly Bulletin 1Q2026)</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Malaysia Waste Management Market Overview</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 waste management market size is expected to increase during the forecast period due to rapid industrialization with the expansion of industries. Rapid population growth has increased the amount of waste generated due to landfills in Malaysia. As per the National Solid Waste Department, the country report 165 landfills and 8 sanitary landfills. Malaysia government is adopting various strategies to implement zero waste and to reduce dependency on landfills by using advanced technology and to avoid food wastage.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 accounted for 31% recycling rate which is lower than other Southeast Asia countries such as Korea, Thailand, Singapore and Taiwan. Malaysia management produces 30,000 tonnes of municipal solid waste, which is a significant problem for the country. The Government planned to achieve recycling rate to 40% by 2025 due to increased focus on environmental management. Malaysia is also providing incentives to waste management companies in Malaysia in order to reduce commercial waste generation from manufacturing activities such as toxic waste, non-toxic waste and chemical waste.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factors driving the growth of Malaysia waste management industry includes increasing industrialization and urbanization, rapid population growth. Increasing environmental degradation with the rapid expansion in economic development is predicted to boost the waste management industry in Malaysia. In addition, increasing awareness regarding the benefits of waste management and investment on advanced technologies for waste management will further drive the market growth. Rising focus on reduction of food wastage by adopting adequate storage strategies. Malaysia government is investing and taking initiative to create more opportunities for the companies in waste management market in Malaysia.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Growing demand for ecofriendly and cost-effective waste management solutions is boosting the market demand. Rising government effort for efficient waste disposal systems and to improve the waste management infrastructure. Moreover, increasing environmental concerns about the waste generation along with the high demand for sustainable waste management practices is likely to propel the market growth. However, high cost for implementing waste management solutions will hinder the waste management industry in Malaysia.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(Source: https://www.gmiresearch.com/report/malaysia-waste-management-market/)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Thailand Waste Management Market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Thailand Waste Management Market size was valued at USD 18.28 billion in 2023, and is predicted to reach USD 34.83 billion by 2030, at a compounded annual growth rate (“</w:t>
      </w:r>
      <w:r>
        <w:rPr>
          <w:rFonts w:ascii="Times New Roman;Times;Serif" w:hAnsi="Times New Roman;Times;Serif"/>
          <w:b/>
          <w:i w:val="false"/>
          <w:caps w:val="false"/>
          <w:smallCaps w:val="false"/>
          <w:sz w:val="20"/>
        </w:rPr>
        <w:t>CAGR</w:t>
      </w:r>
      <w:r>
        <w:rPr>
          <w:rFonts w:ascii="Times New Roman;Times;Serif" w:hAnsi="Times New Roman;Times;Serif"/>
          <w:b w:val="false"/>
          <w:i w:val="false"/>
          <w:caps w:val="false"/>
          <w:smallCaps w:val="false"/>
          <w:sz w:val="20"/>
        </w:rPr>
        <w:t>”) of 8.60% from 2024 to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Thailand waste management market involves a wide range of services and activities aimed at managing and mitigating the impact of waste generated by various sectors including residential, commercial, industrial, and healthcare. It includes the collection, transportation, processing, recycling, and disposal of waste materials in a manner that is environmentally responsible and sustainable. The market also involves the development and implementation of technologies and practices that promote waste reduction, resource recovery, and the safe handling of hazardous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components of the waste recycling market include waste collection services, recycling facilities, waste-to-energy plants, landfill operations, and environmental consulting services. As awareness of environmental issues grows, the waste recycling market continues to expand, driven by growing population, technological advancements, and increasing public demand for sustainable waste solutions.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(Source: https://www.nextmsc.com/report/thailand-waste-management-market)</w:t>
      </w:r>
    </w:p>
    <w:p>
      <w:pPr>
        <w:pStyle w:val="TextBody"/>
        <w:bidi w:val="0"/>
        <w:spacing w:before="0" w:after="0"/>
        <w:ind w:left="36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Vietnam Waste Management Market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Vietnam Waste Management Market size in 2026 is estimated at USD2.36 billion, growing from 2025 value of USD2.21 billion with 2031 projections showing USD3.26 billion, growing at 6.71% CAGR over 2026-2031. Accelerating urbanization, tighter environmental laws, and a national circular-economy roadmap continue to reshape demand, while extended-producer-responsibility rules nudge manufacturers toward formal recycling channels.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Public-health campaigns and digital route-optimization tools are raising source-separation rates in Ho Chi Minh City and Hanoi, creating new volumes for advanced treatment. Rising foreign direct investment is bringing waste-to-energy, polyester-to-polyester recycling, and high-purity composting technologies to provincial markets. At the same time, project developers must work around land-acquisition hurdles, rural collection gaps, and constrained provincial budgets, all of which slow down infrastructure roll-outs.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2030 circular-economy action plan, Vietnam aims for 95% urban and 80% rural waste collection, while cutting landfill use below 50%. The strategy also links biomass and municipal waste to renewable-energy targets, giving waste-to-energy developers a government-endorsed revenue story. Agriculture generates 93.61 million tons of waste annually, yet just 52% is reused; regulations now call for a 25% jump in organic-fertilizer output by 2025 and a 30% organic share of all registered fertilizers by 2030. These targets integrate rural income growth with emissions goals, opening farmland markets for biochar and compost initiatives. As collection targets rise, the Vietnam waste management market gains visibility on feedstock volumes, improving bankability for regional treatment hubs.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Industrial, medical, and construction waste together account for 44.88% of Vietnam waste management share in 2025, yet each niche opens specialized revenue streams. Hazardous-waste contractors earn certification premiums to handle solvents and sludge, while hospitals in Bac Giang must conform to Decision 33/2025/QD-UBND’s strict segregation rules. Rubber producers have begun converting wastewater sludge into organic fertilizer, signaling agricultural up-cycling potential. With policy pressure mounting, these sub-segments will scale, but residential tonnage will continue to anchor fleet utilization across the Vietnam waste management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Source: https://www.marketresearch.com/Mordor-Intelligence-LLP-v4018/Vietnam-Waste-Management-Share-Trends-43839000/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Philippine Waste Management Market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waste generation in the Philippines is on the rise, the United Nations Industrial Development Organization (“</w:t>
      </w:r>
      <w:r>
        <w:rPr>
          <w:rFonts w:ascii="Times New Roman;Times;Serif" w:hAnsi="Times New Roman;Times;Serif"/>
          <w:b/>
          <w:i w:val="false"/>
          <w:caps w:val="false"/>
          <w:smallCaps w:val="false"/>
          <w:sz w:val="20"/>
        </w:rPr>
        <w:t>UNIDO</w:t>
      </w:r>
      <w:r>
        <w:rPr>
          <w:rFonts w:ascii="Times New Roman;Times;Serif" w:hAnsi="Times New Roman;Times;Serif"/>
          <w:b w:val="false"/>
          <w:i w:val="false"/>
          <w:caps w:val="false"/>
          <w:smallCaps w:val="false"/>
          <w:sz w:val="20"/>
        </w:rPr>
        <w:t>”) has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analyses have revealed alarming trends in healthcare waste (“</w:t>
      </w:r>
      <w:r>
        <w:rPr>
          <w:rFonts w:ascii="Times New Roman;Times;Serif" w:hAnsi="Times New Roman;Times;Serif"/>
          <w:b/>
          <w:i w:val="false"/>
          <w:caps w:val="false"/>
          <w:smallCaps w:val="false"/>
          <w:sz w:val="20"/>
        </w:rPr>
        <w:t>HCW</w:t>
      </w:r>
      <w:r>
        <w:rPr>
          <w:rFonts w:ascii="Times New Roman;Times;Serif" w:hAnsi="Times New Roman;Times;Serif"/>
          <w:b w:val="false"/>
          <w:i w:val="false"/>
          <w:caps w:val="false"/>
          <w:smallCaps w:val="false"/>
          <w:sz w:val="20"/>
        </w:rPr>
        <w:t>”) generation, with hazardous healthcare waste increasing by 20.19% in the last five (5) years, with a generation rate ranging between 1.13 kg per bed per day and 1.31 kg per bed per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from 2023 collected from partner hospitals further underscores the scale of this issue. The Eastern Visayas Medical Center reported 217.775 tonnes of pathologic or infectious waste and 191.345 tonnoes of general waste. At the Quirino Memorial Medical Center, hazardous waste totaled 496,505 kg, while general waste amounted to 324,994.79 kg. The Cagayan Valley Medical Center reported 292,807 kg of general waste, along with hazardous materials, including 26,118 kg of sharps waste, 54 kg of pharmaceutical waste, and 2,603 kg of pathological waste.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HCW Project will focus on several interventions, including conducting a policy gap analysis with corresponding recommendations, hiring technical experts to identify environmentally sound technologies and strategies on management, and raising awareness while building stakeholder capacity.</w:t>
      </w:r>
    </w:p>
    <w:p>
      <w:pPr>
        <w:pStyle w:val="TextBody"/>
        <w:bidi w:val="0"/>
        <w:spacing w:before="0" w:after="0"/>
        <w:ind w:left="36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critical aspect of the HCW project is reducing unintentional persistent organic pollutants (uPOPs), such as dioxins and furans, commonly released while burning chlorinated waste materials. Sources of chlorine include chlorine-based disinfectants and PVC (polyvinyl chloride) plastics.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HCW project will also address the stockpiles of toxic mercury waste in hospitals by ensuring its proper storage and disposal. Mercury-containing products such as thermometers, sphygmomanometers, dental amalgam capsules, liquid mercury for dental restorative purposes, and fluorescent lamps have been banned in healthcare facilities since 2022 following the issuance of FDA Circular No. 2022-003. While healthcare facilities have generally shifted to mercury-free products, stockpiles of mercury waste have yet to be properly disposed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initiatives will also focus on improving waste inventory systems and assessing the technologies and capacities of the treatment, storage and disposal facilities to identify opportunities for technology transfer and green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successful implementation of this plan over the next five years is crucial for achieving sustainable healthcare waste management interventions, and will have long-term benefits for the health of our communities and the environment.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(Source: https://businessmirror.com.ph/2025/02/16/phl-healthcare-waste-generation-on-the-rise/)</w:t>
      </w:r>
    </w:p>
    <w:p>
      <w:pPr>
        <w:pStyle w:val="TextBody"/>
        <w:bidi w:val="0"/>
        <w:spacing w:before="0" w:after="0"/>
        <w:ind w:left="360" w:right="0" w:hanging="0"/>
        <w:jc w:val="both"/>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185"/>
        <w:gridCol w:w="285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28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VALUATION METHODOLOGY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establishing our opinion on the fairness of the Purchase Consideration, SCA has considered various methodologies, which are commonly used for valuation, taking into consideration the Target Co’s business sustainability, subsequent income generating capabilities as well as associated risks affecting its business. Amongst the vast variety of valuation methodologies, SCA has considered and selected the Discounted Free Cash Flow to Firm (“</w:t>
      </w:r>
      <w:r>
        <w:rPr>
          <w:rFonts w:ascii="Times New Roman;Times;Serif" w:hAnsi="Times New Roman;Times;Serif"/>
          <w:b/>
          <w:i w:val="false"/>
          <w:caps w:val="false"/>
          <w:smallCaps w:val="false"/>
          <w:sz w:val="20"/>
        </w:rPr>
        <w:t>FCFF</w:t>
      </w:r>
      <w:r>
        <w:rPr>
          <w:rFonts w:ascii="Times New Roman;Times;Serif" w:hAnsi="Times New Roman;Times;Serif"/>
          <w:b w:val="false"/>
          <w:i w:val="false"/>
          <w:caps w:val="false"/>
          <w:smallCaps w:val="false"/>
          <w:sz w:val="20"/>
        </w:rPr>
        <w:t>”) to form an opinion on the fairness of the Purchase Consideration as the underlying value of Target Co is likely to be derived from its future business operation.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to the above, SCA has also considered other valuation methodologies and found that the following methodologies are not suitable in forming an opinion on the fairness of the Purchase Consideration based on the following factors:</w:t>
      </w:r>
    </w:p>
    <w:p>
      <w:pPr>
        <w:pStyle w:val="TextBody"/>
        <w:bidi w:val="0"/>
        <w:spacing w:before="0" w:after="0"/>
        <w:ind w:left="0" w:right="0" w:hanging="0"/>
        <w:jc w:val="left"/>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170"/>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Relative Valuation Analysis (“</w:t>
            </w:r>
            <w:r>
              <w:rPr>
                <w:rFonts w:ascii="Times New Roman;Times;Serif" w:hAnsi="Times New Roman;Times;Serif"/>
                <w:b/>
                <w:i w:val="false"/>
                <w:caps w:val="false"/>
                <w:smallCaps w:val="false"/>
                <w:sz w:val="20"/>
              </w:rPr>
              <w:t>RVA</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RVA method seeks to compare a company’s implied trading multiple to that of comparable companies to determine the firm’s financial worth. Based on the Target Co’s draft audited financial statements for the FYE 2025, the Target Co registered net loss from continuing operations of USD67,140. Hence, we opine that the RVA method is not appropriate to be used in this Proposed Evaluation.</w:t>
      </w:r>
    </w:p>
    <w:p>
      <w:pPr>
        <w:pStyle w:val="TextBody"/>
        <w:bidi w:val="0"/>
        <w:spacing w:before="0" w:after="0"/>
        <w:ind w:left="0" w:right="0" w:hanging="0"/>
        <w:jc w:val="left"/>
        <w:rPr>
          <w:caps w:val="false"/>
          <w:smallCaps w:val="false"/>
        </w:rPr>
      </w:pPr>
      <w:r>
        <w:rPr>
          <w:caps w:val="false"/>
          <w:smallCaps w:val="false"/>
        </w:rPr>
        <w:t> </w:t>
      </w:r>
    </w:p>
    <w:tbl>
      <w:tblPr>
        <w:tblW w:w="3573" w:type="dxa"/>
        <w:jc w:val="left"/>
        <w:tblInd w:w="0" w:type="dxa"/>
        <w:tblLayout w:type="fixed"/>
        <w:tblCellMar>
          <w:top w:w="0" w:type="dxa"/>
          <w:left w:w="0" w:type="dxa"/>
          <w:bottom w:w="0" w:type="dxa"/>
          <w:right w:w="0" w:type="dxa"/>
        </w:tblCellMar>
      </w:tblPr>
      <w:tblGrid>
        <w:gridCol w:w="38"/>
        <w:gridCol w:w="170"/>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Revalued Net Asset Valuation (“</w:t>
            </w:r>
            <w:r>
              <w:rPr>
                <w:rFonts w:ascii="Times New Roman;Times;Serif" w:hAnsi="Times New Roman;Times;Serif"/>
                <w:b/>
                <w:i w:val="false"/>
                <w:caps w:val="false"/>
                <w:smallCaps w:val="false"/>
                <w:sz w:val="20"/>
              </w:rPr>
              <w:t>RNAV</w:t>
            </w: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RNAV method seeks to adjust the net asset value of a company to take into consideration the valuation of assets of a company to determine the adjusted value of the firm’s financial value. Based on the Target Co’s draft audited financial statements as at 31 December 2025, the Target Co’s property, plant and equipment attributed to approximately 88.5% of its total assets, excluding the assets of discontinued operation held for sale. Further, majority of the property, plant and equipment comprise the Plant. Hence, RNAV may not accurately reflect the potential and market value of the Target Co.</w:t>
      </w:r>
    </w:p>
    <w:p>
      <w:pPr>
        <w:pStyle w:val="TextBody"/>
        <w:bidi w:val="0"/>
        <w:spacing w:before="0" w:after="0"/>
        <w:ind w:left="36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Discounted FCFF Methodology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Discounted FCFF Methodology is a commonly used investment appraisal technique to evaluate the attractiveness of an investment opportunity which takes into consideration, amongst others, the time value of money as well as future cash flows to be derived from the business over a specific period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Discounted FCFF Methodology is a valuation method which considers both the time value of money and the projected net cash flow generated discounted at a specified discount rate to derive at the valuation of the subject matter. It is based on discounted cash flows, involving the application of an appropriately selected discount rate applied on the projected future cash flows to be earned by the capital contributors of a company, i.e. equity shareholders and debt capital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Discounted FCFF methodology entails the discounting of future cash flows to be generated from the business at a specified discount rate to arrive at the fair value of the investment, the risk involved in generating such cash flows will also be taken into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FCFF is the free cash flows available to be paid to the capital contributors of the company after all expenses and reinvestment cost. The formula used to derive the enterprise value is as follows:</w:t>
      </w:r>
    </w:p>
    <w:p>
      <w:pPr>
        <w:pStyle w:val="TextBody"/>
        <w:bidi w:val="0"/>
        <w:spacing w:before="0" w:after="0"/>
        <w:ind w:left="0" w:right="0" w:hanging="0"/>
        <w:jc w:val="left"/>
        <w:rPr>
          <w:caps w:val="false"/>
          <w:smallCaps w:val="false"/>
        </w:rPr>
      </w:pPr>
      <w:r>
        <w:rPr>
          <w:caps w:val="false"/>
          <w:smallCaps w:val="false"/>
        </w:rPr>
        <w:t> </w:t>
      </w:r>
    </w:p>
    <w:tbl>
      <w:tblPr>
        <w:tblW w:w="8284" w:type="dxa"/>
        <w:jc w:val="left"/>
        <w:tblInd w:w="0" w:type="dxa"/>
        <w:tblLayout w:type="fixed"/>
        <w:tblCellMar>
          <w:top w:w="0" w:type="dxa"/>
          <w:left w:w="0" w:type="dxa"/>
          <w:bottom w:w="0" w:type="dxa"/>
          <w:right w:w="0" w:type="dxa"/>
        </w:tblCellMar>
      </w:tblPr>
      <w:tblGrid>
        <w:gridCol w:w="1535"/>
        <w:gridCol w:w="1052"/>
        <w:gridCol w:w="1932"/>
        <w:gridCol w:w="413"/>
        <w:gridCol w:w="1932"/>
        <w:gridCol w:w="155"/>
        <w:gridCol w:w="1265"/>
      </w:tblGrid>
      <w:tr>
        <w:trPr/>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Enterprise value </w:t>
            </w:r>
            <w:r>
              <w:rPr>
                <w:rFonts w:ascii="Times New Roman;Times;Serif" w:hAnsi="Times New Roman;Times;Serif"/>
                <w:b w:val="false"/>
                <w:i w:val="false"/>
                <w:caps w:val="false"/>
                <w:smallCaps w:val="false"/>
                <w:sz w:val="20"/>
              </w:rPr>
              <w:t>=</w:t>
            </w:r>
          </w:p>
        </w:tc>
        <w:tc>
          <w:tcPr>
            <w:tcW w:w="5329" w:type="dxa"/>
            <w:gridSpan w:val="4"/>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Present value of Projected FCFF based on the Future Financials</w:t>
            </w:r>
          </w:p>
        </w:tc>
        <w:tc>
          <w:tcPr>
            <w:tcW w:w="15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126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Terminal value</w:t>
            </w:r>
          </w:p>
        </w:tc>
      </w:tr>
      <w:tr>
        <w:trPr/>
        <w:tc>
          <w:tcPr>
            <w:tcW w:w="1535" w:type="dxa"/>
            <w:tcBorders/>
            <w:vAlign w:val="center"/>
          </w:tcPr>
          <w:p>
            <w:pPr>
              <w:pStyle w:val="TableContents"/>
              <w:bidi w:val="0"/>
              <w:spacing w:before="0" w:after="283"/>
              <w:jc w:val="left"/>
              <w:rPr>
                <w:caps w:val="false"/>
                <w:smallCaps w:val="false"/>
              </w:rPr>
            </w:pPr>
            <w:r>
              <w:rPr>
                <w:caps w:val="false"/>
                <w:smallCaps w:val="false"/>
              </w:rPr>
              <w:t> </w:t>
            </w:r>
          </w:p>
        </w:tc>
        <w:tc>
          <w:tcPr>
            <w:tcW w:w="5329" w:type="dxa"/>
            <w:gridSpan w:val="4"/>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center"/>
              <w:rPr>
                <w:caps w:val="false"/>
                <w:smallCaps w:val="false"/>
              </w:rPr>
            </w:pPr>
            <w:r>
              <w:rPr>
                <w:caps w:val="false"/>
                <w:smallCaps w:val="false"/>
              </w:rPr>
              <w:t> </w:t>
            </w:r>
          </w:p>
        </w:tc>
        <w:tc>
          <w:tcPr>
            <w:tcW w:w="12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35" w:type="dxa"/>
            <w:tcBorders/>
            <w:vAlign w:val="center"/>
          </w:tcPr>
          <w:p>
            <w:pPr>
              <w:pStyle w:val="TableContents"/>
              <w:bidi w:val="0"/>
              <w:spacing w:before="0" w:after="283"/>
              <w:jc w:val="center"/>
              <w:rPr>
                <w:caps w:val="false"/>
                <w:smallCaps w:val="false"/>
              </w:rPr>
            </w:pPr>
            <w:r>
              <w:rPr>
                <w:caps w:val="false"/>
                <w:smallCaps w:val="false"/>
              </w:rPr>
              <w:t> </w:t>
            </w:r>
          </w:p>
        </w:tc>
        <w:tc>
          <w:tcPr>
            <w:tcW w:w="1052" w:type="dxa"/>
            <w:vMerge w:val="restart"/>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Vo </w:t>
            </w:r>
            <w:r>
              <w:rPr>
                <w:rFonts w:ascii="Times New Roman;Times;Serif" w:hAnsi="Times New Roman;Times;Serif"/>
                <w:b w:val="false"/>
                <w:i w:val="false"/>
                <w:caps w:val="false"/>
                <w:smallCaps w:val="false"/>
                <w:sz w:val="20"/>
              </w:rPr>
              <w:t>=</w:t>
            </w:r>
          </w:p>
        </w:tc>
        <w:tc>
          <w:tcPr>
            <w:tcW w:w="193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FCFF </w:t>
            </w:r>
            <w:r>
              <w:rPr>
                <w:rFonts w:ascii="Times New Roman;Times;Serif" w:hAnsi="Times New Roman;Times;Serif"/>
                <w:b w:val="false"/>
                <w:i/>
                <w:caps w:val="false"/>
                <w:smallCaps w:val="false"/>
                <w:position w:val="-2"/>
                <w:sz w:val="16"/>
                <w:sz w:val="20"/>
              </w:rPr>
              <w:t>1</w:t>
            </w:r>
          </w:p>
        </w:tc>
        <w:tc>
          <w:tcPr>
            <w:tcW w:w="413" w:type="dxa"/>
            <w:vMerge w:val="restart"/>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193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FCFF </w:t>
            </w:r>
            <w:r>
              <w:rPr>
                <w:rFonts w:ascii="Times New Roman;Times;Serif" w:hAnsi="Times New Roman;Times;Serif"/>
                <w:b w:val="false"/>
                <w:i/>
                <w:caps w:val="false"/>
                <w:smallCaps w:val="false"/>
                <w:position w:val="-2"/>
                <w:sz w:val="16"/>
                <w:sz w:val="20"/>
              </w:rPr>
              <w:t>n</w:t>
            </w:r>
          </w:p>
        </w:tc>
        <w:tc>
          <w:tcPr>
            <w:tcW w:w="155" w:type="dxa"/>
            <w:vMerge w:val="restart"/>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FCFF </w:t>
            </w:r>
            <w:r>
              <w:rPr>
                <w:rFonts w:ascii="Times New Roman;Times;Serif" w:hAnsi="Times New Roman;Times;Serif"/>
                <w:b w:val="false"/>
                <w:i/>
                <w:caps w:val="false"/>
                <w:smallCaps w:val="false"/>
                <w:position w:val="-2"/>
                <w:sz w:val="16"/>
                <w:sz w:val="20"/>
              </w:rPr>
              <w:t>TV</w:t>
            </w:r>
            <w:r>
              <w:rPr>
                <w:rFonts w:ascii="Times New Roman;Times;Serif" w:hAnsi="Times New Roman;Times;Serif"/>
                <w:b w:val="false"/>
                <w:i/>
                <w:caps w:val="false"/>
                <w:smallCaps w:val="false"/>
                <w:sz w:val="20"/>
              </w:rPr>
              <w:t xml:space="preserve"> </w:t>
            </w:r>
          </w:p>
        </w:tc>
      </w:tr>
      <w:tr>
        <w:trPr/>
        <w:tc>
          <w:tcPr>
            <w:tcW w:w="1535" w:type="dxa"/>
            <w:tcBorders/>
            <w:vAlign w:val="center"/>
          </w:tcPr>
          <w:p>
            <w:pPr>
              <w:pStyle w:val="TableContents"/>
              <w:bidi w:val="0"/>
              <w:spacing w:before="0" w:after="283"/>
              <w:jc w:val="left"/>
              <w:rPr>
                <w:caps w:val="false"/>
                <w:smallCaps w:val="false"/>
              </w:rPr>
            </w:pPr>
            <w:r>
              <w:rPr>
                <w:caps w:val="false"/>
                <w:smallCaps w:val="false"/>
              </w:rPr>
              <w:t> </w:t>
            </w:r>
          </w:p>
        </w:tc>
        <w:tc>
          <w:tcPr>
            <w:tcW w:w="1052" w:type="dxa"/>
            <w:vMerge w:val="continue"/>
            <w:tcBorders/>
            <w:vAlign w:val="center"/>
          </w:tcPr>
          <w:p>
            <w:pPr>
              <w:pStyle w:val="Normal"/>
              <w:bidi w:val="0"/>
              <w:jc w:val="left"/>
              <w:rPr/>
            </w:pPr>
            <w:r>
              <w:rPr/>
            </w:r>
          </w:p>
        </w:tc>
        <w:tc>
          <w:tcPr>
            <w:tcW w:w="1932"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(1+DR)</w:t>
            </w:r>
            <w:r>
              <w:rPr>
                <w:rFonts w:ascii="Times New Roman;Times;Serif" w:hAnsi="Times New Roman;Times;Serif"/>
                <w:b w:val="false"/>
                <w:i/>
                <w:caps w:val="false"/>
                <w:smallCaps w:val="false"/>
                <w:position w:val="7"/>
                <w:sz w:val="16"/>
                <w:sz w:val="20"/>
              </w:rPr>
              <w:t>1</w:t>
            </w:r>
          </w:p>
        </w:tc>
        <w:tc>
          <w:tcPr>
            <w:tcW w:w="413" w:type="dxa"/>
            <w:vMerge w:val="continue"/>
            <w:tcBorders/>
            <w:vAlign w:val="center"/>
          </w:tcPr>
          <w:p>
            <w:pPr>
              <w:pStyle w:val="Normal"/>
              <w:bidi w:val="0"/>
              <w:jc w:val="left"/>
              <w:rPr/>
            </w:pPr>
            <w:r>
              <w:rPr/>
            </w:r>
          </w:p>
        </w:tc>
        <w:tc>
          <w:tcPr>
            <w:tcW w:w="1932"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(1+DR)</w:t>
            </w:r>
            <w:r>
              <w:rPr>
                <w:rFonts w:ascii="Times New Roman;Times;Serif" w:hAnsi="Times New Roman;Times;Serif"/>
                <w:b w:val="false"/>
                <w:i/>
                <w:caps w:val="false"/>
                <w:smallCaps w:val="false"/>
                <w:position w:val="7"/>
                <w:sz w:val="16"/>
                <w:sz w:val="20"/>
              </w:rPr>
              <w:t>n</w:t>
            </w:r>
          </w:p>
        </w:tc>
        <w:tc>
          <w:tcPr>
            <w:tcW w:w="155" w:type="dxa"/>
            <w:vMerge w:val="continue"/>
            <w:tcBorders/>
            <w:vAlign w:val="center"/>
          </w:tcPr>
          <w:p>
            <w:pPr>
              <w:pStyle w:val="Normal"/>
              <w:bidi w:val="0"/>
              <w:jc w:val="left"/>
              <w:rPr/>
            </w:pPr>
            <w:r>
              <w:rPr/>
            </w:r>
          </w:p>
        </w:tc>
        <w:tc>
          <w:tcPr>
            <w:tcW w:w="126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(DR-g)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Where:</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w:t>
      </w:r>
      <w:r>
        <w:rPr>
          <w:rFonts w:ascii="Times New Roman;Times;Serif" w:hAnsi="Times New Roman;Times;Serif"/>
          <w:b w:val="false"/>
          <w:i/>
          <w:caps w:val="false"/>
          <w:smallCaps w:val="false"/>
          <w:position w:val="-2"/>
          <w:sz w:val="16"/>
          <w:sz w:val="20"/>
        </w:rPr>
        <w:t>o</w:t>
      </w:r>
      <w:r>
        <w:rPr>
          <w:rFonts w:ascii="Times New Roman;Times;Serif" w:hAnsi="Times New Roman;Times;Serif"/>
          <w:b w:val="false"/>
          <w:i/>
          <w:caps w:val="false"/>
          <w:smallCaps w:val="false"/>
          <w:sz w:val="20"/>
        </w:rPr>
        <w:t xml:space="preserve"> = Value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FCFF</w:t>
      </w:r>
      <w:r>
        <w:rPr>
          <w:rFonts w:ascii="Times New Roman;Times;Serif" w:hAnsi="Times New Roman;Times;Serif"/>
          <w:b w:val="false"/>
          <w:i/>
          <w:caps w:val="false"/>
          <w:smallCaps w:val="false"/>
          <w:position w:val="-2"/>
          <w:sz w:val="16"/>
          <w:sz w:val="20"/>
        </w:rPr>
        <w:t>1</w:t>
      </w:r>
      <w:r>
        <w:rPr>
          <w:rFonts w:ascii="Times New Roman;Times;Serif" w:hAnsi="Times New Roman;Times;Serif"/>
          <w:b w:val="false"/>
          <w:i/>
          <w:caps w:val="false"/>
          <w:smallCaps w:val="false"/>
          <w:sz w:val="20"/>
        </w:rPr>
        <w:t xml:space="preserve"> = Expected FCFF in year 1</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FCFF</w:t>
      </w:r>
      <w:r>
        <w:rPr>
          <w:rFonts w:ascii="Times New Roman;Times;Serif" w:hAnsi="Times New Roman;Times;Serif"/>
          <w:b w:val="false"/>
          <w:i/>
          <w:caps w:val="false"/>
          <w:smallCaps w:val="false"/>
          <w:position w:val="-2"/>
          <w:sz w:val="16"/>
          <w:sz w:val="20"/>
        </w:rPr>
        <w:t>TV</w:t>
      </w:r>
      <w:r>
        <w:rPr>
          <w:rFonts w:ascii="Times New Roman;Times;Serif" w:hAnsi="Times New Roman;Times;Serif"/>
          <w:b w:val="false"/>
          <w:i/>
          <w:caps w:val="false"/>
          <w:smallCaps w:val="false"/>
          <w:sz w:val="20"/>
        </w:rPr>
        <w:t xml:space="preserve"> = Terminal year FCFF</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DR = Discount rate derived using the weighted average cost of capital (“</w:t>
      </w:r>
      <w:r>
        <w:rPr>
          <w:rFonts w:ascii="Times New Roman;Times;Serif" w:hAnsi="Times New Roman;Times;Serif"/>
          <w:b/>
          <w:i/>
          <w:caps w:val="false"/>
          <w:smallCaps w:val="false"/>
          <w:sz w:val="20"/>
        </w:rPr>
        <w:t>WACC</w:t>
      </w:r>
      <w:r>
        <w:rPr>
          <w:rFonts w:ascii="Times New Roman;Times;Serif" w:hAnsi="Times New Roman;Times;Serif"/>
          <w:b w:val="false"/>
          <w:i/>
          <w:caps w:val="false"/>
          <w:smallCaps w:val="false"/>
          <w:sz w:val="20"/>
        </w:rPr>
        <w:t>”)</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 = represent time, in years into the future</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 = terminal year growth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projected FCFF as determined annually based on the Future Financials shall be discounted using the WACC. The WACC formula is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WACC = [Cost of Equity X Equity / Capital] + [Cost of Debt X Debt / Capital X (1 – Corporate Tax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equity takes into account a combination of risk factors associated with the industry in which the Target Co are involved in, namely, the systematic risk, i.e. the inherent market risk such as the interest rate fluctuation, and the capital structure, i.e. the financing risk. These risks are translated into the cost of equity which is built upon the Capital Asset Pricing Model (“</w:t>
      </w:r>
      <w:r>
        <w:rPr>
          <w:rFonts w:ascii="Times New Roman;Times;Serif" w:hAnsi="Times New Roman;Times;Serif"/>
          <w:b/>
          <w:i w:val="false"/>
          <w:caps w:val="false"/>
          <w:smallCaps w:val="false"/>
          <w:sz w:val="20"/>
        </w:rPr>
        <w:t>CAPM</w:t>
      </w:r>
      <w:r>
        <w:rPr>
          <w:rFonts w:ascii="Times New Roman;Times;Serif" w:hAnsi="Times New Roman;Times;Serif"/>
          <w:b w:val="false"/>
          <w:i w:val="false"/>
          <w:caps w:val="false"/>
          <w:smallCaps w:val="false"/>
          <w:sz w:val="20"/>
        </w:rPr>
        <w:t>”). The cost of equity formula is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equity = Risk-Free Rate + [Re-geared Beta X (Market Return – Risk-Free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 Discounted FCFF methodology, reference was made to valuation of public listed companies on the stock exchanges in Asia which are principally engaged in the general waste management and related services and with the market capitalisation of more than RM1.00 billion. Based on the above criteria, three (3) comparable companies listed on the Shenzhen Stock Exchange (“</w:t>
      </w:r>
      <w:r>
        <w:rPr>
          <w:rFonts w:ascii="Times New Roman;Times;Serif" w:hAnsi="Times New Roman;Times;Serif"/>
          <w:b/>
          <w:i w:val="false"/>
          <w:caps w:val="false"/>
          <w:smallCaps w:val="false"/>
          <w:sz w:val="20"/>
        </w:rPr>
        <w:t>SZSE</w:t>
      </w:r>
      <w:r>
        <w:rPr>
          <w:rFonts w:ascii="Times New Roman;Times;Serif" w:hAnsi="Times New Roman;Times;Serif"/>
          <w:b w:val="false"/>
          <w:i w:val="false"/>
          <w:caps w:val="false"/>
          <w:smallCaps w:val="false"/>
          <w:sz w:val="20"/>
        </w:rPr>
        <w:t>”), two (2) comparable companies listed on the Shanghai Stock Exchange (“</w:t>
      </w:r>
      <w:r>
        <w:rPr>
          <w:rFonts w:ascii="Times New Roman;Times;Serif" w:hAnsi="Times New Roman;Times;Serif"/>
          <w:b/>
          <w:i w:val="false"/>
          <w:caps w:val="false"/>
          <w:smallCaps w:val="false"/>
          <w:sz w:val="20"/>
        </w:rPr>
        <w:t>SHSE</w:t>
      </w:r>
      <w:r>
        <w:rPr>
          <w:rFonts w:ascii="Times New Roman;Times;Serif" w:hAnsi="Times New Roman;Times;Serif"/>
          <w:b w:val="false"/>
          <w:i w:val="false"/>
          <w:caps w:val="false"/>
          <w:smallCaps w:val="false"/>
          <w:sz w:val="20"/>
        </w:rPr>
        <w:t>”) and one (1) each of the comparable company listed on the Australia Stock Exchange (“</w:t>
      </w:r>
      <w:r>
        <w:rPr>
          <w:rFonts w:ascii="Times New Roman;Times;Serif" w:hAnsi="Times New Roman;Times;Serif"/>
          <w:b/>
          <w:i w:val="false"/>
          <w:caps w:val="false"/>
          <w:smallCaps w:val="false"/>
          <w:sz w:val="20"/>
        </w:rPr>
        <w:t>ASX</w:t>
      </w:r>
      <w:r>
        <w:rPr>
          <w:rFonts w:ascii="Times New Roman;Times;Serif" w:hAnsi="Times New Roman;Times;Serif"/>
          <w:b w:val="false"/>
          <w:i w:val="false"/>
          <w:caps w:val="false"/>
          <w:smallCaps w:val="false"/>
          <w:sz w:val="20"/>
        </w:rPr>
        <w:t>”) and the Tokyo Stock Exchange (“</w:t>
      </w:r>
      <w:r>
        <w:rPr>
          <w:rFonts w:ascii="Times New Roman;Times;Serif" w:hAnsi="Times New Roman;Times;Serif"/>
          <w:b/>
          <w:i w:val="false"/>
          <w:caps w:val="false"/>
          <w:smallCaps w:val="false"/>
          <w:sz w:val="20"/>
        </w:rPr>
        <w:t>TSE</w:t>
      </w:r>
      <w:r>
        <w:rPr>
          <w:rFonts w:ascii="Times New Roman;Times;Serif" w:hAnsi="Times New Roman;Times;Serif"/>
          <w:b w:val="false"/>
          <w:i w:val="false"/>
          <w:caps w:val="false"/>
          <w:smallCaps w:val="false"/>
          <w:sz w:val="20"/>
        </w:rPr>
        <w:t>”) were selected on the basis that the risks and structure of the industry of which Target Co is operating in are similar (“</w:t>
      </w:r>
      <w:r>
        <w:rPr>
          <w:rFonts w:ascii="Times New Roman;Times;Serif" w:hAnsi="Times New Roman;Times;Serif"/>
          <w:b/>
          <w:i w:val="false"/>
          <w:caps w:val="false"/>
          <w:smallCaps w:val="false"/>
          <w:sz w:val="20"/>
        </w:rPr>
        <w:t>Comparable Companies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arriving at the appropriate discount rate for the Target Co, we have applied the prevailing risk-free rate and market risk premium, as well as adopted the betas of available Comparable Companies with relevant adjustments made taking into consideration the gearing and the risk profile as well as other risk factors that may affect the Target Co.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information obtained was sourced from S&amp;P Capital IQ as at the Date of Opinion unless stated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determining the fairness of the Purchase Consideration, the Comparable Companies’ beta is adjusted (de-geared) for its gearing ratio, and then re-geared based on the median net gearing level of the Comparable Companies.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important to note that the Comparable Companies tabulated herein are by no means exhaustive and may differ from the Target Co in terms of, inter alia, composition of business activities, scale of operations, geographical location of operations, profit track record, financial profile, risk profile, future prospects, capital structure, marketability of their securities and other criteria. One should also note that any comparisons made with respect to the Comparable Companies are merely to provide an indication to the implied valuation of the Target Co and the selection of Comparable Companies and adjustments made are highly subjective and judgmental and the selected companies may not be entirely comparable due to various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details of the Comparable Companies and the input parameters for CAPM at the Date of Opinion are set out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17"/>
        <w:gridCol w:w="60"/>
        <w:gridCol w:w="860"/>
        <w:gridCol w:w="60"/>
        <w:gridCol w:w="7908"/>
      </w:tblGrid>
      <w:tr>
        <w:trPr/>
        <w:tc>
          <w:tcPr>
            <w:tcW w:w="1317"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Comparable Companies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w:t>
            </w:r>
          </w:p>
        </w:tc>
        <w:tc>
          <w:tcPr>
            <w:tcW w:w="60" w:type="dxa"/>
            <w:tcBorders/>
            <w:tcMar>
              <w:bottom w:w="0" w:type="dxa"/>
            </w:tcMar>
            <w:vAlign w:val="center"/>
          </w:tcPr>
          <w:p>
            <w:pPr>
              <w:pStyle w:val="TableContents"/>
              <w:bidi w:val="0"/>
              <w:spacing w:before="0" w:after="283"/>
              <w:jc w:val="left"/>
              <w:rPr/>
            </w:pPr>
            <w:r>
              <w:rPr/>
              <w:t> </w:t>
            </w:r>
          </w:p>
        </w:tc>
        <w:tc>
          <w:tcPr>
            <w:tcW w:w="7908"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activities</w:t>
            </w:r>
          </w:p>
        </w:tc>
      </w:tr>
      <w:tr>
        <w:trPr/>
        <w:tc>
          <w:tcPr>
            <w:tcW w:w="1317"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Sciences Ecorizon Tech Co, Ltd.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Ecorizon</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SZSE</w:t>
            </w:r>
          </w:p>
        </w:tc>
        <w:tc>
          <w:tcPr>
            <w:tcW w:w="60" w:type="dxa"/>
            <w:tcBorders/>
            <w:tcMar>
              <w:bottom w:w="0" w:type="dxa"/>
            </w:tcMar>
            <w:vAlign w:val="center"/>
          </w:tcPr>
          <w:p>
            <w:pPr>
              <w:pStyle w:val="TableContents"/>
              <w:bidi w:val="0"/>
              <w:spacing w:before="0" w:after="283"/>
              <w:jc w:val="left"/>
              <w:rPr/>
            </w:pPr>
            <w:r>
              <w:rPr/>
              <w:t> </w:t>
            </w:r>
          </w:p>
        </w:tc>
        <w:tc>
          <w:tcPr>
            <w:tcW w:w="790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Provides waste treatment and disposal services. The company is involved in the investment, construction, and operation of domestic waste incineration power generation projects; generation of electricity, heat, and biogas; and provision of heating services to industrial enterprises. It also offers treatment and disposal of various types of urban waste, such as household waste, kitchen waste, urban sludge, and medical waste. In addition, the company provides operation management consulting and on-site supervision services related to waste treatment and disposal projects. Further, it offers hazardous waste treatment and disposal services; and designs, produces, and sells environmental protection equipment required for waste treatment and disposal projects, including grate furnaces and biogas purification equipment.</w:t>
            </w:r>
          </w:p>
        </w:tc>
      </w:tr>
      <w:tr>
        <w:trPr/>
        <w:tc>
          <w:tcPr>
            <w:tcW w:w="131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790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317"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CEVIA Enviro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Cevia</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SZSE</w:t>
            </w:r>
          </w:p>
        </w:tc>
        <w:tc>
          <w:tcPr>
            <w:tcW w:w="60" w:type="dxa"/>
            <w:tcBorders/>
            <w:tcMar>
              <w:bottom w:w="0" w:type="dxa"/>
            </w:tcMar>
            <w:vAlign w:val="center"/>
          </w:tcPr>
          <w:p>
            <w:pPr>
              <w:pStyle w:val="TableContents"/>
              <w:bidi w:val="0"/>
              <w:spacing w:before="0" w:after="283"/>
              <w:jc w:val="left"/>
              <w:rPr/>
            </w:pPr>
            <w:r>
              <w:rPr/>
              <w:t> </w:t>
            </w:r>
          </w:p>
        </w:tc>
        <w:tc>
          <w:tcPr>
            <w:tcW w:w="790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Engages in solid waste treatment business in China. The company engages in investment, construction and operation of domestic waste incineration power generation; disposal of hazardous waste, medical waste, and organic waste; and professional operation services. It also provides cleaning and sanitation, domestic waste collection and transportation, construction and operation of waste transfer stations, waste classification, landscaping and other urban transfer stations, and garbage classification services.</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68"/>
        <w:gridCol w:w="60"/>
        <w:gridCol w:w="860"/>
        <w:gridCol w:w="60"/>
        <w:gridCol w:w="7557"/>
      </w:tblGrid>
      <w:tr>
        <w:trPr/>
        <w:tc>
          <w:tcPr>
            <w:tcW w:w="1668"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Comparable Companies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w:t>
            </w:r>
          </w:p>
        </w:tc>
        <w:tc>
          <w:tcPr>
            <w:tcW w:w="60" w:type="dxa"/>
            <w:tcBorders/>
            <w:tcMar>
              <w:bottom w:w="0" w:type="dxa"/>
            </w:tcMar>
            <w:vAlign w:val="center"/>
          </w:tcPr>
          <w:p>
            <w:pPr>
              <w:pStyle w:val="TableContents"/>
              <w:bidi w:val="0"/>
              <w:spacing w:before="0" w:after="283"/>
              <w:jc w:val="left"/>
              <w:rPr/>
            </w:pPr>
            <w:r>
              <w:rPr/>
              <w:t> </w:t>
            </w:r>
          </w:p>
        </w:tc>
        <w:tc>
          <w:tcPr>
            <w:tcW w:w="7557"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activities</w:t>
            </w:r>
          </w:p>
        </w:tc>
      </w:tr>
      <w:tr>
        <w:trPr/>
        <w:tc>
          <w:tcPr>
            <w:tcW w:w="166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Cleanaway Waste Management Limited (“</w:t>
            </w:r>
            <w:r>
              <w:rPr>
                <w:rFonts w:ascii="Times New Roman;Times;Serif" w:hAnsi="Times New Roman;Times;Serif"/>
                <w:b/>
                <w:i w:val="false"/>
                <w:caps w:val="false"/>
                <w:smallCaps w:val="false"/>
                <w:sz w:val="20"/>
              </w:rPr>
              <w:t>CWY</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ASX</w:t>
            </w:r>
          </w:p>
        </w:tc>
        <w:tc>
          <w:tcPr>
            <w:tcW w:w="60" w:type="dxa"/>
            <w:tcBorders/>
            <w:tcMar>
              <w:bottom w:w="0" w:type="dxa"/>
            </w:tcMar>
            <w:vAlign w:val="center"/>
          </w:tcPr>
          <w:p>
            <w:pPr>
              <w:pStyle w:val="TableContents"/>
              <w:bidi w:val="0"/>
              <w:spacing w:before="0" w:after="283"/>
              <w:jc w:val="left"/>
              <w:rPr/>
            </w:pPr>
            <w:r>
              <w:rPr/>
              <w:t> </w:t>
            </w:r>
          </w:p>
        </w:tc>
        <w:tc>
          <w:tcPr>
            <w:tcW w:w="755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Provides waste management, industrial, and environmental services in Australia. It engages in the collection, recovery, and disposal of solid waste, including putrescible waste, inert waste, household waste and recovered waste processed through the resource recovery and recycling facilities, transfer stations, and landfills; and provision of safe treatment and disposal of health-related waste services, including sharps management, medical and pharmaceutical waste, and healthcare hazardous waste and quarantine waste to the health sector.</w:t>
            </w:r>
          </w:p>
        </w:tc>
      </w:tr>
      <w:tr>
        <w:trPr/>
        <w:tc>
          <w:tcPr>
            <w:tcW w:w="166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755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66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Anhui Tongyuan Environment Energy Saving Co.,Ltd (“</w:t>
            </w:r>
            <w:r>
              <w:rPr>
                <w:rFonts w:ascii="Times New Roman;Times;Serif" w:hAnsi="Times New Roman;Times;Serif"/>
                <w:b/>
                <w:i w:val="false"/>
                <w:caps w:val="false"/>
                <w:smallCaps w:val="false"/>
                <w:sz w:val="20"/>
              </w:rPr>
              <w:t>ATEE</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SHSE</w:t>
            </w:r>
          </w:p>
        </w:tc>
        <w:tc>
          <w:tcPr>
            <w:tcW w:w="60" w:type="dxa"/>
            <w:tcBorders/>
            <w:tcMar>
              <w:bottom w:w="0" w:type="dxa"/>
            </w:tcMar>
            <w:vAlign w:val="center"/>
          </w:tcPr>
          <w:p>
            <w:pPr>
              <w:pStyle w:val="TableContents"/>
              <w:bidi w:val="0"/>
              <w:spacing w:before="0" w:after="283"/>
              <w:jc w:val="left"/>
              <w:rPr/>
            </w:pPr>
            <w:r>
              <w:rPr/>
              <w:t> </w:t>
            </w:r>
          </w:p>
        </w:tc>
        <w:tc>
          <w:tcPr>
            <w:tcW w:w="755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Engages in treatment of solid waste pollution, sludge, and sewage and water environment in China. The company is involved in ecological and environmental remediation; solid waste pollution control and resource utilization; sewage and water environment management; and soil and groundwater remediation.</w:t>
            </w:r>
          </w:p>
        </w:tc>
      </w:tr>
      <w:tr>
        <w:trPr/>
        <w:tc>
          <w:tcPr>
            <w:tcW w:w="166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755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66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755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66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Hunan Junxin Environmental Protection Co., Ltd. (“</w:t>
            </w:r>
            <w:r>
              <w:rPr>
                <w:rFonts w:ascii="Times New Roman;Times;Serif" w:hAnsi="Times New Roman;Times;Serif"/>
                <w:b/>
                <w:i w:val="false"/>
                <w:caps w:val="false"/>
                <w:smallCaps w:val="false"/>
                <w:sz w:val="20"/>
              </w:rPr>
              <w:t>HJEP</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SZSE</w:t>
            </w:r>
          </w:p>
        </w:tc>
        <w:tc>
          <w:tcPr>
            <w:tcW w:w="60" w:type="dxa"/>
            <w:tcBorders/>
            <w:tcMar>
              <w:bottom w:w="0" w:type="dxa"/>
            </w:tcMar>
            <w:vAlign w:val="center"/>
          </w:tcPr>
          <w:p>
            <w:pPr>
              <w:pStyle w:val="TableContents"/>
              <w:bidi w:val="0"/>
              <w:spacing w:before="0" w:after="283"/>
              <w:jc w:val="left"/>
              <w:rPr/>
            </w:pPr>
            <w:r>
              <w:rPr/>
              <w:t> </w:t>
            </w:r>
          </w:p>
        </w:tc>
        <w:tc>
          <w:tcPr>
            <w:tcW w:w="755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Engages in solid waste treatment and green energy businesses in China. The company invests in, operates, and manages domestic and food waste, municipal sludge, leachate and ash treatment, and disposal facilities. It is also involved in waste incineration power generation; domestic waste transfer and restaurant kitchen waste transfer and supporting sewage treatment; harmless treatment and resource utilization of food waste; sludge disposal; landfill and ash treatment and disposal, etc.</w:t>
            </w:r>
          </w:p>
        </w:tc>
      </w:tr>
      <w:tr>
        <w:trPr/>
        <w:tc>
          <w:tcPr>
            <w:tcW w:w="166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755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66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Midac Holdings Co., Ltd (“</w:t>
            </w:r>
            <w:r>
              <w:rPr>
                <w:rFonts w:ascii="Times New Roman;Times;Serif" w:hAnsi="Times New Roman;Times;Serif"/>
                <w:b/>
                <w:i w:val="false"/>
                <w:caps w:val="false"/>
                <w:smallCaps w:val="false"/>
                <w:sz w:val="20"/>
              </w:rPr>
              <w:t>Midac</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TSX</w:t>
            </w:r>
          </w:p>
        </w:tc>
        <w:tc>
          <w:tcPr>
            <w:tcW w:w="60" w:type="dxa"/>
            <w:tcBorders/>
            <w:tcMar>
              <w:bottom w:w="0" w:type="dxa"/>
            </w:tcMar>
            <w:vAlign w:val="center"/>
          </w:tcPr>
          <w:p>
            <w:pPr>
              <w:pStyle w:val="TableContents"/>
              <w:bidi w:val="0"/>
              <w:spacing w:before="0" w:after="283"/>
              <w:jc w:val="left"/>
              <w:rPr/>
            </w:pPr>
            <w:r>
              <w:rPr/>
              <w:t> </w:t>
            </w:r>
          </w:p>
        </w:tc>
        <w:tc>
          <w:tcPr>
            <w:tcW w:w="755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Engages in the collection, transportation, cleaning, treatment, and disposal of industrial waste in Japan. It operates through waste disposal business, collection and transportation business. The company also collects and transports general business waste. In addition, it offers mediation and management services for waste disposal projects for waste disposal companies.</w:t>
            </w:r>
          </w:p>
        </w:tc>
      </w:tr>
      <w:tr>
        <w:trPr/>
        <w:tc>
          <w:tcPr>
            <w:tcW w:w="166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755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66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Environment Group Co., Ltd (“</w:t>
            </w:r>
            <w:r>
              <w:rPr>
                <w:rFonts w:ascii="Times New Roman;Times;Serif" w:hAnsi="Times New Roman;Times;Serif"/>
                <w:b/>
                <w:i w:val="false"/>
                <w:caps w:val="false"/>
                <w:smallCaps w:val="false"/>
                <w:sz w:val="20"/>
              </w:rPr>
              <w:t>SEG</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SHSE</w:t>
            </w:r>
          </w:p>
        </w:tc>
        <w:tc>
          <w:tcPr>
            <w:tcW w:w="60" w:type="dxa"/>
            <w:tcBorders/>
            <w:tcMar>
              <w:bottom w:w="0" w:type="dxa"/>
            </w:tcMar>
            <w:vAlign w:val="center"/>
          </w:tcPr>
          <w:p>
            <w:pPr>
              <w:pStyle w:val="TableContents"/>
              <w:bidi w:val="0"/>
              <w:spacing w:before="0" w:after="283"/>
              <w:jc w:val="left"/>
              <w:rPr/>
            </w:pPr>
            <w:r>
              <w:rPr/>
              <w:t> </w:t>
            </w:r>
          </w:p>
        </w:tc>
        <w:tc>
          <w:tcPr>
            <w:tcW w:w="7557"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Engages in domestic waste, hazardous waste, medical waste, and sewage treatment services in China. The company operates through solid waste treatment; investment, construction and management of projects, waste collection and transfer; environmental services; sewage treatment; and engineering contracting and design planning segments. It engages in the investment, construction, and management of waste incineration and power generation projects and waste landfill projects; urban appearance and environmental sanitation related technology development and consulting, sanitation project management and equipment trading; investment, operation, management and related business consulting of urban sewage treatment and environmental protection projects.</w:t>
            </w:r>
          </w:p>
        </w:tc>
      </w:tr>
    </w:tbl>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9071" w:type="dxa"/>
        <w:jc w:val="left"/>
        <w:tblInd w:w="0" w:type="dxa"/>
        <w:tblLayout w:type="fixed"/>
        <w:tblCellMar>
          <w:top w:w="0" w:type="dxa"/>
          <w:left w:w="0" w:type="dxa"/>
          <w:bottom w:w="28" w:type="dxa"/>
          <w:right w:w="0" w:type="dxa"/>
        </w:tblCellMar>
      </w:tblPr>
      <w:tblGrid>
        <w:gridCol w:w="2375"/>
        <w:gridCol w:w="60"/>
        <w:gridCol w:w="76"/>
        <w:gridCol w:w="1248"/>
        <w:gridCol w:w="60"/>
        <w:gridCol w:w="60"/>
        <w:gridCol w:w="165"/>
        <w:gridCol w:w="1219"/>
        <w:gridCol w:w="60"/>
        <w:gridCol w:w="60"/>
        <w:gridCol w:w="141"/>
        <w:gridCol w:w="1603"/>
        <w:gridCol w:w="215"/>
        <w:gridCol w:w="60"/>
        <w:gridCol w:w="190"/>
        <w:gridCol w:w="1404"/>
        <w:gridCol w:w="75"/>
      </w:tblGrid>
      <w:tr>
        <w:trPr/>
        <w:tc>
          <w:tcPr>
            <w:tcW w:w="237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Comparable Company</w:t>
            </w:r>
          </w:p>
        </w:tc>
        <w:tc>
          <w:tcPr>
            <w:tcW w:w="60" w:type="dxa"/>
            <w:tcBorders/>
            <w:tcMar>
              <w:bottom w:w="0" w:type="dxa"/>
            </w:tcMar>
            <w:vAlign w:val="center"/>
          </w:tcPr>
          <w:p>
            <w:pPr>
              <w:pStyle w:val="TableContents"/>
              <w:bidi w:val="0"/>
              <w:spacing w:before="0" w:after="283"/>
              <w:jc w:val="center"/>
              <w:rPr/>
            </w:pPr>
            <w:r>
              <w:rPr/>
              <w:t> </w:t>
            </w:r>
          </w:p>
        </w:tc>
        <w:tc>
          <w:tcPr>
            <w:tcW w:w="1324" w:type="dxa"/>
            <w:gridSpan w:val="2"/>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Market Cap</w:t>
            </w:r>
          </w:p>
          <w:p>
            <w:pPr>
              <w:pStyle w:val="TableContents"/>
              <w:bidi w:val="0"/>
              <w:spacing w:before="0" w:after="283"/>
              <w:jc w:val="center"/>
              <w:rPr>
                <w:rFonts w:ascii="Times New Roman;Times;Serif" w:hAnsi="Times New Roman;Times;Serif"/>
                <w:b/>
              </w:rPr>
            </w:pPr>
            <w:r>
              <w:rPr>
                <w:rFonts w:ascii="Times New Roman;Times;Serif" w:hAnsi="Times New Roman;Times;Serif"/>
                <w:b/>
              </w:rPr>
              <w:t>(RM million)</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Levered Beta</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74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Net Debt/ Equity</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9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Unlevered Beta</w:t>
            </w:r>
          </w:p>
        </w:tc>
        <w:tc>
          <w:tcPr>
            <w:tcW w:w="75" w:type="dxa"/>
            <w:tcBorders/>
            <w:tcMar>
              <w:bottom w:w="0" w:type="dxa"/>
            </w:tcMar>
            <w:vAlign w:val="center"/>
          </w:tcPr>
          <w:p>
            <w:pPr>
              <w:pStyle w:val="TableContents"/>
              <w:bidi w:val="0"/>
              <w:spacing w:before="0" w:after="283"/>
              <w:jc w:val="center"/>
              <w:rPr/>
            </w:pPr>
            <w:r>
              <w:rPr/>
              <w:t> </w:t>
            </w:r>
          </w:p>
        </w:tc>
      </w:tr>
      <w:tr>
        <w:trPr/>
        <w:tc>
          <w:tcPr>
            <w:tcW w:w="23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Ecorizon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24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5,153.19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21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60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20.87</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40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Cevia</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24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5,137.17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121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60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160.40</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40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CWY</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24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14,243.55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21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60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43.86</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40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ATEE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24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4,996.70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121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60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40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HJEP</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24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7,055.40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21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60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14.52</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40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Midac</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24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1,481.97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121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60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11.34</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40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SEG</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24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6.182.76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21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bottom w:val="single" w:sz="8" w:space="0" w:color="000000"/>
            </w:tcBorders>
            <w:shd w:fill="CCEEFF" w:val="clear"/>
            <w:vAlign w:val="center"/>
          </w:tcPr>
          <w:p>
            <w:pPr>
              <w:pStyle w:val="TableContents"/>
              <w:bidi w:val="0"/>
              <w:spacing w:before="0" w:after="283"/>
              <w:jc w:val="left"/>
              <w:rPr/>
            </w:pPr>
            <w:r>
              <w:rPr/>
              <w:t> </w:t>
            </w:r>
          </w:p>
        </w:tc>
        <w:tc>
          <w:tcPr>
            <w:tcW w:w="160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76.12</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bottom w:val="single" w:sz="8" w:space="0" w:color="000000"/>
            </w:tcBorders>
            <w:shd w:fill="CCEEFF" w:val="clear"/>
            <w:vAlign w:val="center"/>
          </w:tcPr>
          <w:p>
            <w:pPr>
              <w:pStyle w:val="TableContents"/>
              <w:bidi w:val="0"/>
              <w:spacing w:before="0" w:after="283"/>
              <w:jc w:val="left"/>
              <w:rPr/>
            </w:pPr>
            <w:r>
              <w:rPr/>
              <w:t> </w:t>
            </w:r>
          </w:p>
        </w:tc>
        <w:tc>
          <w:tcPr>
            <w:tcW w:w="140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75" w:type="dxa"/>
            <w:tcBorders/>
            <w:shd w:fill="FFFF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Median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24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121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bottom w:val="single" w:sz="8" w:space="0" w:color="000000"/>
            </w:tcBorders>
            <w:shd w:fill="FFFFFF" w:val="clear"/>
            <w:vAlign w:val="center"/>
          </w:tcPr>
          <w:p>
            <w:pPr>
              <w:pStyle w:val="TableContents"/>
              <w:bidi w:val="0"/>
              <w:spacing w:before="0" w:after="283"/>
              <w:jc w:val="left"/>
              <w:rPr/>
            </w:pPr>
            <w:r>
              <w:rPr/>
              <w:t> </w:t>
            </w:r>
          </w:p>
        </w:tc>
        <w:tc>
          <w:tcPr>
            <w:tcW w:w="160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20.87</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bottom w:val="single" w:sz="8" w:space="0" w:color="000000"/>
            </w:tcBorders>
            <w:shd w:fill="FFFFFF" w:val="clear"/>
            <w:vAlign w:val="center"/>
          </w:tcPr>
          <w:p>
            <w:pPr>
              <w:pStyle w:val="TableContents"/>
              <w:bidi w:val="0"/>
              <w:spacing w:before="0" w:after="283"/>
              <w:jc w:val="left"/>
              <w:rPr/>
            </w:pPr>
            <w:r>
              <w:rPr/>
              <w:t> </w:t>
            </w:r>
          </w:p>
        </w:tc>
        <w:tc>
          <w:tcPr>
            <w:tcW w:w="140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0.78</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Bases and Assumptions for Future Financials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Financials have been prepared based on a set of assumptions made by the Management, which includes assumptions about future events and outlook that may or may not necessarily occur. In particular, the Future Financials are dependent on the achievability of the specific assumptions as set out below. We have not undertaken a review on the reasonableness of the Future Financials, and we do not express any opinion on the achievability of the Future Financials.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FCFF for each financial year in the Future Financials used to derive at the Discounted FCFF valuation are extracted from the estimate, forecast and projections based on the Management’s best estimate, and includes the existing contracts as well as quotations provided to its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we wish to highlight that the Discounted FCFF valuation is based on prevailing economic, market and other conditions as at Date of Opinion for valuation parameters, in addition to publicly available information and information provided by the Target Co. Such conditions may change significantly over a short period of time. The resultant effect of such changes may materially and/or adversely affect the valuation.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 Future Financials are dependent on the achievability of the specific assumptions as set out below. The results of the Future Financials can be materially affected by economic and other circumstances. The actual results may vary considerably from the Future Financials. The Future Financials have been prepared on the bases consistent with the historical information provided by the Management, of which the specific key assumptions are as follows:-</w:t>
      </w:r>
    </w:p>
    <w:p>
      <w:pPr>
        <w:pStyle w:val="TextBody"/>
        <w:bidi w:val="0"/>
        <w:spacing w:before="0" w:after="0"/>
        <w:ind w:left="0" w:right="0" w:hanging="0"/>
        <w:jc w:val="both"/>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75"/>
        <w:gridCol w:w="200"/>
        <w:gridCol w:w="723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Co’s revenue can be further discussed in the following geographical manner:-</w:t>
            </w:r>
          </w:p>
        </w:tc>
      </w:tr>
    </w:tbl>
    <w:p>
      <w:pPr>
        <w:pStyle w:val="TextBody"/>
        <w:bidi w:val="0"/>
        <w:spacing w:before="0" w:after="283"/>
        <w:jc w:val="left"/>
        <w:rPr/>
      </w:pPr>
      <w:r>
        <w:rPr/>
        <w:t> </w:t>
      </w:r>
    </w:p>
    <w:tbl>
      <w:tblPr>
        <w:tblW w:w="9033" w:type="dxa"/>
        <w:jc w:val="left"/>
        <w:tblInd w:w="0" w:type="dxa"/>
        <w:tblLayout w:type="fixed"/>
        <w:tblCellMar>
          <w:top w:w="0" w:type="dxa"/>
          <w:left w:w="0" w:type="dxa"/>
          <w:bottom w:w="0" w:type="dxa"/>
          <w:right w:w="0" w:type="dxa"/>
        </w:tblCellMar>
      </w:tblPr>
      <w:tblGrid>
        <w:gridCol w:w="38"/>
        <w:gridCol w:w="230"/>
        <w:gridCol w:w="87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assumptions used in arriving at the revenue to be generated from each of the country are as follows:</w:t>
            </w:r>
          </w:p>
        </w:tc>
      </w:tr>
    </w:tbl>
    <w:p>
      <w:pPr>
        <w:pStyle w:val="TextBody"/>
        <w:bidi w:val="0"/>
        <w:spacing w:before="0" w:after="0"/>
        <w:ind w:left="0" w:right="0" w:hanging="0"/>
        <w:jc w:val="left"/>
        <w:rPr>
          <w:caps w:val="false"/>
          <w:smallCaps w:val="false"/>
        </w:rPr>
      </w:pPr>
      <w:r>
        <w:rPr>
          <w:caps w:val="false"/>
          <w:smallCaps w:val="false"/>
        </w:rPr>
        <w:t> </w:t>
      </w:r>
    </w:p>
    <w:tbl>
      <w:tblPr>
        <w:tblW w:w="8415" w:type="dxa"/>
        <w:jc w:val="left"/>
        <w:tblInd w:w="0" w:type="dxa"/>
        <w:tblLayout w:type="fixed"/>
        <w:tblCellMar>
          <w:top w:w="0" w:type="dxa"/>
          <w:left w:w="0" w:type="dxa"/>
          <w:bottom w:w="28" w:type="dxa"/>
          <w:right w:w="0" w:type="dxa"/>
        </w:tblCellMar>
      </w:tblPr>
      <w:tblGrid>
        <w:gridCol w:w="3095"/>
        <w:gridCol w:w="60"/>
        <w:gridCol w:w="70"/>
        <w:gridCol w:w="805"/>
        <w:gridCol w:w="350"/>
        <w:gridCol w:w="60"/>
        <w:gridCol w:w="69"/>
        <w:gridCol w:w="791"/>
        <w:gridCol w:w="350"/>
        <w:gridCol w:w="60"/>
        <w:gridCol w:w="86"/>
        <w:gridCol w:w="984"/>
        <w:gridCol w:w="350"/>
        <w:gridCol w:w="60"/>
        <w:gridCol w:w="60"/>
        <w:gridCol w:w="800"/>
        <w:gridCol w:w="365"/>
      </w:tblGrid>
      <w:tr>
        <w:trPr/>
        <w:tc>
          <w:tcPr>
            <w:tcW w:w="3095" w:type="dxa"/>
            <w:tcBorders>
              <w:bottom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Country</w:t>
            </w:r>
          </w:p>
        </w:tc>
        <w:tc>
          <w:tcPr>
            <w:tcW w:w="60" w:type="dxa"/>
            <w:tcBorders/>
            <w:tcMar>
              <w:bottom w:w="0" w:type="dxa"/>
            </w:tcMar>
            <w:vAlign w:val="center"/>
          </w:tcPr>
          <w:p>
            <w:pPr>
              <w:pStyle w:val="TableContents"/>
              <w:bidi w:val="0"/>
              <w:spacing w:before="0" w:after="283"/>
              <w:jc w:val="center"/>
              <w:rPr/>
            </w:pPr>
            <w:r>
              <w:rPr/>
              <w:t> </w:t>
            </w:r>
          </w:p>
        </w:tc>
        <w:tc>
          <w:tcPr>
            <w:tcW w:w="87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Malaysia</w:t>
            </w:r>
          </w:p>
        </w:tc>
        <w:tc>
          <w:tcPr>
            <w:tcW w:w="3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Thailand</w:t>
            </w:r>
          </w:p>
        </w:tc>
        <w:tc>
          <w:tcPr>
            <w:tcW w:w="350" w:type="dxa"/>
            <w:tcBorders/>
            <w:tcMar>
              <w:bottom w:w="0" w:type="dxa"/>
            </w:tcMar>
            <w:vAlign w:val="center"/>
          </w:tcPr>
          <w:p>
            <w:pPr>
              <w:pStyle w:val="TableContents"/>
              <w:bidi w:val="0"/>
              <w:spacing w:before="0" w:after="283"/>
              <w:jc w:val="center"/>
              <w:rPr>
                <w:position w:val="8"/>
                <w:sz w:val="19"/>
              </w:rPr>
            </w:pPr>
            <w:r>
              <w:rPr>
                <w:position w:val="8"/>
                <w:sz w:val="19"/>
              </w:rPr>
              <w:t> </w:t>
            </w:r>
          </w:p>
        </w:tc>
        <w:tc>
          <w:tcPr>
            <w:tcW w:w="60" w:type="dxa"/>
            <w:tcBorders/>
            <w:tcMar>
              <w:bottom w:w="0" w:type="dxa"/>
            </w:tcMar>
            <w:vAlign w:val="center"/>
          </w:tcPr>
          <w:p>
            <w:pPr>
              <w:pStyle w:val="TableContents"/>
              <w:bidi w:val="0"/>
              <w:spacing w:before="0" w:after="283"/>
              <w:jc w:val="center"/>
              <w:rPr/>
            </w:pPr>
            <w:r>
              <w:rPr/>
              <w:t> </w:t>
            </w:r>
          </w:p>
        </w:tc>
        <w:tc>
          <w:tcPr>
            <w:tcW w:w="107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Philippines</w:t>
            </w:r>
          </w:p>
        </w:tc>
        <w:tc>
          <w:tcPr>
            <w:tcW w:w="350" w:type="dxa"/>
            <w:tcBorders/>
            <w:tcMar>
              <w:bottom w:w="0" w:type="dxa"/>
            </w:tcMar>
            <w:vAlign w:val="center"/>
          </w:tcPr>
          <w:p>
            <w:pPr>
              <w:pStyle w:val="TableContents"/>
              <w:bidi w:val="0"/>
              <w:spacing w:before="0" w:after="283"/>
              <w:jc w:val="center"/>
              <w:rPr>
                <w:position w:val="8"/>
                <w:sz w:val="19"/>
              </w:rPr>
            </w:pPr>
            <w:r>
              <w:rPr>
                <w:position w:val="8"/>
                <w:sz w:val="19"/>
              </w:rPr>
              <w:t> </w:t>
            </w:r>
          </w:p>
        </w:tc>
        <w:tc>
          <w:tcPr>
            <w:tcW w:w="60" w:type="dxa"/>
            <w:tcBorders/>
            <w:tcMar>
              <w:bottom w:w="0" w:type="dxa"/>
            </w:tcMar>
            <w:vAlign w:val="center"/>
          </w:tcPr>
          <w:p>
            <w:pPr>
              <w:pStyle w:val="TableContents"/>
              <w:bidi w:val="0"/>
              <w:spacing w:before="0" w:after="283"/>
              <w:jc w:val="center"/>
              <w:rPr/>
            </w:pPr>
            <w:r>
              <w:rPr/>
              <w:t> </w:t>
            </w:r>
          </w:p>
        </w:tc>
        <w:tc>
          <w:tcPr>
            <w:tcW w:w="8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Vietnam</w:t>
            </w:r>
          </w:p>
        </w:tc>
        <w:tc>
          <w:tcPr>
            <w:tcW w:w="365" w:type="dxa"/>
            <w:tcBorders/>
            <w:tcMar>
              <w:bottom w:w="0" w:type="dxa"/>
            </w:tcMar>
            <w:vAlign w:val="center"/>
          </w:tcPr>
          <w:p>
            <w:pPr>
              <w:pStyle w:val="TableContents"/>
              <w:bidi w:val="0"/>
              <w:spacing w:before="0" w:after="283"/>
              <w:jc w:val="center"/>
              <w:rPr>
                <w:position w:val="8"/>
                <w:sz w:val="19"/>
              </w:rPr>
            </w:pPr>
            <w:r>
              <w:rPr>
                <w:position w:val="8"/>
                <w:sz w:val="19"/>
              </w:rPr>
              <w:t> </w:t>
            </w:r>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Average Tonnage per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single" w:sz="8" w:space="0" w:color="000000"/>
            </w:tcBorders>
            <w:shd w:fill="CCEEFF" w:val="clear"/>
            <w:vAlign w:val="center"/>
          </w:tcPr>
          <w:p>
            <w:pPr>
              <w:pStyle w:val="TableContents"/>
              <w:bidi w:val="0"/>
              <w:spacing w:before="0" w:after="283"/>
              <w:jc w:val="left"/>
              <w:rPr/>
            </w:pPr>
            <w:r>
              <w:rPr/>
              <w:t> </w:t>
            </w:r>
          </w:p>
        </w:tc>
        <w:tc>
          <w:tcPr>
            <w:tcW w:w="80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27,783</w:t>
            </w:r>
          </w:p>
        </w:tc>
        <w:tc>
          <w:tcPr>
            <w:tcW w:w="350" w:type="dxa"/>
            <w:tcBorders/>
            <w:shd w:fill="CCEE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[1]</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bottom w:val="single" w:sz="8" w:space="0" w:color="000000"/>
            </w:tcBorders>
            <w:shd w:fill="CCEEFF" w:val="clear"/>
            <w:vAlign w:val="center"/>
          </w:tcPr>
          <w:p>
            <w:pPr>
              <w:pStyle w:val="TableContents"/>
              <w:bidi w:val="0"/>
              <w:spacing w:before="0" w:after="283"/>
              <w:jc w:val="left"/>
              <w:rPr/>
            </w:pPr>
            <w:r>
              <w:rPr/>
              <w:t> </w:t>
            </w:r>
          </w:p>
        </w:tc>
        <w:tc>
          <w:tcPr>
            <w:tcW w:w="79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53,035</w:t>
            </w:r>
          </w:p>
        </w:tc>
        <w:tc>
          <w:tcPr>
            <w:tcW w:w="350" w:type="dxa"/>
            <w:tcBorders/>
            <w:shd w:fill="CCEE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[2]</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bottom w:val="single" w:sz="8" w:space="0" w:color="000000"/>
            </w:tcBorders>
            <w:shd w:fill="CCEEFF" w:val="clear"/>
            <w:vAlign w:val="center"/>
          </w:tcPr>
          <w:p>
            <w:pPr>
              <w:pStyle w:val="TableContents"/>
              <w:bidi w:val="0"/>
              <w:spacing w:before="0" w:after="283"/>
              <w:jc w:val="left"/>
              <w:rPr/>
            </w:pPr>
            <w:r>
              <w:rPr/>
              <w:t> </w:t>
            </w:r>
          </w:p>
        </w:tc>
        <w:tc>
          <w:tcPr>
            <w:tcW w:w="98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17,238</w:t>
            </w:r>
          </w:p>
        </w:tc>
        <w:tc>
          <w:tcPr>
            <w:tcW w:w="350" w:type="dxa"/>
            <w:tcBorders/>
            <w:shd w:fill="CCEE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[3]</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292,000</w:t>
            </w:r>
          </w:p>
        </w:tc>
        <w:tc>
          <w:tcPr>
            <w:tcW w:w="365" w:type="dxa"/>
            <w:tcBorders/>
            <w:shd w:fill="CCEE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[4]</w:t>
            </w:r>
            <w:r>
              <w:rPr>
                <w:rFonts w:ascii="Times New Roman;Times;Serif" w:hAnsi="Times New Roman;Times;Serif"/>
              </w:rPr>
              <w:t> </w:t>
            </w:r>
          </w:p>
        </w:tc>
      </w:tr>
      <w:tr>
        <w:trPr/>
        <w:tc>
          <w:tcPr>
            <w:tcW w:w="309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Number of incinerator(s)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bottom w:val="single" w:sz="8" w:space="0" w:color="000000"/>
            </w:tcBorders>
            <w:shd w:fill="FFFFFF" w:val="clear"/>
            <w:vAlign w:val="center"/>
          </w:tcPr>
          <w:p>
            <w:pPr>
              <w:pStyle w:val="TableContents"/>
              <w:bidi w:val="0"/>
              <w:spacing w:before="0" w:after="283"/>
              <w:jc w:val="left"/>
              <w:rPr/>
            </w:pPr>
            <w:r>
              <w:rPr/>
              <w:t> </w:t>
            </w:r>
          </w:p>
        </w:tc>
        <w:tc>
          <w:tcPr>
            <w:tcW w:w="80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3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 w:type="dxa"/>
            <w:tcBorders>
              <w:bottom w:val="single" w:sz="8" w:space="0" w:color="000000"/>
            </w:tcBorders>
            <w:shd w:fill="FFFFFF" w:val="clear"/>
            <w:vAlign w:val="center"/>
          </w:tcPr>
          <w:p>
            <w:pPr>
              <w:pStyle w:val="TableContents"/>
              <w:bidi w:val="0"/>
              <w:spacing w:before="0" w:after="283"/>
              <w:jc w:val="left"/>
              <w:rPr/>
            </w:pPr>
            <w:r>
              <w:rPr/>
              <w:t> </w:t>
            </w:r>
          </w:p>
        </w:tc>
        <w:tc>
          <w:tcPr>
            <w:tcW w:w="79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350" w:type="dxa"/>
            <w:tcBorders/>
            <w:shd w:fill="FFFF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[5]</w:t>
            </w: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bottom w:val="single" w:sz="8" w:space="0" w:color="000000"/>
            </w:tcBorders>
            <w:shd w:fill="FFFFFF" w:val="clear"/>
            <w:vAlign w:val="center"/>
          </w:tcPr>
          <w:p>
            <w:pPr>
              <w:pStyle w:val="TableContents"/>
              <w:bidi w:val="0"/>
              <w:spacing w:before="0" w:after="283"/>
              <w:jc w:val="left"/>
              <w:rPr/>
            </w:pPr>
            <w:r>
              <w:rPr/>
              <w:t> </w:t>
            </w:r>
          </w:p>
        </w:tc>
        <w:tc>
          <w:tcPr>
            <w:tcW w:w="98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350" w:type="dxa"/>
            <w:tcBorders/>
            <w:shd w:fill="FFFF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[5]</w:t>
            </w:r>
            <w:r>
              <w:rPr>
                <w:rFonts w:ascii="Times New Roman;Times;Serif" w:hAnsi="Times New Roman;Times;Serif"/>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365" w:type="dxa"/>
            <w:tcBorders/>
            <w:shd w:fill="FFFF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[5]</w:t>
            </w:r>
            <w:r>
              <w:rPr>
                <w:rFonts w:ascii="Times New Roman;Times;Serif" w:hAnsi="Times New Roman;Times;Serif"/>
              </w:rPr>
              <w:t> </w:t>
            </w:r>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price per tonnage (USD)</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single" w:sz="8" w:space="0" w:color="000000"/>
            </w:tcBorders>
            <w:shd w:fill="CCEEFF" w:val="clear"/>
            <w:vAlign w:val="center"/>
          </w:tcPr>
          <w:p>
            <w:pPr>
              <w:pStyle w:val="TableContents"/>
              <w:bidi w:val="0"/>
              <w:spacing w:before="0" w:after="283"/>
              <w:jc w:val="left"/>
              <w:rPr/>
            </w:pPr>
            <w:r>
              <w:rPr/>
              <w:t> </w:t>
            </w:r>
          </w:p>
        </w:tc>
        <w:tc>
          <w:tcPr>
            <w:tcW w:w="80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w:t>
            </w:r>
          </w:p>
        </w:tc>
        <w:tc>
          <w:tcPr>
            <w:tcW w:w="350" w:type="dxa"/>
            <w:tcBorders/>
            <w:shd w:fill="CCEE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[6]</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bottom w:val="single" w:sz="8" w:space="0" w:color="000000"/>
            </w:tcBorders>
            <w:shd w:fill="CCEEFF" w:val="clear"/>
            <w:vAlign w:val="center"/>
          </w:tcPr>
          <w:p>
            <w:pPr>
              <w:pStyle w:val="TableContents"/>
              <w:bidi w:val="0"/>
              <w:spacing w:before="0" w:after="283"/>
              <w:jc w:val="left"/>
              <w:rPr/>
            </w:pPr>
            <w:r>
              <w:rPr/>
              <w:t> </w:t>
            </w:r>
          </w:p>
        </w:tc>
        <w:tc>
          <w:tcPr>
            <w:tcW w:w="79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0.88</w:t>
            </w:r>
          </w:p>
        </w:tc>
        <w:tc>
          <w:tcPr>
            <w:tcW w:w="350" w:type="dxa"/>
            <w:tcBorders/>
            <w:shd w:fill="CCEE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[7]</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bottom w:val="single" w:sz="8" w:space="0" w:color="000000"/>
            </w:tcBorders>
            <w:shd w:fill="CCEEFF" w:val="clear"/>
            <w:vAlign w:val="center"/>
          </w:tcPr>
          <w:p>
            <w:pPr>
              <w:pStyle w:val="TableContents"/>
              <w:bidi w:val="0"/>
              <w:spacing w:before="0" w:after="283"/>
              <w:jc w:val="left"/>
              <w:rPr/>
            </w:pPr>
            <w:r>
              <w:rPr/>
              <w:t> </w:t>
            </w:r>
          </w:p>
        </w:tc>
        <w:tc>
          <w:tcPr>
            <w:tcW w:w="98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0.88</w:t>
            </w:r>
          </w:p>
        </w:tc>
        <w:tc>
          <w:tcPr>
            <w:tcW w:w="350" w:type="dxa"/>
            <w:tcBorders/>
            <w:shd w:fill="CCEE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[8]</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0.88</w:t>
            </w:r>
          </w:p>
        </w:tc>
        <w:tc>
          <w:tcPr>
            <w:tcW w:w="365" w:type="dxa"/>
            <w:tcBorders/>
            <w:shd w:fill="CCEE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[8]</w:t>
            </w:r>
            <w:r>
              <w:rPr>
                <w:rFonts w:ascii="Times New Roman;Times;Serif" w:hAnsi="Times New Roman;Times;Serif"/>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1583"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w:t>
            </w:r>
          </w:p>
        </w:tc>
        <w:tc>
          <w:tcPr>
            <w:tcW w:w="99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Extracted from the Department of Environment Malaysia, 2019, being the best available information. An average growth rate of 12.3% was adopted to arrive at the tonnages per year from 2026 to 2029.</w:t>
            </w:r>
          </w:p>
        </w:tc>
      </w:tr>
      <w:tr>
        <w:trPr/>
        <w:tc>
          <w:tcPr>
            <w:tcW w:w="257"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w:t>
            </w:r>
          </w:p>
        </w:tc>
        <w:tc>
          <w:tcPr>
            <w:tcW w:w="99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information extracted from the LUT Report, being the best available information.</w:t>
            </w:r>
          </w:p>
        </w:tc>
      </w:tr>
      <w:tr>
        <w:trPr/>
        <w:tc>
          <w:tcPr>
            <w:tcW w:w="257"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w:t>
            </w:r>
          </w:p>
        </w:tc>
        <w:tc>
          <w:tcPr>
            <w:tcW w:w="99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information extracted from the Manila Report, being the best available information.</w:t>
            </w:r>
          </w:p>
        </w:tc>
      </w:tr>
      <w:tr>
        <w:trPr/>
        <w:tc>
          <w:tcPr>
            <w:tcW w:w="257"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99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information extracted from the LUT Report, being the best available information.</w:t>
            </w:r>
          </w:p>
        </w:tc>
      </w:tr>
      <w:tr>
        <w:trPr/>
        <w:tc>
          <w:tcPr>
            <w:tcW w:w="257"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w:t>
            </w:r>
          </w:p>
        </w:tc>
        <w:tc>
          <w:tcPr>
            <w:tcW w:w="99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Management’s best estimates.</w:t>
            </w:r>
          </w:p>
        </w:tc>
      </w:tr>
      <w:tr>
        <w:trPr/>
        <w:tc>
          <w:tcPr>
            <w:tcW w:w="257"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w:t>
            </w:r>
          </w:p>
        </w:tc>
        <w:tc>
          <w:tcPr>
            <w:tcW w:w="99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information extracted from Kualiti Alam (2016), being the best available information.</w:t>
            </w:r>
          </w:p>
        </w:tc>
      </w:tr>
      <w:tr>
        <w:trPr/>
        <w:tc>
          <w:tcPr>
            <w:tcW w:w="257"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w:t>
            </w:r>
          </w:p>
        </w:tc>
        <w:tc>
          <w:tcPr>
            <w:tcW w:w="99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information extracted from the Manila Report.</w:t>
            </w:r>
          </w:p>
        </w:tc>
      </w:tr>
      <w:tr>
        <w:trPr/>
        <w:tc>
          <w:tcPr>
            <w:tcW w:w="257"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[8]</w:t>
            </w:r>
          </w:p>
        </w:tc>
        <w:tc>
          <w:tcPr>
            <w:tcW w:w="99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there were no information from the LUT Report, reference was made to the Manila Report.</w:t>
            </w:r>
          </w:p>
        </w:tc>
      </w:tr>
    </w:tbl>
    <w:p>
      <w:pPr>
        <w:pStyle w:val="TextBody"/>
        <w:bidi w:val="0"/>
        <w:spacing w:before="0" w:after="0"/>
        <w:ind w:left="0"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estimated that the Target Co is to acquire the market share of 10% each for Malaysia and Vietnam whilst to acquire the market share of 30% each for Thailand and Philippine;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8"/>
        <w:gridCol w:w="9852"/>
      </w:tblGrid>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labour cost and general administration cost is estimated at approximately USD2.32 million per annum/ per plant. Such information was extracted from the Manila Report, being the best publicly available information. The inflation rate of the respective countries was adopted based on the ten (10) year average inflation rate extracted from World Bank.</w:t>
            </w:r>
          </w:p>
        </w:tc>
      </w:tr>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985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expense is estimated based on the Malaysia’s corporate tax rate of 24.0%, the Thailand corporate tax rate of 20%, Philippine corporate tax rate of 25% and Vietnam corporate tax rate of 20%.</w:t>
            </w:r>
          </w:p>
        </w:tc>
      </w:tr>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985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represented that the overall cost for the Plant is approximately USD4.8 million and such value is adopted in assumption used for the construction and commercialisation of each of the plant in the respective countries.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Assumptions</w:t>
      </w:r>
    </w:p>
    <w:p>
      <w:pPr>
        <w:pStyle w:val="TextBody"/>
        <w:bidi w:val="0"/>
        <w:spacing w:before="0" w:after="0"/>
        <w:ind w:left="44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27"/>
        <w:gridCol w:w="9803"/>
      </w:tblGrid>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significant changes in the principal activities, key management personnel, operating policies, accounting and business policies presently adopted by the Target Co;</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caps w:val="false"/>
                <w:smallCaps w:val="false"/>
              </w:rPr>
            </w:pPr>
            <w:r>
              <w:rPr>
                <w:caps w:val="false"/>
                <w:smallCaps w:val="false"/>
              </w:rPr>
              <w:t> </w:t>
            </w:r>
          </w:p>
        </w:tc>
        <w:tc>
          <w:tcPr>
            <w:tcW w:w="98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Financials have been prepared based on prevailing economic conditions and information available as at the date of its preparation and does not encompass any assessment of the potential for future changes in the economic conditions in Malaysia, Southeast Asia and globally;</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caps w:val="false"/>
                <w:smallCaps w:val="false"/>
              </w:rPr>
            </w:pPr>
            <w:r>
              <w:rPr>
                <w:caps w:val="false"/>
                <w:smallCaps w:val="false"/>
              </w:rPr>
              <w:t> </w:t>
            </w:r>
          </w:p>
        </w:tc>
        <w:tc>
          <w:tcPr>
            <w:tcW w:w="98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significant changes to the prevailing economic, political and market conditions in Malaysia, Southeast Asia and elsewhere that will have direct and indirect effects on the activities and performance of the Target Co and the business of the Target Co’s customers and suppliers;</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caps w:val="false"/>
                <w:smallCaps w:val="false"/>
              </w:rPr>
            </w:pPr>
            <w:r>
              <w:rPr>
                <w:caps w:val="false"/>
                <w:smallCaps w:val="false"/>
              </w:rPr>
              <w:t> </w:t>
            </w:r>
          </w:p>
        </w:tc>
        <w:tc>
          <w:tcPr>
            <w:tcW w:w="98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material changes to the present legislation and government’s regulations and other operation regulations or restrictions affecting the Target Co’s activities or the market in which it operates;</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caps w:val="false"/>
                <w:smallCaps w:val="false"/>
              </w:rPr>
            </w:pPr>
            <w:r>
              <w:rPr>
                <w:caps w:val="false"/>
                <w:smallCaps w:val="false"/>
              </w:rPr>
              <w:t> </w:t>
            </w:r>
          </w:p>
        </w:tc>
        <w:tc>
          <w:tcPr>
            <w:tcW w:w="98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8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significant changes in the credit period granted or received by the Target Co;</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caps w:val="false"/>
                <w:smallCaps w:val="false"/>
              </w:rPr>
            </w:pPr>
            <w:r>
              <w:rPr>
                <w:caps w:val="false"/>
                <w:smallCaps w:val="false"/>
              </w:rPr>
              <w:t> </w:t>
            </w:r>
          </w:p>
        </w:tc>
        <w:tc>
          <w:tcPr>
            <w:tcW w:w="98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8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statutory income tax rate and other relevant duty and tax rate for the Target Co will remain at their respective existing rates with no significant changes in the bases of taxation and there will be no significant changes in the structure which would adversely affect the cash flows of the Target Co;</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caps w:val="false"/>
                <w:smallCaps w:val="false"/>
              </w:rPr>
            </w:pPr>
            <w:r>
              <w:rPr>
                <w:caps w:val="false"/>
                <w:smallCaps w:val="false"/>
              </w:rPr>
              <w:t> </w:t>
            </w:r>
          </w:p>
        </w:tc>
        <w:tc>
          <w:tcPr>
            <w:tcW w:w="98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8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material adverse effect from service disruptions, equipment or network breakdown or other similar occurrences, wars, epidemic, terrorist attacks and other natural risks, both domestic and foreign, which will adversely affect the operations, income and expenditure of the Target Co;</w:t>
            </w:r>
          </w:p>
        </w:tc>
      </w:tr>
    </w:tbl>
    <w:p>
      <w:pPr>
        <w:pStyle w:val="TextBody"/>
        <w:bidi w:val="0"/>
        <w:spacing w:before="0" w:after="283"/>
        <w:jc w:val="left"/>
        <w:rPr/>
      </w:pPr>
      <w:r>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B-12</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right"/>
        <w:rPr/>
      </w:pPr>
      <w:r>
        <w:rPr/>
        <w:drawing>
          <wp:inline distT="0" distB="0" distL="0" distR="0">
            <wp:extent cx="952500" cy="15906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952500" cy="1590675"/>
                    </a:xfrm>
                    <a:prstGeom prst="rect">
                      <a:avLst/>
                    </a:prstGeom>
                  </pic:spPr>
                </pic:pic>
              </a:graphicData>
            </a:graphic>
          </wp:inline>
        </w:drawing>
      </w:r>
    </w:p>
    <w:p>
      <w:pPr>
        <w:pStyle w:val="TextBody"/>
        <w:bidi w:val="0"/>
        <w:jc w:val="right"/>
        <w:rPr/>
      </w:pPr>
      <w:r>
        <w:rPr/>
        <w:t> </w:t>
      </w:r>
    </w:p>
    <w:tbl>
      <w:tblPr>
        <w:tblW w:w="10205" w:type="dxa"/>
        <w:jc w:val="left"/>
        <w:tblInd w:w="0" w:type="dxa"/>
        <w:tblLayout w:type="fixed"/>
        <w:tblCellMar>
          <w:top w:w="0" w:type="dxa"/>
          <w:left w:w="0" w:type="dxa"/>
          <w:bottom w:w="0" w:type="dxa"/>
          <w:right w:w="0" w:type="dxa"/>
        </w:tblCellMar>
      </w:tblPr>
      <w:tblGrid>
        <w:gridCol w:w="75"/>
        <w:gridCol w:w="390"/>
        <w:gridCol w:w="9740"/>
      </w:tblGrid>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of inflation will not fluctuate significantly from their projected levels;</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caps w:val="false"/>
                <w:smallCaps w:val="false"/>
              </w:rPr>
            </w:pPr>
            <w:r>
              <w:rPr>
                <w:caps w:val="false"/>
                <w:smallCaps w:val="false"/>
              </w:rPr>
              <w:t> </w:t>
            </w:r>
          </w:p>
        </w:tc>
        <w:tc>
          <w:tcPr>
            <w:tcW w:w="97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rate between USD, RM and the various currencies in which the Target Co derives its income/expenses in will not fluctuate significantly from their projected levels;</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caps w:val="false"/>
                <w:smallCaps w:val="false"/>
              </w:rPr>
            </w:pPr>
            <w:r>
              <w:rPr>
                <w:caps w:val="false"/>
                <w:smallCaps w:val="false"/>
              </w:rPr>
              <w:t> </w:t>
            </w:r>
          </w:p>
        </w:tc>
        <w:tc>
          <w:tcPr>
            <w:tcW w:w="97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estimation made by the Management, there will be no substantial impairment to the carrying value of the Target Co’s investment, property, plant and equipment and other assets;</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caps w:val="false"/>
                <w:smallCaps w:val="false"/>
              </w:rPr>
            </w:pPr>
            <w:r>
              <w:rPr>
                <w:caps w:val="false"/>
                <w:smallCaps w:val="false"/>
              </w:rPr>
              <w:t> </w:t>
            </w:r>
          </w:p>
        </w:tc>
        <w:tc>
          <w:tcPr>
            <w:tcW w:w="97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significant changes in wages, supplies, administration, overhead expenses and other costs other than those forecasted and projected;</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caps w:val="false"/>
                <w:smallCaps w:val="false"/>
              </w:rPr>
            </w:pPr>
            <w:r>
              <w:rPr>
                <w:caps w:val="false"/>
                <w:smallCaps w:val="false"/>
              </w:rPr>
              <w:t> </w:t>
            </w:r>
          </w:p>
        </w:tc>
        <w:tc>
          <w:tcPr>
            <w:tcW w:w="97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termination of any significant agreements or contracts from which the legal rights accruing to the Target Co, in respect of the principal activities are derived; Such agreements or contracts are assumed to be renewed based on current terms upon expiry;</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caps w:val="false"/>
                <w:smallCaps w:val="false"/>
              </w:rPr>
            </w:pPr>
            <w:r>
              <w:rPr>
                <w:caps w:val="false"/>
                <w:smallCaps w:val="false"/>
              </w:rPr>
              <w:t> </w:t>
            </w:r>
          </w:p>
        </w:tc>
        <w:tc>
          <w:tcPr>
            <w:tcW w:w="97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adequate supply of manpower and other relevant resources to the Target Co for its business activities; and</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caps w:val="false"/>
                <w:smallCaps w:val="false"/>
              </w:rPr>
            </w:pPr>
            <w:r>
              <w:rPr>
                <w:caps w:val="false"/>
                <w:smallCaps w:val="false"/>
              </w:rPr>
              <w:t> </w:t>
            </w:r>
          </w:p>
        </w:tc>
        <w:tc>
          <w:tcPr>
            <w:tcW w:w="97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major legal proceedings against the Target Co which will adversely affect the activities or performance of the Target Co or give rise to any contingent liability which will materially affect the financial position or business of the Target Co.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Evaluation of the Fairness of the Purchase Considerations</w:t>
      </w:r>
    </w:p>
    <w:p>
      <w:pPr>
        <w:pStyle w:val="TextBody"/>
        <w:bidi w:val="0"/>
        <w:spacing w:before="0" w:after="0"/>
        <w:ind w:left="448"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fairness of the Purchase Consideration, and based on the Discounted FCFF Methodology using the Future Financials as provided by the Management and the inputs from the Comparable Companies, the following were noted: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666"/>
        <w:gridCol w:w="60"/>
        <w:gridCol w:w="90"/>
        <w:gridCol w:w="845"/>
        <w:gridCol w:w="613"/>
        <w:gridCol w:w="60"/>
        <w:gridCol w:w="91"/>
        <w:gridCol w:w="859"/>
        <w:gridCol w:w="613"/>
        <w:gridCol w:w="60"/>
        <w:gridCol w:w="102"/>
        <w:gridCol w:w="953"/>
        <w:gridCol w:w="613"/>
        <w:gridCol w:w="60"/>
        <w:gridCol w:w="86"/>
        <w:gridCol w:w="804"/>
        <w:gridCol w:w="630"/>
      </w:tblGrid>
      <w:tr>
        <w:trPr/>
        <w:tc>
          <w:tcPr>
            <w:tcW w:w="3666"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WACC Inputs</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Malaysia</w:t>
            </w:r>
          </w:p>
        </w:tc>
        <w:tc>
          <w:tcPr>
            <w:tcW w:w="61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Thailand</w:t>
            </w:r>
          </w:p>
        </w:tc>
        <w:tc>
          <w:tcPr>
            <w:tcW w:w="61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Philippine</w:t>
            </w:r>
          </w:p>
        </w:tc>
        <w:tc>
          <w:tcPr>
            <w:tcW w:w="61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Vietnam</w:t>
            </w:r>
          </w:p>
        </w:tc>
        <w:tc>
          <w:tcPr>
            <w:tcW w:w="630" w:type="dxa"/>
            <w:tcBorders/>
            <w:tcMar>
              <w:bottom w:w="0" w:type="dxa"/>
            </w:tcMar>
            <w:vAlign w:val="center"/>
          </w:tcPr>
          <w:p>
            <w:pPr>
              <w:pStyle w:val="TableContents"/>
              <w:bidi w:val="0"/>
              <w:spacing w:before="0" w:after="283"/>
              <w:jc w:val="left"/>
              <w:rPr/>
            </w:pPr>
            <w:r>
              <w:rPr/>
              <w:t> </w:t>
            </w:r>
          </w:p>
        </w:tc>
      </w:tr>
      <w:tr>
        <w:trPr/>
        <w:tc>
          <w:tcPr>
            <w:tcW w:w="366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Median Net Debt/Equity Ratio of Comparable Companies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79" w:type="dxa"/>
            <w:gridSpan w:val="15"/>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20.87%</w:t>
            </w:r>
          </w:p>
        </w:tc>
      </w:tr>
      <w:tr>
        <w:trPr/>
        <w:tc>
          <w:tcPr>
            <w:tcW w:w="3666"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3.57</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[1]</w:t>
            </w:r>
            <w:r>
              <w:rPr>
                <w:rFonts w:ascii="Times New Roman;Times;Serif" w:hAnsi="Times New Roman;Times;Serif"/>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85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2.29</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[2]</w:t>
            </w:r>
            <w:r>
              <w:rPr>
                <w:rFonts w:ascii="Times New Roman;Times;Serif" w:hAnsi="Times New Roman;Times;Serif"/>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95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7.37</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[3]</w:t>
            </w:r>
            <w:r>
              <w:rPr>
                <w:rFonts w:ascii="Times New Roman;Times;Serif" w:hAnsi="Times New Roman;Times;Serif"/>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0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4.38</w:t>
            </w:r>
          </w:p>
        </w:tc>
        <w:tc>
          <w:tcPr>
            <w:tcW w:w="6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[4]</w:t>
            </w:r>
            <w:r>
              <w:rPr>
                <w:rFonts w:ascii="Times New Roman;Times;Serif" w:hAnsi="Times New Roman;Times;Serif"/>
              </w:rPr>
              <w:t> </w:t>
            </w:r>
          </w:p>
        </w:tc>
      </w:tr>
      <w:tr>
        <w:trPr/>
        <w:tc>
          <w:tcPr>
            <w:tcW w:w="366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Market return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9.65</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[5]</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85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8.59</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[6]</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5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14.06</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[6]</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0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12.51</w:t>
            </w:r>
          </w:p>
        </w:tc>
        <w:tc>
          <w:tcPr>
            <w:tcW w:w="6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[6]</w:t>
            </w:r>
            <w:r>
              <w:rPr>
                <w:rFonts w:ascii="Times New Roman;Times;Serif" w:hAnsi="Times New Roman;Times;Serif"/>
              </w:rPr>
              <w:t> </w:t>
            </w:r>
          </w:p>
        </w:tc>
      </w:tr>
      <w:tr>
        <w:trPr/>
        <w:tc>
          <w:tcPr>
            <w:tcW w:w="366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Re-geared Beta </w:t>
            </w:r>
            <w:r>
              <w:rPr>
                <w:rFonts w:ascii="Times New Roman;Times;Serif" w:hAnsi="Times New Roman;Times;Serif"/>
                <w:position w:val="7"/>
                <w:sz w:val="16"/>
                <w:sz w:val="20"/>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w:t>
            </w:r>
          </w:p>
        </w:tc>
        <w:tc>
          <w:tcPr>
            <w:tcW w:w="61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85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w:t>
            </w:r>
          </w:p>
        </w:tc>
        <w:tc>
          <w:tcPr>
            <w:tcW w:w="61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95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w:t>
            </w:r>
          </w:p>
        </w:tc>
        <w:tc>
          <w:tcPr>
            <w:tcW w:w="61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0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w:t>
            </w:r>
          </w:p>
        </w:tc>
        <w:tc>
          <w:tcPr>
            <w:tcW w:w="630" w:type="dxa"/>
            <w:tcBorders/>
            <w:shd w:fill="FFFFFF" w:val="clear"/>
            <w:tcMar>
              <w:bottom w:w="0" w:type="dxa"/>
            </w:tcMar>
            <w:vAlign w:val="center"/>
          </w:tcPr>
          <w:p>
            <w:pPr>
              <w:pStyle w:val="TableContents"/>
              <w:bidi w:val="0"/>
              <w:spacing w:before="0" w:after="283"/>
              <w:jc w:val="left"/>
              <w:rPr/>
            </w:pPr>
            <w:r>
              <w:rPr/>
              <w:t> </w:t>
            </w:r>
          </w:p>
        </w:tc>
      </w:tr>
      <w:tr>
        <w:trPr/>
        <w:tc>
          <w:tcPr>
            <w:tcW w:w="366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Country risk premium</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1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85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2.07</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5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[8]</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0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3.90</w:t>
            </w:r>
          </w:p>
        </w:tc>
        <w:tc>
          <w:tcPr>
            <w:tcW w:w="6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[8]</w:t>
            </w:r>
            <w:r>
              <w:rPr>
                <w:rFonts w:ascii="Times New Roman;Times;Serif" w:hAnsi="Times New Roman;Times;Serif"/>
              </w:rPr>
              <w:t> </w:t>
            </w:r>
          </w:p>
        </w:tc>
      </w:tr>
      <w:tr>
        <w:trPr/>
        <w:tc>
          <w:tcPr>
            <w:tcW w:w="366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Illiquidity Premium </w:t>
            </w:r>
            <w:r>
              <w:rPr>
                <w:rFonts w:ascii="Times New Roman;Times;Serif" w:hAnsi="Times New Roman;Times;Serif"/>
                <w:position w:val="7"/>
                <w:sz w:val="16"/>
                <w:sz w:val="20"/>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85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95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0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6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66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equity derived using CAPM</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14.69</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85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15.79</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5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21.65</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0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21.87</w:t>
            </w:r>
          </w:p>
        </w:tc>
        <w:tc>
          <w:tcPr>
            <w:tcW w:w="6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666"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Post tax cost of debt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4.94</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[10]</w:t>
            </w:r>
            <w:r>
              <w:rPr>
                <w:rFonts w:ascii="Times New Roman;Times;Serif" w:hAnsi="Times New Roman;Times;Serif"/>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85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6.01</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[11]</w:t>
            </w:r>
            <w:r>
              <w:rPr>
                <w:rFonts w:ascii="Times New Roman;Times;Serif" w:hAnsi="Times New Roman;Times;Serif"/>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95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5.34</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[11]</w:t>
            </w:r>
            <w:r>
              <w:rPr>
                <w:rFonts w:ascii="Times New Roman;Times;Serif" w:hAnsi="Times New Roman;Times;Serif"/>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0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3.60</w:t>
            </w:r>
          </w:p>
        </w:tc>
        <w:tc>
          <w:tcPr>
            <w:tcW w:w="6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[11]</w:t>
            </w:r>
            <w:r>
              <w:rPr>
                <w:rFonts w:ascii="Times New Roman;Times;Serif" w:hAnsi="Times New Roman;Times;Serif"/>
              </w:rPr>
              <w:t> </w:t>
            </w:r>
          </w:p>
        </w:tc>
      </w:tr>
      <w:tr>
        <w:trPr/>
        <w:tc>
          <w:tcPr>
            <w:tcW w:w="366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WACC</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13.01</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85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15.79</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5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18.83</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0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18.72</w:t>
            </w:r>
          </w:p>
        </w:tc>
        <w:tc>
          <w:tcPr>
            <w:tcW w:w="6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p>
      <w:pPr>
        <w:pStyle w:val="TextBody"/>
        <w:bidi w:val="0"/>
        <w:spacing w:before="0" w:after="0"/>
        <w:ind w:left="44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4"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w:t>
            </w:r>
          </w:p>
        </w:tc>
        <w:tc>
          <w:tcPr>
            <w:tcW w:w="991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risk-free rate for Malaysia as extracted from http://www.bnm.gov.my. This risk-free rate is based on the yield of ten (10) years Malaysian Government Securities as at Date of Opinion.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4"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w:t>
            </w:r>
          </w:p>
        </w:tc>
        <w:tc>
          <w:tcPr>
            <w:tcW w:w="991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risk-free rate for Thailand as extracted from http://www.tradingeconomics.com. The risk-free rate is based on the yield of Thailand’s 10-Year Bond Yield as at the Date of Opinion.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4"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w:t>
            </w:r>
          </w:p>
        </w:tc>
        <w:tc>
          <w:tcPr>
            <w:tcW w:w="991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risk-free rate for Philippine as extracted from http://www.worldgovernmentbonds.com. The risk-free rate is based on the yield of Philippine’s 10-Year Bond Yield as at the Date of Opinion.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4"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991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risk-free rate for Vietnam as extracted from http://www.tradingeconomics.com. The risk-free rate is based on the yield of Vietnam’s 10-Year Bond Yield as at the Date of Opinion.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4"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w:t>
            </w:r>
          </w:p>
        </w:tc>
        <w:tc>
          <w:tcPr>
            <w:tcW w:w="991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historical average market return for Malaysia as extracted from Bloomberg. The historical average market return is based on the average return of FTSE Bursa Malaysia Top 100 Index for the past ten (10) years extracted on the Date of Opinion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4"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w:t>
            </w:r>
          </w:p>
        </w:tc>
        <w:tc>
          <w:tcPr>
            <w:tcW w:w="991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equity risk premium for United States of America (“USA”) as extracted from http://pages.stern.nyu.edu/~adamodar/ as at the Date of Opinion. The equity risk premium for USA is applied on the basis that the Comparable Companies selected are international, hence they are benchmarked against the equity risk premium of a mature market. Subsequently, a country risk premium is applied as disclosed under Thailand, Philippine and Vietnam’s country risk premium.</w:t>
            </w:r>
          </w:p>
        </w:tc>
      </w:tr>
    </w:tbl>
    <w:p>
      <w:pPr>
        <w:pStyle w:val="TextBody"/>
        <w:bidi w:val="0"/>
        <w:spacing w:before="0" w:after="283"/>
        <w:jc w:val="left"/>
        <w:rPr/>
      </w:pPr>
      <w:r>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B-13</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right"/>
        <w:rPr/>
      </w:pPr>
      <w:r>
        <w:rPr/>
        <w:drawing>
          <wp:inline distT="0" distB="0" distL="0" distR="0">
            <wp:extent cx="952500" cy="15906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952500" cy="1590675"/>
                    </a:xfrm>
                    <a:prstGeom prst="rect">
                      <a:avLst/>
                    </a:prstGeom>
                  </pic:spPr>
                </pic:pic>
              </a:graphicData>
            </a:graphic>
          </wp:inline>
        </w:drawing>
      </w:r>
    </w:p>
    <w:p>
      <w:pPr>
        <w:pStyle w:val="TextBody"/>
        <w:bidi w:val="0"/>
        <w:jc w:val="right"/>
        <w:rPr/>
      </w:pPr>
      <w:r>
        <w:rPr/>
        <w:t> </w:t>
      </w:r>
    </w:p>
    <w:tbl>
      <w:tblPr>
        <w:tblW w:w="10205" w:type="dxa"/>
        <w:jc w:val="left"/>
        <w:tblInd w:w="0" w:type="dxa"/>
        <w:tblLayout w:type="fixed"/>
        <w:tblCellMar>
          <w:top w:w="0" w:type="dxa"/>
          <w:left w:w="0" w:type="dxa"/>
          <w:bottom w:w="0" w:type="dxa"/>
          <w:right w:w="0" w:type="dxa"/>
        </w:tblCellMar>
      </w:tblPr>
      <w:tblGrid>
        <w:gridCol w:w="75"/>
        <w:gridCol w:w="338"/>
        <w:gridCol w:w="979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w:t>
            </w:r>
          </w:p>
        </w:tc>
        <w:tc>
          <w:tcPr>
            <w:tcW w:w="9792"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Re-geared beta is arrived at based on the net debt/equity ratio of Comparable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[8]</w:t>
            </w:r>
          </w:p>
        </w:tc>
        <w:tc>
          <w:tcPr>
            <w:tcW w:w="9792"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country risk premium for Thailand, Philippine and Vietnam as extracted from http://pages.stern.nyu.edu/~adamodar/ as at the Date of Opinion.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[9]</w:t>
            </w:r>
          </w:p>
        </w:tc>
        <w:tc>
          <w:tcPr>
            <w:tcW w:w="9792"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An illiquidity premium of 4.0% had been applied to derive the discount rate using CAPM to account for the lack of marketability and unsystematic risk as extracted from </w:t>
            </w:r>
            <w:r>
              <w:rPr>
                <w:rFonts w:ascii="Times New Roman;Times;Serif" w:hAnsi="Times New Roman;Times;Serif"/>
                <w:b w:val="false"/>
                <w:i/>
                <w:caps w:val="false"/>
                <w:smallCaps w:val="false"/>
                <w:sz w:val="20"/>
                <w:u w:val="single"/>
              </w:rPr>
              <w:t>http://people.stern.nyu.edu/adamodar/pdfiles/country/illiquidity.pdf.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[10]</w:t>
            </w:r>
          </w:p>
        </w:tc>
        <w:tc>
          <w:tcPr>
            <w:tcW w:w="9792"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lending rate as extracted from Bank Negara Malaysia.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[11]</w:t>
            </w:r>
          </w:p>
        </w:tc>
        <w:tc>
          <w:tcPr>
            <w:tcW w:w="9792"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Thailand Bank Lending Rate, Philippine Bank Lending Rate and Vietnam Bank Lending Rate as extracted from www.ceidata.com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Terminal value is mainly computed via one of the three (3) approaches, which is (a) liquidation value (b) multiple approach or (c) stable growth approach. For the purpose of this valuation, we have used the stable growth model to compute the terminal value as this usually applies to companies that are growing but on a moderate pace.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terminal value is computed based on the FCFF for the FYE 2029 at a terminal growth rate of nil, taking into consideration the risk of external factors that may directly or indirectly affect the business of the Target 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terminal value of the Target Co adopted in the Discounted FCFF Methodology is computed based on the parameters as stated below:-</w:t>
      </w:r>
    </w:p>
    <w:p>
      <w:pPr>
        <w:pStyle w:val="TextBody"/>
        <w:bidi w:val="0"/>
        <w:spacing w:before="0" w:after="0"/>
        <w:ind w:left="0" w:right="0" w:hanging="0"/>
        <w:jc w:val="both"/>
        <w:rPr>
          <w:caps w:val="false"/>
          <w:smallCaps w:val="false"/>
        </w:rPr>
      </w:pPr>
      <w:r>
        <w:rPr>
          <w:caps w:val="false"/>
          <w:smallCaps w:val="false"/>
        </w:rPr>
        <w:t> </w:t>
      </w:r>
    </w:p>
    <w:tbl>
      <w:tblPr>
        <w:tblW w:w="3270" w:type="dxa"/>
        <w:jc w:val="left"/>
        <w:tblInd w:w="0" w:type="dxa"/>
        <w:tblLayout w:type="fixed"/>
        <w:tblCellMar>
          <w:top w:w="0" w:type="dxa"/>
          <w:left w:w="0" w:type="dxa"/>
          <w:bottom w:w="0" w:type="dxa"/>
          <w:right w:w="0" w:type="dxa"/>
        </w:tblCellMar>
      </w:tblPr>
      <w:tblGrid>
        <w:gridCol w:w="1520"/>
        <w:gridCol w:w="155"/>
        <w:gridCol w:w="1595"/>
      </w:tblGrid>
      <w:tr>
        <w:trPr/>
        <w:tc>
          <w:tcPr>
            <w:tcW w:w="1520"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Terminal Value</w:t>
            </w:r>
          </w:p>
        </w:tc>
        <w:tc>
          <w:tcPr>
            <w:tcW w:w="15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t>
            </w:r>
          </w:p>
        </w:tc>
        <w:tc>
          <w:tcPr>
            <w:tcW w:w="15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i/>
              </w:rPr>
            </w:pPr>
            <w:r>
              <w:rPr>
                <w:rFonts w:ascii="Times New Roman;Times;Serif" w:hAnsi="Times New Roman;Times;Serif"/>
                <w:i/>
              </w:rPr>
              <w:t>FCFFn X (1+g)</w:t>
            </w:r>
          </w:p>
        </w:tc>
      </w:tr>
      <w:tr>
        <w:trPr/>
        <w:tc>
          <w:tcPr>
            <w:tcW w:w="15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center"/>
              <w:rPr>
                <w:rFonts w:ascii="Times New Roman;Times;Serif" w:hAnsi="Times New Roman;Times;Serif"/>
                <w:i/>
              </w:rPr>
            </w:pPr>
            <w:r>
              <w:rPr>
                <w:rFonts w:ascii="Times New Roman;Times;Serif" w:hAnsi="Times New Roman;Times;Serif"/>
                <w:i/>
              </w:rPr>
              <w:t>WACC-g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Where;</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 = represent time, last year of the Future Financials</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WACC =Discount rate derived using WACC</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 = terminal growth rate</w:t>
      </w:r>
    </w:p>
    <w:p>
      <w:pPr>
        <w:pStyle w:val="TextBody"/>
        <w:bidi w:val="0"/>
        <w:spacing w:before="0" w:after="0"/>
        <w:ind w:left="448"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B-14</w:t>
            </w:r>
          </w:p>
        </w:tc>
      </w:tr>
    </w:tbl>
    <w:p>
      <w:pPr>
        <w:pStyle w:val="TextBody"/>
        <w:bidi w:val="0"/>
        <w:spacing w:before="0" w:after="0"/>
        <w:ind w:left="0" w:right="0" w:hanging="0"/>
        <w:jc w:val="left"/>
        <w:rPr/>
      </w:pPr>
      <w:r>
        <w:rPr/>
        <w:t> </w:t>
      </w:r>
    </w:p>
    <w:p>
      <w:pPr>
        <w:pStyle w:val="TextBody"/>
        <w:bidi w:val="0"/>
        <w:spacing w:before="0" w:after="0"/>
        <w:ind w:left="448" w:right="0" w:hanging="0"/>
        <w:jc w:val="both"/>
        <w:rPr>
          <w:caps w:val="false"/>
          <w:smallCaps w:val="false"/>
        </w:rPr>
      </w:pPr>
      <w:r>
        <w:rPr>
          <w:caps w:val="false"/>
          <w:smallCaps w:val="false"/>
        </w:rPr>
        <w:t> </w:t>
      </w:r>
    </w:p>
    <w:p>
      <w:pPr>
        <w:pStyle w:val="TextBody"/>
        <w:bidi w:val="0"/>
        <w:spacing w:before="0" w:after="0"/>
        <w:ind w:left="448" w:right="0" w:hanging="0"/>
        <w:jc w:val="right"/>
        <w:rPr>
          <w:caps w:val="false"/>
          <w:smallCaps w:val="false"/>
        </w:rPr>
      </w:pPr>
      <w:r>
        <w:rPr>
          <w:caps w:val="false"/>
          <w:smallCaps w:val="false"/>
        </w:rPr>
        <w:drawing>
          <wp:inline distT="0" distB="0" distL="0" distR="0">
            <wp:extent cx="952500" cy="15906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448" w:right="0" w:hanging="0"/>
        <w:jc w:val="righ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underlying assumptions of the Future Financials, we have performed a sensitivity analysis on three key parameters, namely the discount rate, terminal value and FCFF as these assumptions have significant impact on the implied valuation of the Target Co. We have stress tested the Future Financials by varying the values adopted in the discount rate, terminal value and FCFF on a 0.5% and 3.0% upward and downward variance respectively on the midpoint of the valuation to arrive at a reasonable range of equity valuation of the Target 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variance parameters for the discount rate, terminal value and FCFF are selected after considering the followings:-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0"/>
        <w:gridCol w:w="984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World Bank had projected that Malaysia’s GDP to grow by 4.4% in 2026, Thailand’s GDP to grow by 1.6% in 2026, Philippines’ GDP to grow by 4.6% in 2026 and Vietnam’s GDP to grow by 6.8% in 2026;</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annual inflation rate for Malaysia from year 2015 to 2024 is 1.9% as extracted from World Bank. Malaysia’s headline inflation rate for 2025 averaged at 1.4%;</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annual inflation rate for Thailand from year 2016 to 2025 is 1.1% as extracted from World Bank. Thailand’s average inflation rate to be between \(0.3\%\) and \(0.8\%\) for 2025;</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annual inflation rate for Philippine from year 2016 to 2025 is 3.5% as extracted from World Bank. The Philippines’ annual headline inflation rate for 2025 averaged 1.7%, falling to 1.8% by December 2025; and</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annual inflation rate for Vietnam from year 2016 to 2025 is 3.1% as extracted from World Bank. Vietnam’s headline inflation averaged 3.3% for the full year 2025.</w:t>
            </w:r>
          </w:p>
        </w:tc>
      </w:tr>
    </w:tbl>
    <w:p>
      <w:pPr>
        <w:pStyle w:val="TextBody"/>
        <w:bidi w:val="0"/>
        <w:spacing w:before="0" w:after="0"/>
        <w:ind w:left="448" w:right="166"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above, we are of the opinion that the 1.0% and 3.0% upward and downward variance adopted for the discount rate, terminal value and FCFF is reasonable to take into consideration the range of possible fluctuations in the business to not only take into consideration the potential upsides but also the downturn due to unforeseen circumstances.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of the sensitivity test is as shown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74"/>
        <w:gridCol w:w="60"/>
        <w:gridCol w:w="191"/>
        <w:gridCol w:w="1776"/>
        <w:gridCol w:w="64"/>
        <w:gridCol w:w="64"/>
        <w:gridCol w:w="193"/>
        <w:gridCol w:w="1804"/>
        <w:gridCol w:w="79"/>
      </w:tblGrid>
      <w:tr>
        <w:trPr/>
        <w:tc>
          <w:tcPr>
            <w:tcW w:w="597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center"/>
              <w:rPr/>
            </w:pPr>
            <w:r>
              <w:rPr/>
              <w:t> </w:t>
            </w:r>
          </w:p>
        </w:tc>
        <w:tc>
          <w:tcPr>
            <w:tcW w:w="409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Intrinsic value</w:t>
            </w:r>
          </w:p>
        </w:tc>
        <w:tc>
          <w:tcPr>
            <w:tcW w:w="79" w:type="dxa"/>
            <w:tcBorders/>
            <w:vAlign w:val="center"/>
          </w:tcPr>
          <w:p>
            <w:pPr>
              <w:pStyle w:val="TableContents"/>
              <w:bidi w:val="0"/>
              <w:spacing w:before="0" w:after="283"/>
              <w:jc w:val="center"/>
              <w:rPr/>
            </w:pPr>
            <w:r>
              <w:rPr/>
              <w:t> </w:t>
            </w:r>
          </w:p>
        </w:tc>
      </w:tr>
      <w:tr>
        <w:trPr/>
        <w:tc>
          <w:tcPr>
            <w:tcW w:w="597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6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Low range of value</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9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High range of value</w:t>
            </w:r>
          </w:p>
        </w:tc>
        <w:tc>
          <w:tcPr>
            <w:tcW w:w="79" w:type="dxa"/>
            <w:tcBorders/>
            <w:vAlign w:val="center"/>
          </w:tcPr>
          <w:p>
            <w:pPr>
              <w:pStyle w:val="TableContents"/>
              <w:bidi w:val="0"/>
              <w:spacing w:before="0" w:after="283"/>
              <w:jc w:val="left"/>
              <w:rPr/>
            </w:pPr>
            <w:r>
              <w:rPr/>
              <w:t> </w:t>
            </w:r>
          </w:p>
        </w:tc>
      </w:tr>
      <w:tr>
        <w:trPr/>
        <w:tc>
          <w:tcPr>
            <w:tcW w:w="597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Sensitivity test Parameters</w:t>
            </w:r>
          </w:p>
        </w:tc>
        <w:tc>
          <w:tcPr>
            <w:tcW w:w="60" w:type="dxa"/>
            <w:tcBorders/>
            <w:vAlign w:val="center"/>
          </w:tcPr>
          <w:p>
            <w:pPr>
              <w:pStyle w:val="TableContents"/>
              <w:bidi w:val="0"/>
              <w:spacing w:before="0" w:after="283"/>
              <w:jc w:val="left"/>
              <w:rPr/>
            </w:pPr>
            <w:r>
              <w:rPr/>
              <w:t> </w:t>
            </w:r>
          </w:p>
        </w:tc>
        <w:tc>
          <w:tcPr>
            <w:tcW w:w="196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USD million</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9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USD million</w:t>
            </w:r>
          </w:p>
        </w:tc>
        <w:tc>
          <w:tcPr>
            <w:tcW w:w="79" w:type="dxa"/>
            <w:tcBorders/>
            <w:vAlign w:val="center"/>
          </w:tcPr>
          <w:p>
            <w:pPr>
              <w:pStyle w:val="TableContents"/>
              <w:bidi w:val="0"/>
              <w:spacing w:before="0" w:after="283"/>
              <w:jc w:val="left"/>
              <w:rPr/>
            </w:pPr>
            <w:r>
              <w:rPr/>
              <w:t> </w:t>
            </w:r>
          </w:p>
        </w:tc>
      </w:tr>
      <w:tr>
        <w:trPr/>
        <w:tc>
          <w:tcPr>
            <w:tcW w:w="59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Movement in discount rate used (±0.5%)</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7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3,575</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8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4,087</w:t>
            </w:r>
          </w:p>
        </w:tc>
        <w:tc>
          <w:tcPr>
            <w:tcW w:w="79" w:type="dxa"/>
            <w:tcBorders/>
            <w:shd w:fill="CCEEFF" w:val="clear"/>
            <w:vAlign w:val="center"/>
          </w:tcPr>
          <w:p>
            <w:pPr>
              <w:pStyle w:val="TableContents"/>
              <w:bidi w:val="0"/>
              <w:spacing w:before="0" w:after="283"/>
              <w:jc w:val="left"/>
              <w:rPr/>
            </w:pPr>
            <w:r>
              <w:rPr/>
              <w:t> </w:t>
            </w:r>
          </w:p>
        </w:tc>
      </w:tr>
      <w:tr>
        <w:trPr/>
        <w:tc>
          <w:tcPr>
            <w:tcW w:w="59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Movement in terminal value (±3.0%) and discount rate (±0.5%)</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77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3,512</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8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4,164</w:t>
            </w:r>
          </w:p>
        </w:tc>
        <w:tc>
          <w:tcPr>
            <w:tcW w:w="79" w:type="dxa"/>
            <w:tcBorders/>
            <w:shd w:fill="FFFFFF" w:val="clear"/>
            <w:vAlign w:val="center"/>
          </w:tcPr>
          <w:p>
            <w:pPr>
              <w:pStyle w:val="TableContents"/>
              <w:bidi w:val="0"/>
              <w:spacing w:before="0" w:after="283"/>
              <w:jc w:val="left"/>
              <w:rPr/>
            </w:pPr>
            <w:r>
              <w:rPr/>
              <w:t> </w:t>
            </w:r>
          </w:p>
        </w:tc>
      </w:tr>
      <w:tr>
        <w:trPr/>
        <w:tc>
          <w:tcPr>
            <w:tcW w:w="59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Movement in FCFF (±3.0%) and discount rate (±0.5%)</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7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3,568</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8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4,094</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note that the Target Co currently has operation in Malaysia. However, based on Management’s representation and the Future Financials, the Target Co intends to diversify geographically to Thailand, Philippine and Vietnam, of which the Target Co currently has no presence or any business dealings in the respective countries. As such, certain discount for early-stage companies has to be considered.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Academic research and empirical evidence from polls on expected rates of return by venture capitalists investing in early-stage companies are a valuable resource for assessing relevant discount rates. Depending on the development stage, rates range from 70% or higher in the seed stage, falling to 20% in the late stage. While these discount rates appear high, it is important to bear in mind the high failure rates of early-stage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the Proposed Evaluation, we have applied the Start-up Discount of 50% to the fairness of the Purchase Consideration to account for the uncertainty and unsystematic risk faced by the Target Co as a start-up business, especially in another region i.e., Thailand, Philippine and Vietnam, as published by the following authors, which of the details are summarised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06"/>
        <w:gridCol w:w="60"/>
        <w:gridCol w:w="1091"/>
        <w:gridCol w:w="60"/>
        <w:gridCol w:w="7488"/>
      </w:tblGrid>
      <w:tr>
        <w:trPr/>
        <w:tc>
          <w:tcPr>
            <w:tcW w:w="1506" w:type="dxa"/>
            <w:tcBorders>
              <w:bottom w:val="single" w:sz="8"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7"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w:t>
            </w:r>
          </w:p>
        </w:tc>
        <w:tc>
          <w:tcPr>
            <w:tcW w:w="60" w:type="dxa"/>
            <w:tcBorders/>
            <w:tcMar>
              <w:bottom w:w="0" w:type="dxa"/>
            </w:tcMar>
            <w:vAlign w:val="center"/>
          </w:tcPr>
          <w:p>
            <w:pPr>
              <w:pStyle w:val="TableContents"/>
              <w:bidi w:val="0"/>
              <w:spacing w:before="0" w:after="283"/>
              <w:jc w:val="left"/>
              <w:rPr/>
            </w:pPr>
            <w:r>
              <w:rPr/>
              <w:t> </w:t>
            </w:r>
          </w:p>
        </w:tc>
        <w:tc>
          <w:tcPr>
            <w:tcW w:w="1091"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Expected rates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return in seed stage</w:t>
            </w:r>
          </w:p>
        </w:tc>
        <w:tc>
          <w:tcPr>
            <w:tcW w:w="60" w:type="dxa"/>
            <w:tcBorders/>
            <w:tcMar>
              <w:bottom w:w="0" w:type="dxa"/>
            </w:tcMar>
            <w:vAlign w:val="center"/>
          </w:tcPr>
          <w:p>
            <w:pPr>
              <w:pStyle w:val="TableContents"/>
              <w:bidi w:val="0"/>
              <w:spacing w:before="0" w:after="283"/>
              <w:jc w:val="left"/>
              <w:rPr/>
            </w:pPr>
            <w:r>
              <w:rPr/>
              <w:t> </w:t>
            </w:r>
          </w:p>
        </w:tc>
        <w:tc>
          <w:tcPr>
            <w:tcW w:w="7488" w:type="dxa"/>
            <w:tcBorders>
              <w:bottom w:val="single" w:sz="8"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Reference</w:t>
            </w:r>
          </w:p>
        </w:tc>
      </w:tr>
      <w:tr>
        <w:trPr/>
        <w:tc>
          <w:tcPr>
            <w:tcW w:w="150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Plummer / QED median</w:t>
            </w:r>
          </w:p>
        </w:tc>
        <w:tc>
          <w:tcPr>
            <w:tcW w:w="60"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50%-70%</w:t>
            </w:r>
          </w:p>
        </w:tc>
        <w:tc>
          <w:tcPr>
            <w:tcW w:w="60" w:type="dxa"/>
            <w:tcBorders/>
            <w:tcMar>
              <w:bottom w:w="0" w:type="dxa"/>
            </w:tcMar>
            <w:vAlign w:val="center"/>
          </w:tcPr>
          <w:p>
            <w:pPr>
              <w:pStyle w:val="TableContents"/>
              <w:bidi w:val="0"/>
              <w:spacing w:before="0" w:after="283"/>
              <w:jc w:val="left"/>
              <w:rPr/>
            </w:pPr>
            <w:r>
              <w:rPr/>
              <w:t> </w:t>
            </w:r>
          </w:p>
        </w:tc>
        <w:tc>
          <w:tcPr>
            <w:tcW w:w="7488"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L. Plummer, QED Report on Venture Capital Financial Analysis (Palo Alto: QED Research, Inc., 1987)</w:t>
            </w:r>
          </w:p>
        </w:tc>
      </w:tr>
      <w:tr>
        <w:trPr/>
        <w:tc>
          <w:tcPr>
            <w:tcW w:w="150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Scherlis and Sahlman</w:t>
            </w:r>
          </w:p>
        </w:tc>
        <w:tc>
          <w:tcPr>
            <w:tcW w:w="60"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50%-70%</w:t>
            </w:r>
          </w:p>
        </w:tc>
        <w:tc>
          <w:tcPr>
            <w:tcW w:w="60" w:type="dxa"/>
            <w:tcBorders/>
            <w:tcMar>
              <w:bottom w:w="0" w:type="dxa"/>
            </w:tcMar>
            <w:vAlign w:val="center"/>
          </w:tcPr>
          <w:p>
            <w:pPr>
              <w:pStyle w:val="TableContents"/>
              <w:bidi w:val="0"/>
              <w:spacing w:before="0" w:after="283"/>
              <w:jc w:val="left"/>
              <w:rPr/>
            </w:pPr>
            <w:r>
              <w:rPr/>
              <w:t> </w:t>
            </w:r>
          </w:p>
        </w:tc>
        <w:tc>
          <w:tcPr>
            <w:tcW w:w="7488"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R. Scherlis and William A. Sahlman, - A Method for Valuing High-Risk, Long Term, Investments: The Venture Capital Method, Harvard Business School Teaching Note 9-288-006 (Boston: Harvard Business School Publishing, 1989)</w:t>
            </w:r>
          </w:p>
        </w:tc>
      </w:tr>
      <w:tr>
        <w:trPr/>
        <w:tc>
          <w:tcPr>
            <w:tcW w:w="150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Sahlman, Stevenson and Bhide</w:t>
            </w:r>
          </w:p>
        </w:tc>
        <w:tc>
          <w:tcPr>
            <w:tcW w:w="60"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50%-100%</w:t>
            </w:r>
          </w:p>
        </w:tc>
        <w:tc>
          <w:tcPr>
            <w:tcW w:w="60" w:type="dxa"/>
            <w:tcBorders/>
            <w:tcMar>
              <w:bottom w:w="0" w:type="dxa"/>
            </w:tcMar>
            <w:vAlign w:val="center"/>
          </w:tcPr>
          <w:p>
            <w:pPr>
              <w:pStyle w:val="TableContents"/>
              <w:bidi w:val="0"/>
              <w:spacing w:before="0" w:after="283"/>
              <w:jc w:val="left"/>
              <w:rPr/>
            </w:pPr>
            <w:r>
              <w:rPr/>
              <w:t> </w:t>
            </w:r>
          </w:p>
        </w:tc>
        <w:tc>
          <w:tcPr>
            <w:tcW w:w="7488"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A. Sahlman, Howard H. Stevenson, Amar V. Bhide, et al., – Financing Entrepreneurial Ventures, Business Fundamental Series (Boston: Harvard Business School Publishing, 1998)</w:t>
            </w:r>
          </w:p>
        </w:tc>
      </w:tr>
      <w:tr>
        <w:trPr/>
        <w:tc>
          <w:tcPr>
            <w:tcW w:w="150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Aswath Damodaran</w:t>
            </w:r>
          </w:p>
        </w:tc>
        <w:tc>
          <w:tcPr>
            <w:tcW w:w="60"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50%-70%</w:t>
            </w:r>
          </w:p>
        </w:tc>
        <w:tc>
          <w:tcPr>
            <w:tcW w:w="60" w:type="dxa"/>
            <w:tcBorders/>
            <w:tcMar>
              <w:bottom w:w="0" w:type="dxa"/>
            </w:tcMar>
            <w:vAlign w:val="center"/>
          </w:tcPr>
          <w:p>
            <w:pPr>
              <w:pStyle w:val="TableContents"/>
              <w:bidi w:val="0"/>
              <w:spacing w:before="0" w:after="283"/>
              <w:jc w:val="left"/>
              <w:rPr/>
            </w:pPr>
            <w:r>
              <w:rPr/>
              <w:t> </w:t>
            </w:r>
          </w:p>
        </w:tc>
        <w:tc>
          <w:tcPr>
            <w:tcW w:w="7488"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Damodaran, A., 2009 - Valuing Young, Start-up and Growth Companies:</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Estimation Issues and Valuation Challenges (Stern School of Business, New York University)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Start-up-specific risks should be considered in any early-stage company valuation. Failing to appreciate a start-up’s specific risk profile can lead to inaccurate assessment of its full value potential in an exit scenario unless there is sufficient transparency of existing risks and opportunities to promote robust price negotiations.</w:t>
      </w:r>
    </w:p>
    <w:p>
      <w:pPr>
        <w:pStyle w:val="TextBody"/>
        <w:bidi w:val="0"/>
        <w:spacing w:before="0" w:after="0"/>
        <w:ind w:left="448" w:right="17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Early-stage companies typically have in common an extremely high speed of development. As the company evolves, the business model becomes more robust and operational milestones are reached, reducing the risk of the venture.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Premise on the above, the fair value of entire equity interest of the Target Co ranges from USD1.76 billion to USD2.08 billion. The Purchase Consideration falls within the ranges of values derived using the Discounted FCFF methodology, hence it is </w:t>
      </w:r>
      <w:r>
        <w:rPr>
          <w:rFonts w:ascii="Times New Roman;Times;Serif" w:hAnsi="Times New Roman;Times;Serif"/>
          <w:b/>
          <w:i w:val="false"/>
          <w:caps w:val="false"/>
          <w:smallCaps w:val="false"/>
          <w:sz w:val="20"/>
          <w:u w:val="single"/>
        </w:rPr>
        <w:t>FAIR</w:t>
      </w:r>
      <w:r>
        <w:rPr>
          <w:rFonts w:ascii="Times New Roman;Times;Serif" w:hAnsi="Times New Roman;Times;Serif"/>
          <w:b/>
          <w:i w:val="false"/>
          <w:caps w:val="false"/>
          <w:smallCaps w:val="false"/>
          <w:sz w:val="20"/>
        </w:rPr>
        <w:t xml:space="preserve"> from a financial point of view to the holders of the shares.</w:t>
      </w:r>
    </w:p>
    <w:p>
      <w:pPr>
        <w:pStyle w:val="TextBody"/>
        <w:bidi w:val="0"/>
        <w:spacing w:before="0" w:after="0"/>
        <w:ind w:left="360"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tbl>
      <w:tblPr>
        <w:tblW w:w="1540" w:type="dxa"/>
        <w:jc w:val="left"/>
        <w:tblInd w:w="0" w:type="dxa"/>
        <w:tblLayout w:type="fixed"/>
        <w:tblCellMar>
          <w:top w:w="0" w:type="dxa"/>
          <w:left w:w="0" w:type="dxa"/>
          <w:bottom w:w="0" w:type="dxa"/>
          <w:right w:w="0" w:type="dxa"/>
        </w:tblCellMar>
      </w:tblPr>
      <w:tblGrid>
        <w:gridCol w:w="185"/>
        <w:gridCol w:w="135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13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RISK FACTOR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projects start with a need for greenfield development. If the unknown risks for such projects can be systematically identified, quantified and successfully managed, the result will most likely be a successful investment, with no greater real level of investment risk than that of already operational projects. We note that the Target Co currently has operation in Malaysia. However, based on Management’s representation and the Future Financials, the Target Co intends to diversify geographically to Thailand, Philippine and Vietnam, of which the Target Co currently has no presence or any business dealings in the respective countries. We set out below are the potential risks (not exhaustive) for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Proposed Acquisition Risk</w:t>
      </w:r>
    </w:p>
    <w:p>
      <w:pPr>
        <w:pStyle w:val="TextBody"/>
        <w:bidi w:val="0"/>
        <w:spacing w:before="0" w:after="0"/>
        <w:ind w:left="448"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Proposed Acquisition is expected to contribute positively to the future earnings of the Company, there can be no assurance that the anticipated benefits from the Proposed Acquisition will be realised or that the Company will be able to generate sufficient returns from the earnings of the Target Co to offset the associated cost of acquisition incurred. In addition, any decline in economic conditions and/or change in government policies may affect the potential benefits to be derived from the Proposed Acquisition and the duration required for the Company to recoup its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Nevertheless, the management of the Company and the Board have exercised due care in considering the potential risks and benefits associated with the Proposed Acquisition and believes that the Proposed Acquisition will be earnings accretive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Achievability of the Future Financials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set out in Section 5 of this Letter, the Future Financials are prepared based on various bases and assumptions which are deemed reasonable and realistic by the Management, but nevertheless subject to certain uncertainties and contingencies which are often outside the Target Co’s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Target Co will be able to secure the market shares as predicted or transact at the predetermined market price which will result in the Future Financials not being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Government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medical waste handling is governed by strict environmental and workplace safety rules enforced by agencies such as the Environmental Protection Agency and the Occupational Safety and Health Administration, along with state and local authorities. Obtaining permits can take many months, inspections are frequent, and violations can result in substantial fines or operational shutdowns.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Capital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capital investment required also creates significant exposure, particularly the Target Co is developing a treatment facility with autoclaves or incinerators, specialized vehicles, storage systems, and high environmental liability insurance. Even a smaller hauling operation can require substantial upfront funding, and fixed costs remain high if projected client volumes do not materialize.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Operationally, the business carries elevated risk due to biohazard handling, transportation safety, equipment reliability, and the need for precise tracking systems; a single mishandling incident can trigger lawsuits and reputational damage.</w:t>
      </w:r>
    </w:p>
    <w:p>
      <w:pPr>
        <w:pStyle w:val="TextBody"/>
        <w:bidi w:val="0"/>
        <w:spacing w:before="0" w:after="0"/>
        <w:ind w:left="0"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Market Entry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demand itself is relatively stable and recession-resistant because healthcare providers consistently generate regulated waste. Overall, while the sector offers recurring revenue potential once established, the initial greenfield risk profile is high due to regulatory complexity, environmental liability, capital intensity, and competitive pressures.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Political, economic and regulatory risks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in political, economic and regulatory conditions in the United States of America, Malaysia, Thailand, Philippine and Vietnam could materially affect the financials and prospects of the Target Co. Political, economic and regulatory uncertainties include, amongst others, risks of war, changes in political state, changes in economic conditions, changes in governmental policies such as changes to labour laws, introduction of new rules or regulations, interest rates, tariff rates, fiscal and monetary policies and method of taxation.</w:t>
      </w:r>
    </w:p>
    <w:p>
      <w:pPr>
        <w:pStyle w:val="TextBody"/>
        <w:bidi w:val="0"/>
        <w:spacing w:before="0" w:after="0"/>
        <w:ind w:left="448" w:right="164"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Geopolitical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escalation of geopolitical tensions and military conflict between the United States and Iran may give rise to increased uncertainty and volatility in the global economic and financial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does not have direct operations or material assets located in the affected region, the conflict may indirectly affect the Company’s business, operations and financial performance. In particular, disruptions to global energy markets and international trade routes, including those associated with the strategic importance of the Strait of Hormuz, may lead to increased volatility in crude oil prices and shipping costs. Any sustained increase in energy prices or disruptions to global supply chains may result in higher operating costs and potential delays in procurement and logistics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conflict may contribute to broader macroeconomic uncertainties, including fluctuations in global financial markets, foreign exchange volatility and inflationary pressures, which may adversely affect business sentiment, investment flows and economic conditions in the markets in which the Company operates.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duration and outcome of the conflict remain uncertain and are beyond the control of the Company. As such, there can be no assurance that the ongoing geopolitical developments will not have a material adverse effect on the Company’s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185"/>
        <w:gridCol w:w="126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12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LIMITATION</w:t>
            </w:r>
          </w:p>
        </w:tc>
      </w:tr>
    </w:tbl>
    <w:p>
      <w:pPr>
        <w:pStyle w:val="TextBody"/>
        <w:bidi w:val="0"/>
        <w:spacing w:before="0" w:after="0"/>
        <w:ind w:left="448" w:right="165"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should be noted that the valuation in itself is highly dependent on, amongst others, the composition of business activities, scale of business operations, risk profile, assets base, accounting and tax policies, track record, future prospects, competitive environment, financial positions and that such business may have fundamentally different profitability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Discounted FCFF Methodology to a certain extent places reliance on the Future Financials, which is the net result of forecasting a range of variables for significant periods of time, most of which cannot be forecast and projected with a high degree of precision. We have not undertaken a review on the reasonableness of the Future Financials and we do not express any opinion on the achievability of the Future Financials.</w:t>
      </w:r>
    </w:p>
    <w:p>
      <w:pPr>
        <w:pStyle w:val="TextBody"/>
        <w:bidi w:val="0"/>
        <w:spacing w:before="0" w:after="0"/>
        <w:ind w:left="448" w:right="165"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B-17</w:t>
            </w:r>
          </w:p>
        </w:tc>
      </w:tr>
    </w:tbl>
    <w:p>
      <w:pPr>
        <w:pStyle w:val="TextBody"/>
        <w:bidi w:val="0"/>
        <w:spacing w:before="0" w:after="0"/>
        <w:ind w:left="0" w:right="0" w:hanging="0"/>
        <w:jc w:val="left"/>
        <w:rPr/>
      </w:pPr>
      <w:r>
        <w:rPr/>
        <w:t> </w:t>
      </w:r>
    </w:p>
    <w:p>
      <w:pPr>
        <w:pStyle w:val="TextBody"/>
        <w:bidi w:val="0"/>
        <w:spacing w:before="0" w:after="0"/>
        <w:ind w:left="448" w:right="165" w:hanging="0"/>
        <w:jc w:val="both"/>
        <w:rPr>
          <w:caps w:val="false"/>
          <w:smallCaps w:val="false"/>
        </w:rPr>
      </w:pPr>
      <w:r>
        <w:rPr>
          <w:caps w:val="false"/>
          <w:smallCaps w:val="false"/>
        </w:rPr>
        <w:t> </w:t>
      </w:r>
    </w:p>
    <w:p>
      <w:pPr>
        <w:pStyle w:val="TextBody"/>
        <w:bidi w:val="0"/>
        <w:spacing w:before="0" w:after="0"/>
        <w:ind w:left="448" w:right="165" w:hanging="0"/>
        <w:jc w:val="right"/>
        <w:rPr>
          <w:caps w:val="false"/>
          <w:smallCaps w:val="false"/>
        </w:rPr>
      </w:pPr>
      <w:r>
        <w:rPr>
          <w:caps w:val="false"/>
          <w:smallCaps w:val="false"/>
        </w:rPr>
        <w:drawing>
          <wp:inline distT="0" distB="0" distL="0" distR="0">
            <wp:extent cx="952500" cy="15906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448" w:right="165" w:hanging="0"/>
        <w:jc w:val="righ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In itself is highly dependent on, amongst others, the achievability of the Future Financials as well as the materialization of the bases and assumptions used therein. Key variables such as economic growth, demand, competition and regulatory policies are beyond the control of the Target Co. The Future Financials are also typically very sensitive to small changes in key variables and changes in environmental and economic conditions.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relatively small changes in key variables can have a significant impact on the output of the abovementioned valuation model. It should also be noted that the valuation may be materially or adversely affected should the actual results or events differ from any of the bases and assumptions upon.</w:t>
      </w:r>
    </w:p>
    <w:p>
      <w:pPr>
        <w:pStyle w:val="TextBody"/>
        <w:bidi w:val="0"/>
        <w:spacing w:before="0" w:after="0"/>
        <w:ind w:left="0" w:right="0" w:hanging="0"/>
        <w:jc w:val="both"/>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185"/>
        <w:gridCol w:w="132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13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CONCLUSION</w:t>
            </w:r>
          </w:p>
        </w:tc>
      </w:tr>
    </w:tbl>
    <w:p>
      <w:pPr>
        <w:pStyle w:val="TextBody"/>
        <w:bidi w:val="0"/>
        <w:spacing w:before="0" w:after="0"/>
        <w:ind w:left="448" w:right="165"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should be recognised that the valuation of any entity is always subject to a great deal of uncertainty and involves a high degree of subjectivity and element of judgement. Because of the susceptibility of valuations to inputs of the model applied, valuations can change quite quickly in response to market changes or changes in the surrounding circumstances, including the market outlook (whether in general or relating to the industry itself).</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establishing our opinion on the fairness of the Purchase Consideration, SCA has considered various valuation methodologies, which are commonly used for valuation, taking into consideration the Target Co’s future earnings generating capabilities, projected future cash flows and its sustainability as well as various business considerations and risk factors affecting its business.</w:t>
      </w:r>
    </w:p>
    <w:p>
      <w:pPr>
        <w:pStyle w:val="TextBody"/>
        <w:bidi w:val="0"/>
        <w:spacing w:before="0" w:after="0"/>
        <w:ind w:left="448" w:right="161" w:firstLine="2"/>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sole valuation methodology considered and selected by SCA to evaluate the fairness of the Purchase Consideration is based on the Discounted FCFF Methodology.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Discounted FCFF Methodology to a certain extend places reliance on the Future Financials, which is the net result of forecasting a range of variables for significant periods of time, most of which cannot be forecast and projected with a high degree of precision. We have not undertaken a review on the reasonableness of the Future Financials and we do not express any opinion on the achievability of the Future Financials.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variables such as economic growth, demand, competition and regulatory policies are beyond the control of the Target Co. The Future Financials are also typically very sensitive to small changes in key variables and changes in environmental and economic conditions.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relatively small changes in key variables can have a significant impact on the output of the abovementioned valuation model. As a result, the range of values that can be produced by a particular valuation model can be quite wide using combinations of assumptions which individually may appear reasonable. A degree of professional judgement is required to establish the range of values in any valuation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Premise on the above, the fair value of entire equity interest of the Target Co ranges from USD1.76 billion to USD2.08 billion. The Purchase Consideration falls within the ranges of values derived using the Discounted FCFF methodology, hence it is </w:t>
      </w:r>
      <w:r>
        <w:rPr>
          <w:rFonts w:ascii="Times New Roman;Times;Serif" w:hAnsi="Times New Roman;Times;Serif"/>
          <w:b/>
          <w:i w:val="false"/>
          <w:caps w:val="false"/>
          <w:smallCaps w:val="false"/>
          <w:sz w:val="20"/>
          <w:u w:val="single"/>
        </w:rPr>
        <w:t>FAIR</w:t>
      </w:r>
      <w:r>
        <w:rPr>
          <w:rFonts w:ascii="Times New Roman;Times;Serif" w:hAnsi="Times New Roman;Times;Serif"/>
          <w:b/>
          <w:i w:val="false"/>
          <w:caps w:val="false"/>
          <w:smallCaps w:val="false"/>
          <w:sz w:val="20"/>
        </w:rPr>
        <w:t xml:space="preserve"> from a financial point of view to the holders of the shares.</w:t>
      </w:r>
    </w:p>
    <w:p>
      <w:pPr>
        <w:pStyle w:val="TextBody"/>
        <w:bidi w:val="0"/>
        <w:spacing w:before="0" w:after="0"/>
        <w:ind w:left="0" w:right="0" w:hanging="0"/>
        <w:jc w:val="both"/>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185"/>
        <w:gridCol w:w="149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14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RESTRICTIONS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for the purpose stated herein, this Letter cannot be relied upon by any party other than the Company for its intended purposes only. Accordingly, we are not responsible or liable for any form of losses however occasioned to any third party as a result of the circulation, publication, reproduction or use of, or reliance on this Letter, in whole or in part. We are not required to give testimony or to be in attendance in court with reference to the opinion herein provided.</w:t>
      </w:r>
    </w:p>
    <w:p>
      <w:pPr>
        <w:pStyle w:val="TextBody"/>
        <w:bidi w:val="0"/>
        <w:spacing w:before="0" w:after="0"/>
        <w:ind w:left="448" w:right="166"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SCA nor any of its members or employees undertakes responsibilities arising in any way whatsoever to any person in respect of this Letter, including any error or omission therein, however caused, as a result of the unauthorised circulation, publication, reproduction or use of this Letter, or any part hereof.</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and on behalf of</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CAPITAL ADVISORY SDN BHD</w:t>
      </w:r>
    </w:p>
    <w:p>
      <w:pPr>
        <w:pStyle w:val="TextBody"/>
        <w:bidi w:val="0"/>
        <w:spacing w:before="0" w:after="0"/>
        <w:ind w:left="0" w:right="0" w:hanging="0"/>
        <w:jc w:val="both"/>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1385"/>
        <w:gridCol w:w="60"/>
        <w:gridCol w:w="1925"/>
      </w:tblGrid>
      <w:tr>
        <w:trPr/>
        <w:tc>
          <w:tcPr>
            <w:tcW w:w="13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NG WOON LIT</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TAN DAI LIANG</w:t>
            </w:r>
          </w:p>
        </w:tc>
      </w:tr>
      <w:tr>
        <w:trPr/>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Director</w:t>
            </w:r>
          </w:p>
        </w:tc>
      </w:tr>
    </w:tbl>
    <w:p>
      <w:pPr>
        <w:pStyle w:val="TextBody"/>
        <w:bidi w:val="0"/>
        <w:spacing w:before="0" w:after="0"/>
        <w:ind w:left="0"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B-18</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6.jpeg"/><Relationship Id="rId39" Type="http://schemas.openxmlformats.org/officeDocument/2006/relationships/image" Target="media/image36.jpeg"/><Relationship Id="rId40" Type="http://schemas.openxmlformats.org/officeDocument/2006/relationships/image" Target="media/image36.jpeg"/><Relationship Id="rId41" Type="http://schemas.openxmlformats.org/officeDocument/2006/relationships/image" Target="media/image36.jpeg"/><Relationship Id="rId42" Type="http://schemas.openxmlformats.org/officeDocument/2006/relationships/image" Target="media/image36.jpeg"/><Relationship Id="rId43" Type="http://schemas.openxmlformats.org/officeDocument/2006/relationships/image" Target="media/image36.jpeg"/><Relationship Id="rId44" Type="http://schemas.openxmlformats.org/officeDocument/2006/relationships/image" Target="media/image36.jpeg"/><Relationship Id="rId45" Type="http://schemas.openxmlformats.org/officeDocument/2006/relationships/image" Target="media/image36.jpeg"/><Relationship Id="rId46" Type="http://schemas.openxmlformats.org/officeDocument/2006/relationships/image" Target="media/image36.jpeg"/><Relationship Id="rId47" Type="http://schemas.openxmlformats.org/officeDocument/2006/relationships/image" Target="media/image36.jpeg"/><Relationship Id="rId48" Type="http://schemas.openxmlformats.org/officeDocument/2006/relationships/image" Target="media/image36.jpeg"/><Relationship Id="rId49" Type="http://schemas.openxmlformats.org/officeDocument/2006/relationships/image" Target="media/image36.jpeg"/><Relationship Id="rId50" Type="http://schemas.openxmlformats.org/officeDocument/2006/relationships/image" Target="media/image36.jpeg"/><Relationship Id="rId51" Type="http://schemas.openxmlformats.org/officeDocument/2006/relationships/image" Target="media/image36.jpeg"/><Relationship Id="rId52" Type="http://schemas.openxmlformats.org/officeDocument/2006/relationships/image" Target="media/image36.jpeg"/><Relationship Id="rId53" Type="http://schemas.openxmlformats.org/officeDocument/2006/relationships/image" Target="media/image36.jpeg"/><Relationship Id="rId54" Type="http://schemas.openxmlformats.org/officeDocument/2006/relationships/fontTable" Target="fontTable.xml"/><Relationship Id="rId5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190535</Words>
  <Characters>1054285</Characters>
  <CharactersWithSpaces>1252737</CharactersWithSpaces>
  <Paragraphs>29182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