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both"/>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75"/>
        <w:gridCol w:w="230"/>
        <w:gridCol w:w="98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bookmarkStart w:id="3" w:name="xdx_90D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4_edei--DocumentPeriodEndDate_c202"/>
      <w:bookmarkEnd w:id="4"/>
      <w:r>
        <w:rPr>
          <w:rFonts w:ascii="Times New Roman;Times;Serif" w:hAnsi="Times New Roman;Times;Serif"/>
          <w:b/>
          <w:i w:val="false"/>
          <w:caps w:val="false"/>
          <w:smallCaps w:val="false"/>
          <w:sz w:val="20"/>
        </w:rPr>
        <w:t xml:space="preserve">June 30, </w:t>
      </w:r>
      <w:bookmarkStart w:id="5" w:name="xdx_908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230"/>
        <w:gridCol w:w="98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bookmarkStart w:id="6" w:name="xdx_906_edei--DocumentTransitionReport_c"/>
            <w:bookmarkEnd w:id="6"/>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__________________ to 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6_edei--EntityFileNumber_c20260101"/>
      <w:bookmarkEnd w:id="7"/>
      <w:r>
        <w:rPr>
          <w:rFonts w:ascii="Times New Roman;Times;Serif" w:hAnsi="Times New Roman;Times;Serif"/>
          <w:b/>
          <w:i w:val="false"/>
          <w:caps w:val="false"/>
          <w:smallCaps w:val="false"/>
          <w:sz w:val="20"/>
        </w:rPr>
        <w:t>000-50626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8_edei--EntityRegistrantName_c2026"/>
      <w:bookmarkEnd w:id="8"/>
      <w:r>
        <w:rPr>
          <w:rFonts w:ascii="Times New Roman;Times;Serif" w:hAnsi="Times New Roman;Times;Serif"/>
          <w:b/>
          <w:i w:val="false"/>
          <w:caps w:val="false"/>
          <w:smallCaps w:val="false"/>
          <w:sz w:val="36"/>
        </w:rPr>
        <w:t>Bio Green Med Solution,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2735"/>
        <w:gridCol w:w="60"/>
        <w:gridCol w:w="1535"/>
      </w:tblGrid>
      <w:tr>
        <w:trPr/>
        <w:tc>
          <w:tcPr>
            <w:tcW w:w="27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B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3_edei--EntityTaxIdentificationNum"/>
            <w:bookmarkEnd w:id="10"/>
            <w:r>
              <w:rPr>
                <w:rFonts w:ascii="Times New Roman;Times;Serif" w:hAnsi="Times New Roman;Times;Serif"/>
                <w:b/>
                <w:i w:val="false"/>
                <w:caps w:val="false"/>
                <w:smallCaps w:val="false"/>
                <w:sz w:val="20"/>
              </w:rPr>
              <w:t>91-1707622</w:t>
            </w:r>
          </w:p>
        </w:tc>
      </w:tr>
      <w:tr>
        <w:trPr/>
        <w:tc>
          <w:tcPr>
            <w:tcW w:w="27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3560"/>
        <w:gridCol w:w="60"/>
        <w:gridCol w:w="920"/>
      </w:tblGrid>
      <w:tr>
        <w:trPr/>
        <w:tc>
          <w:tcPr>
            <w:tcW w:w="35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1_edei--EntityAddressAddressLine1_"/>
            <w:bookmarkEnd w:id="11"/>
            <w:r>
              <w:rPr>
                <w:rFonts w:ascii="Times New Roman;Times;Serif" w:hAnsi="Times New Roman;Times;Serif"/>
                <w:b/>
                <w:i w:val="false"/>
                <w:caps w:val="false"/>
                <w:smallCaps w:val="false"/>
                <w:sz w:val="20"/>
              </w:rPr>
              <w:t xml:space="preserve">Level 10, Tower 11, </w:t>
            </w:r>
            <w:bookmarkStart w:id="12" w:name="xdx_906_edei--EntityAddressAddressLine2_"/>
            <w:bookmarkEnd w:id="12"/>
            <w:r>
              <w:rPr>
                <w:rFonts w:ascii="Times New Roman;Times;Serif" w:hAnsi="Times New Roman;Times;Serif"/>
                <w:b/>
                <w:i w:val="false"/>
                <w:caps w:val="false"/>
                <w:smallCaps w:val="false"/>
                <w:sz w:val="20"/>
              </w:rPr>
              <w:t>Avenue 5, No. 8</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3" w:name="xdx_90C_edei--EntityAddressAddressLine3_"/>
            <w:bookmarkEnd w:id="13"/>
            <w:r>
              <w:rPr>
                <w:rFonts w:ascii="Times New Roman;Times;Serif" w:hAnsi="Times New Roman;Times;Serif"/>
                <w:b/>
                <w:i w:val="false"/>
                <w:caps w:val="false"/>
                <w:smallCaps w:val="false"/>
                <w:sz w:val="20"/>
              </w:rPr>
              <w:t xml:space="preserve">Jalan Kerinchi, </w:t>
            </w:r>
            <w:bookmarkStart w:id="14" w:name="xdx_90C_edei--EntityAddressCityOrTown_c2"/>
            <w:bookmarkEnd w:id="14"/>
            <w:r>
              <w:rPr>
                <w:rFonts w:ascii="Times New Roman;Times;Serif" w:hAnsi="Times New Roman;Times;Serif"/>
                <w:b/>
                <w:i w:val="false"/>
                <w:caps w:val="false"/>
                <w:smallCaps w:val="false"/>
                <w:sz w:val="20"/>
              </w:rPr>
              <w:t xml:space="preserve">Kuala Lumpur, </w:t>
            </w:r>
            <w:bookmarkStart w:id="15" w:name="xdx_901_edei--EntityAddressCountry_c2026"/>
            <w:bookmarkEnd w:id="15"/>
            <w:r>
              <w:rPr>
                <w:rFonts w:ascii="Times New Roman;Times;Serif" w:hAnsi="Times New Roman;Times;Serif"/>
                <w:b/>
                <w:i w:val="false"/>
                <w:caps w:val="false"/>
                <w:smallCaps w:val="false"/>
                <w:sz w:val="20"/>
              </w:rPr>
              <w:t>Malaysia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6" w:name="xdx_90A_edei--EntityAddressPostalZipCode"/>
            <w:bookmarkEnd w:id="16"/>
            <w:r>
              <w:rPr>
                <w:rFonts w:ascii="Times New Roman;Times;Serif" w:hAnsi="Times New Roman;Times;Serif"/>
                <w:b/>
                <w:i w:val="false"/>
                <w:caps w:val="false"/>
                <w:smallCaps w:val="false"/>
                <w:sz w:val="20"/>
              </w:rPr>
              <w:t>59200</w:t>
            </w:r>
          </w:p>
        </w:tc>
      </w:tr>
      <w:tr>
        <w:trPr/>
        <w:tc>
          <w:tcPr>
            <w:tcW w:w="35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7" w:name="xdx_90F_edei--CityAreaCode_c20260101__20"/>
      <w:bookmarkEnd w:id="17"/>
      <w:r>
        <w:rPr>
          <w:rFonts w:ascii="Times New Roman;Times;Serif" w:hAnsi="Times New Roman;Times;Serif"/>
          <w:b/>
          <w:i w:val="false"/>
          <w:caps w:val="false"/>
          <w:smallCaps w:val="false"/>
          <w:sz w:val="20"/>
        </w:rPr>
        <w:t xml:space="preserve">(908) </w:t>
      </w:r>
      <w:bookmarkStart w:id="18" w:name="xdx_900_edei--LocalPhoneNumber_c20260101"/>
      <w:bookmarkEnd w:id="18"/>
      <w:r>
        <w:rPr>
          <w:rFonts w:ascii="Times New Roman;Times;Serif" w:hAnsi="Times New Roman;Times;Serif"/>
          <w:b/>
          <w:i w:val="false"/>
          <w:caps w:val="false"/>
          <w:smallCaps w:val="false"/>
          <w:sz w:val="20"/>
        </w:rPr>
        <w:t>955-0526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Cyclacel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8_edei--Security12bTitle_c20260101"/>
            <w:bookmarkEnd w:id="19"/>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7_edei--TradingSymbol_c20260101__2"/>
            <w:bookmarkEnd w:id="20"/>
            <w:r>
              <w:rPr>
                <w:rFonts w:ascii="Times New Roman;Times;Serif" w:hAnsi="Times New Roman;Times;Serif"/>
                <w:b w:val="false"/>
                <w:i w:val="false"/>
                <w:caps w:val="false"/>
                <w:smallCaps w:val="false"/>
                <w:sz w:val="20"/>
              </w:rPr>
              <w:t>BGMS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D_edei--SecurityExchangeName_c2026"/>
            <w:bookmarkEnd w:id="21"/>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2" w:name="xdx_90C_edei--EntityCurrentReportingStat"/>
      <w:bookmarkEnd w:id="22"/>
      <w:r>
        <w:rPr>
          <w:rFonts w:ascii="Times New Roman;Times;Serif" w:hAnsi="Times New Roman;Times;Serif"/>
          <w:b w:val="false"/>
          <w:i w:val="false"/>
          <w:caps w:val="false"/>
          <w:smallCaps w:val="false"/>
          <w:sz w:val="20"/>
        </w:rPr>
        <w:t>Yes ☒ No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3" w:name="xdx_908_edei--EntityInteractiveDataCurre"/>
      <w:bookmarkEnd w:id="23"/>
      <w:r>
        <w:rPr>
          <w:rFonts w:ascii="Times New Roman;Times;Serif" w:hAnsi="Times New Roman;Times;Serif"/>
          <w:b w:val="false"/>
          <w:i w:val="false"/>
          <w:caps w:val="false"/>
          <w:smallCaps w:val="false"/>
          <w:sz w:val="20"/>
        </w:rPr>
        <w:t>Yes ☒ No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firstLine="72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060"/>
        <w:gridCol w:w="60"/>
        <w:gridCol w:w="2465"/>
      </w:tblGrid>
      <w:tr>
        <w:trPr/>
        <w:tc>
          <w:tcPr>
            <w:tcW w:w="20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6_edei--EntityFilerCategory_c20260"/>
            <w:bookmarkEnd w:id="24"/>
            <w:r>
              <w:rPr>
                <w:rFonts w:ascii="Times New Roman;Times;Serif" w:hAnsi="Times New Roman;Times;Serif"/>
                <w:b w:val="false"/>
                <w:i w:val="false"/>
                <w:caps w:val="false"/>
                <w:smallCaps w:val="false"/>
                <w:sz w:val="20"/>
              </w:rPr>
              <w:t>Non-accelerated filer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filer </w:t>
            </w:r>
            <w:bookmarkStart w:id="25" w:name="xdx_903_edei--EntitySmallBusiness_c20260"/>
            <w:bookmarkEnd w:id="25"/>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6" w:name="xdx_90A_edei--EntityEmergingGrowthCompan"/>
            <w:bookmarkEnd w:id="26"/>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7" w:name="xdx_901_edei--EntityShellCompany_dbF_c20"/>
      <w:bookmarkEnd w:id="27"/>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11, 2026, there were </w:t>
      </w:r>
      <w:bookmarkStart w:id="28" w:name="xdx_907_edei--EntityCommonStockSharesOut"/>
      <w:bookmarkEnd w:id="28"/>
      <w:r>
        <w:rPr>
          <w:rFonts w:ascii="Times New Roman;Times;Serif" w:hAnsi="Times New Roman;Times;Serif"/>
          <w:b w:val="false"/>
          <w:i w:val="false"/>
          <w:caps w:val="false"/>
          <w:smallCaps w:val="false"/>
          <w:sz w:val="20"/>
        </w:rPr>
        <w:t>6,622,794 shares of the registrant’s common stock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8" w:space="1" w:color="000000"/>
        </w:rPr>
      </w:pPr>
      <w:r>
        <w:rPr>
          <w:bdr w:val="single" w:sz="8" w:space="1" w:color="000000"/>
        </w:rPr>
        <w:t> </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7"/>
        <w:gridCol w:w="9072"/>
        <w:gridCol w:w="456"/>
      </w:tblGrid>
      <w:tr>
        <w:trPr/>
        <w:tc>
          <w:tcPr>
            <w:tcW w:w="677" w:type="dxa"/>
            <w:tcBorders/>
            <w:vAlign w:val="center"/>
          </w:tcPr>
          <w:p>
            <w:pPr>
              <w:pStyle w:val="TableContents"/>
              <w:bidi w:val="0"/>
              <w:spacing w:before="0" w:after="283"/>
              <w:jc w:val="both"/>
              <w:rPr>
                <w:caps w:val="false"/>
                <w:smallCaps w:val="false"/>
              </w:rPr>
            </w:pPr>
            <w:r>
              <w:rPr>
                <w:caps w:val="false"/>
                <w:smallCaps w:val="false"/>
              </w:rPr>
              <w:t> </w:t>
            </w:r>
          </w:p>
        </w:tc>
        <w:tc>
          <w:tcPr>
            <w:tcW w:w="9072"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49" w:type="dxa"/>
            <w:gridSpan w:val="2"/>
            <w:tcBorders/>
            <w:shd w:fill="CCEEFF" w:val="clear"/>
            <w:vAlign w:val="center"/>
          </w:tcPr>
          <w:p>
            <w:pPr>
              <w:pStyle w:val="TableContents"/>
              <w:bidi w:val="0"/>
              <w:spacing w:before="0" w:after="283"/>
              <w:jc w:val="both"/>
              <w:rPr/>
            </w:pPr>
            <w:hyperlink w:anchor="ns_001">
              <w:r>
                <w:rPr>
                  <w:rStyle w:val="InternetLink"/>
                  <w:rFonts w:ascii="Times New Roman;Times;Serif" w:hAnsi="Times New Roman;Times;Serif"/>
                  <w:b/>
                  <w:i w:val="false"/>
                  <w:caps w:val="false"/>
                  <w:smallCaps w:val="false"/>
                  <w:sz w:val="20"/>
                </w:rPr>
                <w:t>PART I - FINANCIAL INFORMATION:</w:t>
              </w:r>
            </w:hyperlink>
          </w:p>
        </w:tc>
        <w:tc>
          <w:tcPr>
            <w:tcW w:w="45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7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072" w:type="dxa"/>
            <w:tcBorders/>
            <w:shd w:fill="FFFFFF" w:val="clear"/>
            <w:vAlign w:val="center"/>
          </w:tcPr>
          <w:p>
            <w:pPr>
              <w:pStyle w:val="TableContents"/>
              <w:bidi w:val="0"/>
              <w:spacing w:before="0" w:after="283"/>
              <w:jc w:val="left"/>
              <w:rPr/>
            </w:pPr>
            <w:hyperlink w:anchor="ns_002">
              <w:r>
                <w:rPr>
                  <w:rStyle w:val="InternetLink"/>
                  <w:rFonts w:ascii="Times New Roman;Times;Serif" w:hAnsi="Times New Roman;Times;Serif"/>
                  <w:b w:val="false"/>
                  <w:i w:val="false"/>
                  <w:caps w:val="false"/>
                  <w:smallCaps w:val="false"/>
                  <w:sz w:val="20"/>
                </w:rPr>
                <w:t>Financial Statements: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7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072" w:type="dxa"/>
            <w:tcBorders/>
            <w:shd w:fill="CCEEFF" w:val="clear"/>
            <w:vAlign w:val="center"/>
          </w:tcPr>
          <w:p>
            <w:pPr>
              <w:pStyle w:val="TableContents"/>
              <w:bidi w:val="0"/>
              <w:spacing w:before="0" w:after="283"/>
              <w:jc w:val="left"/>
              <w:rPr/>
            </w:pPr>
            <w:hyperlink w:anchor="ns_003">
              <w:r>
                <w:rPr>
                  <w:rStyle w:val="InternetLink"/>
                  <w:rFonts w:ascii="Times New Roman;Times;Serif" w:hAnsi="Times New Roman;Times;Serif"/>
                  <w:b w:val="false"/>
                  <w:i w:val="false"/>
                  <w:caps w:val="false"/>
                  <w:smallCaps w:val="false"/>
                  <w:sz w:val="20"/>
                </w:rPr>
                <w:t>Balance Sheets as of June 30, 2026 and December 31, 2025 (unaudited)</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7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72" w:type="dxa"/>
            <w:tcBorders/>
            <w:shd w:fill="FFFFFF" w:val="clear"/>
            <w:vAlign w:val="center"/>
          </w:tcPr>
          <w:p>
            <w:pPr>
              <w:pStyle w:val="TableContents"/>
              <w:bidi w:val="0"/>
              <w:spacing w:before="0" w:after="283"/>
              <w:jc w:val="left"/>
              <w:rPr/>
            </w:pPr>
            <w:hyperlink w:anchor="ns_004">
              <w:r>
                <w:rPr>
                  <w:rStyle w:val="InternetLink"/>
                  <w:rFonts w:ascii="Times New Roman;Times;Serif" w:hAnsi="Times New Roman;Times;Serif"/>
                  <w:b w:val="false"/>
                  <w:i w:val="false"/>
                  <w:caps w:val="false"/>
                  <w:smallCaps w:val="false"/>
                  <w:sz w:val="20"/>
                </w:rPr>
                <w:t>Statements of Operations for the three and six months ended June 30, 2026 and 2025 (unaudited)</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7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072" w:type="dxa"/>
            <w:tcBorders/>
            <w:shd w:fill="CCEEFF" w:val="clear"/>
            <w:vAlign w:val="center"/>
          </w:tcPr>
          <w:p>
            <w:pPr>
              <w:pStyle w:val="TableContents"/>
              <w:bidi w:val="0"/>
              <w:spacing w:before="0" w:after="283"/>
              <w:jc w:val="left"/>
              <w:rPr/>
            </w:pPr>
            <w:hyperlink w:anchor="ns_005">
              <w:r>
                <w:rPr>
                  <w:rStyle w:val="InternetLink"/>
                  <w:rFonts w:ascii="Times New Roman;Times;Serif" w:hAnsi="Times New Roman;Times;Serif"/>
                  <w:b w:val="false"/>
                  <w:i w:val="false"/>
                  <w:caps w:val="false"/>
                  <w:smallCaps w:val="false"/>
                  <w:sz w:val="20"/>
                </w:rPr>
                <w:t>Consolidated Statements of Comprehensive Loss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7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72" w:type="dxa"/>
            <w:tcBorders/>
            <w:shd w:fill="FFFFFF" w:val="clear"/>
            <w:vAlign w:val="center"/>
          </w:tcPr>
          <w:p>
            <w:pPr>
              <w:pStyle w:val="TableContents"/>
              <w:bidi w:val="0"/>
              <w:spacing w:before="0" w:after="283"/>
              <w:jc w:val="left"/>
              <w:rPr/>
            </w:pPr>
            <w:hyperlink w:anchor="ns_006">
              <w:r>
                <w:rPr>
                  <w:rStyle w:val="InternetLink"/>
                  <w:rFonts w:ascii="Times New Roman;Times;Serif" w:hAnsi="Times New Roman;Times;Serif"/>
                  <w:b w:val="false"/>
                  <w:i w:val="false"/>
                  <w:caps w:val="false"/>
                  <w:smallCaps w:val="false"/>
                  <w:sz w:val="20"/>
                </w:rPr>
                <w:t>Statements of Changes in Stockholders’ Equity (Deficit) for the three and six months ended June 30, 2026 and 2025 (unaudited)</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7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072" w:type="dxa"/>
            <w:tcBorders/>
            <w:shd w:fill="CCEEFF" w:val="clear"/>
            <w:vAlign w:val="center"/>
          </w:tcPr>
          <w:p>
            <w:pPr>
              <w:pStyle w:val="TableContents"/>
              <w:bidi w:val="0"/>
              <w:spacing w:before="0" w:after="283"/>
              <w:jc w:val="left"/>
              <w:rPr/>
            </w:pPr>
            <w:hyperlink w:anchor="ns_007">
              <w:r>
                <w:rPr>
                  <w:rStyle w:val="InternetLink"/>
                  <w:rFonts w:ascii="Times New Roman;Times;Serif" w:hAnsi="Times New Roman;Times;Serif"/>
                  <w:b w:val="false"/>
                  <w:i w:val="false"/>
                  <w:caps w:val="false"/>
                  <w:smallCaps w:val="false"/>
                  <w:sz w:val="20"/>
                </w:rPr>
                <w:t>Statements of Cash Flows for the six months ended June 30, 2026 and the June 30, 2025 (unaudited)</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7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72" w:type="dxa"/>
            <w:tcBorders/>
            <w:shd w:fill="FFFFFF" w:val="clear"/>
            <w:vAlign w:val="center"/>
          </w:tcPr>
          <w:p>
            <w:pPr>
              <w:pStyle w:val="TableContents"/>
              <w:bidi w:val="0"/>
              <w:spacing w:before="0" w:after="283"/>
              <w:jc w:val="left"/>
              <w:rPr/>
            </w:pPr>
            <w:hyperlink w:anchor="ns_008">
              <w:r>
                <w:rPr>
                  <w:rStyle w:val="InternetLink"/>
                  <w:rFonts w:ascii="Times New Roman;Times;Serif" w:hAnsi="Times New Roman;Times;Serif"/>
                  <w:b w:val="false"/>
                  <w:i w:val="false"/>
                  <w:caps w:val="false"/>
                  <w:smallCaps w:val="false"/>
                  <w:sz w:val="20"/>
                </w:rPr>
                <w:t>Notes to Financial Statements (Unaudited)</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7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072" w:type="dxa"/>
            <w:tcBorders/>
            <w:shd w:fill="CCEEFF" w:val="clear"/>
            <w:vAlign w:val="center"/>
          </w:tcPr>
          <w:p>
            <w:pPr>
              <w:pStyle w:val="TableContents"/>
              <w:bidi w:val="0"/>
              <w:spacing w:before="0" w:after="283"/>
              <w:jc w:val="left"/>
              <w:rPr/>
            </w:pPr>
            <w:hyperlink w:anchor="ns_009">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7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072" w:type="dxa"/>
            <w:tcBorders/>
            <w:shd w:fill="FFFFFF" w:val="clear"/>
            <w:vAlign w:val="center"/>
          </w:tcPr>
          <w:p>
            <w:pPr>
              <w:pStyle w:val="TableContents"/>
              <w:bidi w:val="0"/>
              <w:spacing w:before="0" w:after="283"/>
              <w:jc w:val="left"/>
              <w:rPr/>
            </w:pPr>
            <w:hyperlink w:anchor="ns_010">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7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072" w:type="dxa"/>
            <w:tcBorders/>
            <w:shd w:fill="CCEEFF" w:val="clear"/>
            <w:vAlign w:val="center"/>
          </w:tcPr>
          <w:p>
            <w:pPr>
              <w:pStyle w:val="TableContents"/>
              <w:bidi w:val="0"/>
              <w:spacing w:before="0" w:after="283"/>
              <w:jc w:val="left"/>
              <w:rPr/>
            </w:pPr>
            <w:hyperlink w:anchor="ns_011">
              <w:r>
                <w:rPr>
                  <w:rStyle w:val="InternetLink"/>
                  <w:rFonts w:ascii="Times New Roman;Times;Serif" w:hAnsi="Times New Roman;Times;Serif"/>
                  <w:b w:val="false"/>
                  <w:i w:val="false"/>
                  <w:caps w:val="false"/>
                  <w:smallCaps w:val="false"/>
                  <w:sz w:val="20"/>
                </w:rPr>
                <w:t>Controls and Procedures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749" w:type="dxa"/>
            <w:gridSpan w:val="2"/>
            <w:tcBorders/>
            <w:shd w:fill="FFFFFF" w:val="clear"/>
            <w:vAlign w:val="center"/>
          </w:tcPr>
          <w:p>
            <w:pPr>
              <w:pStyle w:val="TableContents"/>
              <w:bidi w:val="0"/>
              <w:spacing w:before="0" w:after="283"/>
              <w:jc w:val="both"/>
              <w:rPr/>
            </w:pPr>
            <w:hyperlink w:anchor="ns_012">
              <w:r>
                <w:rPr>
                  <w:rStyle w:val="InternetLink"/>
                  <w:rFonts w:ascii="Times New Roman;Times;Serif" w:hAnsi="Times New Roman;Times;Serif"/>
                  <w:b/>
                  <w:i w:val="false"/>
                  <w:caps w:val="false"/>
                  <w:smallCaps w:val="false"/>
                  <w:sz w:val="20"/>
                </w:rPr>
                <w:t>PART II - OTHER INFORMATION:</w:t>
              </w:r>
            </w:hyperlink>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7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072" w:type="dxa"/>
            <w:tcBorders/>
            <w:shd w:fill="CCEEFF" w:val="clear"/>
            <w:vAlign w:val="center"/>
          </w:tcPr>
          <w:p>
            <w:pPr>
              <w:pStyle w:val="TableContents"/>
              <w:bidi w:val="0"/>
              <w:spacing w:before="0" w:after="283"/>
              <w:jc w:val="left"/>
              <w:rPr/>
            </w:pPr>
            <w:hyperlink w:anchor="ns_013">
              <w:r>
                <w:rPr>
                  <w:rStyle w:val="InternetLink"/>
                  <w:rFonts w:ascii="Times New Roman;Times;Serif" w:hAnsi="Times New Roman;Times;Serif"/>
                  <w:b w:val="false"/>
                  <w:i w:val="false"/>
                  <w:caps w:val="false"/>
                  <w:smallCaps w:val="false"/>
                  <w:sz w:val="20"/>
                </w:rPr>
                <w:t>Legal Proceedings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7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9072" w:type="dxa"/>
            <w:tcBorders/>
            <w:shd w:fill="FFFFFF" w:val="clear"/>
            <w:vAlign w:val="center"/>
          </w:tcPr>
          <w:p>
            <w:pPr>
              <w:pStyle w:val="TableContents"/>
              <w:bidi w:val="0"/>
              <w:spacing w:before="0" w:after="283"/>
              <w:jc w:val="left"/>
              <w:rPr/>
            </w:pPr>
            <w:hyperlink w:anchor="ns_014">
              <w:r>
                <w:rPr>
                  <w:rStyle w:val="InternetLink"/>
                  <w:rFonts w:ascii="Times New Roman;Times;Serif" w:hAnsi="Times New Roman;Times;Serif"/>
                  <w:b w:val="false"/>
                  <w:i w:val="false"/>
                  <w:caps w:val="false"/>
                  <w:smallCaps w:val="false"/>
                  <w:sz w:val="20"/>
                </w:rPr>
                <w:t>Risk Factors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7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072" w:type="dxa"/>
            <w:tcBorders/>
            <w:shd w:fill="CCEEFF" w:val="clear"/>
            <w:vAlign w:val="center"/>
          </w:tcPr>
          <w:p>
            <w:pPr>
              <w:pStyle w:val="TableContents"/>
              <w:bidi w:val="0"/>
              <w:spacing w:before="0" w:after="283"/>
              <w:jc w:val="left"/>
              <w:rPr/>
            </w:pPr>
            <w:hyperlink w:anchor="ns_015">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7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072" w:type="dxa"/>
            <w:tcBorders/>
            <w:shd w:fill="FFFFFF" w:val="clear"/>
            <w:vAlign w:val="center"/>
          </w:tcPr>
          <w:p>
            <w:pPr>
              <w:pStyle w:val="TableContents"/>
              <w:bidi w:val="0"/>
              <w:spacing w:before="0" w:after="283"/>
              <w:jc w:val="left"/>
              <w:rPr/>
            </w:pPr>
            <w:hyperlink w:anchor="ns_016">
              <w:r>
                <w:rPr>
                  <w:rStyle w:val="InternetLink"/>
                  <w:rFonts w:ascii="Times New Roman;Times;Serif" w:hAnsi="Times New Roman;Times;Serif"/>
                  <w:b w:val="false"/>
                  <w:i w:val="false"/>
                  <w:caps w:val="false"/>
                  <w:smallCaps w:val="false"/>
                  <w:sz w:val="20"/>
                </w:rPr>
                <w:t>Defaults Upon Senior Securities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7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072" w:type="dxa"/>
            <w:tcBorders/>
            <w:shd w:fill="CCEEFF" w:val="clear"/>
            <w:vAlign w:val="center"/>
          </w:tcPr>
          <w:p>
            <w:pPr>
              <w:pStyle w:val="TableContents"/>
              <w:bidi w:val="0"/>
              <w:spacing w:before="0" w:after="283"/>
              <w:jc w:val="left"/>
              <w:rPr/>
            </w:pPr>
            <w:hyperlink w:anchor="ns_017">
              <w:r>
                <w:rPr>
                  <w:rStyle w:val="InternetLink"/>
                  <w:rFonts w:ascii="Times New Roman;Times;Serif" w:hAnsi="Times New Roman;Times;Serif"/>
                  <w:b w:val="false"/>
                  <w:i w:val="false"/>
                  <w:caps w:val="false"/>
                  <w:smallCaps w:val="false"/>
                  <w:sz w:val="20"/>
                </w:rPr>
                <w:t>Mine Safety Disclosures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7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072" w:type="dxa"/>
            <w:tcBorders/>
            <w:shd w:fill="FFFFFF" w:val="clear"/>
            <w:vAlign w:val="center"/>
          </w:tcPr>
          <w:p>
            <w:pPr>
              <w:pStyle w:val="TableContents"/>
              <w:bidi w:val="0"/>
              <w:spacing w:before="0" w:after="283"/>
              <w:jc w:val="left"/>
              <w:rPr/>
            </w:pPr>
            <w:hyperlink w:anchor="ns_018">
              <w:r>
                <w:rPr>
                  <w:rStyle w:val="InternetLink"/>
                  <w:rFonts w:ascii="Times New Roman;Times;Serif" w:hAnsi="Times New Roman;Times;Serif"/>
                  <w:b w:val="false"/>
                  <w:i w:val="false"/>
                  <w:caps w:val="false"/>
                  <w:smallCaps w:val="false"/>
                  <w:sz w:val="20"/>
                </w:rPr>
                <w:t>Other Information</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7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072" w:type="dxa"/>
            <w:tcBorders/>
            <w:shd w:fill="CCEEFF" w:val="clear"/>
            <w:vAlign w:val="center"/>
          </w:tcPr>
          <w:p>
            <w:pPr>
              <w:pStyle w:val="TableContents"/>
              <w:bidi w:val="0"/>
              <w:spacing w:before="0" w:after="283"/>
              <w:jc w:val="left"/>
              <w:rPr/>
            </w:pPr>
            <w:hyperlink w:anchor="ns_019">
              <w:r>
                <w:rPr>
                  <w:rStyle w:val="InternetLink"/>
                  <w:rFonts w:ascii="Times New Roman;Times;Serif" w:hAnsi="Times New Roman;Times;Serif"/>
                  <w:b w:val="false"/>
                  <w:i w:val="false"/>
                  <w:caps w:val="false"/>
                  <w:smallCaps w:val="false"/>
                  <w:sz w:val="20"/>
                </w:rPr>
                <w:t>Exhibits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749" w:type="dxa"/>
            <w:gridSpan w:val="2"/>
            <w:tcBorders/>
            <w:shd w:fill="FFFFFF" w:val="clear"/>
            <w:vAlign w:val="center"/>
          </w:tcPr>
          <w:p>
            <w:pPr>
              <w:pStyle w:val="TableContents"/>
              <w:bidi w:val="0"/>
              <w:spacing w:before="0" w:after="283"/>
              <w:jc w:val="both"/>
              <w:rPr/>
            </w:pPr>
            <w:hyperlink w:anchor="ns_020">
              <w:r>
                <w:rPr>
                  <w:rStyle w:val="InternetLink"/>
                  <w:rFonts w:ascii="Times New Roman;Times;Serif" w:hAnsi="Times New Roman;Times;Serif"/>
                  <w:b w:val="false"/>
                  <w:i w:val="false"/>
                  <w:caps w:val="false"/>
                  <w:smallCaps w:val="false"/>
                  <w:sz w:val="20"/>
                </w:rPr>
                <w:t>SIGNATURE PAGE</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Bio Green Med Solution, Inc., a Delaware corporation (“BGMS” or the “Company”) announced that it was in the process of exploring and reviewing strategic alternatives on an expedited basis in order to preserve the Company’s cash, including a potential transaction with investor, David E. Lazar of Activist Investing, LLC (“Lazar”). The Company’s Board of Directors (the “Board”) reviewed a range of appropriate strategies to realize value from its assets. The Board directed management to reduce operating costs, which included the liquidation of the Company’s wholly-owned United Kingdom subsidiary, Cyclacel Limited (“Subsidiary”), while such alternatives were being explored. On January 2, 2025, the Company entered into a securities purchase agreement with Lazar, pursuant to which he agreed to purchase from the Company, 1,000,000 shares of Series C Convertible Preferred Stock and 2,100,000 shares of Series D Convertible Preferred Stock of Cyclacel at a purchase price of $1.00 per share for aggregate gross proceeds of $3.1 million, subject to the terms and conditions of the securities purchase agreement (together, the Series C Convertible Preferred Stock and Series D Convertible Preferred Stock are the “Securities”). The proceeds of the transaction were used to settle outstanding liabilities of the Company and other general corporate and operating purposes.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11, 2025, investor Lazar, who was serving as the Company’s interim Chief Executive Officer and Secretary, entered into a securities purchase agreement (the “Purchase Agreement”) with an investor, Datuk Dr. Doris Wong Sing Ee (the “Purchaser”) pursuant to which the Purchaser agreed to purchase all 1,000,000 shares of Series C Convertible Preferred Stock, and 1,745,262 of the 2,100,000 shares of Series D Convertible Preferred Stock, currently held by Lazar, so that Purchaser would hold seventy percent (70%) of the fully diluted issued and outstanding shares of the Company. The Purchase Agreement closed on February 26, 2025 (the “Closing Date”). Additionally, the Purchaser succeeded to all of Lazar’s rights and interests under that certain securities purchase agreement between Lazar and the Company dated January 2, 2025.</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were convertible into shares of the common stock, par value $0.001 per share (the “Common Stock”) of the Company at the election of the Purchaser as follows: (i) the 1,000,000 shares of the Series C were convertible into 11,041 shares of Common Stock, and (ii) 1,745,262 of the Series D were convertible into 799,911 shares of Common Stock. On the Closing Date, the Investor exercised the conversion rights related to the Series C and Series D shares into Common Stock in full resulting in the Investor owning 810,952 shares of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Cyclacel Limited has been a wholly owned subsidiary of the Company. The Company’s ongoing clinical research programs were conducted through Cyclacel Limited and all intellectual property and rights to those programs were owned by that entity. On January 31, 2025, the creditors voluntary liquidation of Cyclacel Limited was announced in the London Gazette, one of the official public records of the government of the United Kingdom. Upon the commencement of the liquidation of the Cyclacel Limited, the Company lost operational and strategic control over the Cyclacel Limited and the financial results of Cyclacel Limited have been deconsolidated from Company as of January 24, 2025. On the date of deconsolidation, stockholders’ equity increased by approximately $5.0 million.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creditors’ voluntary liquidation of Cyclacel Limited, the Company decided to focus on the development of the plogosertib (“Plogo”) clinical program only. Accordingly, on March 10, 2025, the Company repurchased certain assets related to Plogo from Cyclacel Limited with the approval of the joint liquidator in exchange for approximately $0.3 million in cash. Fadraciclib, Cyclacel Limited’s other drug development program, is being marketed for sale by the joint liquidator. The Company has no plans at this time to repurchase any rights to or assets of the fadraciclib program. On October 6, 2025, the Company entered into an Asset Purchase Agreement (the “Purchase Agreement”) with Tethra Biosciences Inc., a Delaware corporation (the “Buyer”). Under the terms of the Purchase Agreement, the Company agreed to sell, and the Buyer agreed to purchase, certain assets, including all patent rights of the Company related to Plogo for a purchase price of $300,000, plus a further potential Milestone payment (as defined in the Purchase Agreement) of $170,000.</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2025, and as amended on July 7, 2025, the Company entered into an Exchange Agreement (collectively, the “Exchange Agreement”) with FITTERS Diversified Berhad (9318.KL; “FITTERS”), an investment holding company engaged, through its subsidiaries, in the business of the sale of fire safety materials, equipment and fire prevention systems, “Waste-To-Resource” services and real estate development and construction. Pursuant to the Exchange Agreement, all of the ordinary shares owned by FITTERS of its wholly-owned subsidiary, Fitters Sdn. Bhd., a Malaysia-based private limited company (“Fitters Sub”) were to be exchanged for common stock, par value $0.001, of the Company (the “Purchaser Stock”), and Fitters Sub would continue as a wholly-owned subsidiary of the Company (the “Transaction”). As part of the Transaction, BGMS would issue an amount of Purchaser Stock equal to 19.99%, or 699,158 of its common shares and BGMS stockholders would own approximately 80.01% of the combined company. Following the closing of the Transaction on September 12, 2025, the Company’s common shares continued to be listed on the Nasdaq Capital Market under a new ticker symbol (BGMS) and Cyclacel Pharmaceuticals Inc. was renamed Bio Green Med Solution, Inc.</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2025, the Company effected a one-for-sixteen reverse stock split of its common stock and subsequently on July 7, 2025, effected a further one-for-fifteen reverse stock split of its common stock. All share and per share data for all periods presented in the consolidated financial statements have been retrospectively adjusted to give effect to these reverse stock splits, consistent with the treatment followed by other public companies in similar circumstances.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to Nasdaq notices received September 11, 2025 and March 12, 2026 in connection with the Company’s failure to satisfy a continued listing rule in relation to its 6% Convertible Exchangeable Preferred Stock (listed on The Nasdaq Capital Market under the symbol “BGMSP”), trading of the Preferred Stock was suspended at the opening of business on March 23, 2026, and a Form 25-NSE was filed with the Securities and Exchange Commission, which removed the Company’s securities from listing and registration on The Nasdaq Stock Market.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delisting does not affect the Company’s Common Stock (listed on The Nasdaq Capital Market under the symbol “BGMS”).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2026, the Company, Future NRG Sdn. Bhd., a Malaysia private limited company (“FNRG”) and each of the shareholders of FNRG (the “Selling Shareholders”), entered into a Business Combination Agreement (the “BCA”), pursuant to which, among other matters, and subject to the satisfaction or waiver of the conditions set forth in the BCA, the Selling Shareholders will voluntarily exchange all of their ordinary shares in FNRG for shares of common stock, par value $0.001 of the Company (the “Exchange Shares”), resulting in FNRG becoming a wholly owned subsidiary of the Company (the “Exchange”).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BCA, at the closing of the Exchange: each then-outstanding ordinary share of FNRG will be converted into the right to receive a number of Exchange Shares calculated in accordance with the BCA. Under the exchange ratio formula in the BCA, upon the closing of the Exchange, on a pro forma basis and based upon the number of Exchange Shares to be issued in the Exchange, the Selling Shareholders will own approximately more than 99% of the combined company and pre-Exchange Company stockholders will own approximately less than 1% of the combined company.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BCA contains certain termination rights of each of the Company and FNRG. In the event the Exchange is not closed by December 31, 2026, either party may terminate the BCA and the transactions contemplated thereunder.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Exchange (the “Effective Time”), the Board is expected to consist of five members, four of whom will be designated by the Company and will include all of the current members except for Mr. Kiu Cu Seng and one of whom will be designated by FNRG, Mr. Pun Kah Weng.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2026, the Company entered into a Securities Purchase Agreement with certain foreign accredited investors, pursuant to which the investors agreed to purchase from the Company an aggregate of 1,103,338 shares of Common Stock, par value $0.001 of the Company at a purchase price of $0.72 per share for aggregate gross proceeds of $794,403, subject to the terms and conditions of the Purchase Agreement.</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ns_001"/>
      <w:bookmarkEnd w:id="29"/>
      <w:r>
        <w:rPr>
          <w:rFonts w:ascii="Times New Roman;Times;Serif" w:hAnsi="Times New Roman;Times;Serif"/>
          <w:b/>
          <w:i w:val="false"/>
          <w:caps w:val="false"/>
          <w:smallCaps w:val="false"/>
          <w:sz w:val="20"/>
        </w:rPr>
        <w:t>PART I.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 w:name="ns_002"/>
      <w:bookmarkEnd w:id="30"/>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ns_003"/>
      <w:bookmarkEnd w:id="31"/>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per share, and liquidation preference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 w:name="xdx_305_111_pn3n3_ziHjrrnXEtC8"/>
      <w:bookmarkStart w:id="33" w:name="xdx_305_111_pn3n3_ziHjrrnXEtC8"/>
      <w:bookmarkEnd w:id="33"/>
    </w:p>
    <w:tbl>
      <w:tblPr>
        <w:tblW w:w="10205" w:type="dxa"/>
        <w:jc w:val="left"/>
        <w:tblInd w:w="0" w:type="dxa"/>
        <w:tblLayout w:type="fixed"/>
        <w:tblCellMar>
          <w:top w:w="0" w:type="dxa"/>
          <w:left w:w="0" w:type="dxa"/>
          <w:bottom w:w="0" w:type="dxa"/>
          <w:right w:w="0" w:type="dxa"/>
        </w:tblCellMar>
      </w:tblPr>
      <w:tblGrid>
        <w:gridCol w:w="7740"/>
        <w:gridCol w:w="60"/>
        <w:gridCol w:w="140"/>
        <w:gridCol w:w="875"/>
        <w:gridCol w:w="95"/>
        <w:gridCol w:w="60"/>
        <w:gridCol w:w="154"/>
        <w:gridCol w:w="969"/>
        <w:gridCol w:w="112"/>
      </w:tblGrid>
      <w:tr>
        <w:trPr/>
        <w:tc>
          <w:tcPr>
            <w:tcW w:w="7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 w:name="xdx_496_20260630_zSUQTLs8O1V7"/>
            <w:bookmarkEnd w:id="34"/>
          </w:p>
        </w:tc>
        <w:tc>
          <w:tcPr>
            <w:tcW w:w="101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 w:name="xdx_49B_20251231_zaJV6TzYLRcc"/>
            <w:bookmarkEnd w:id="35"/>
          </w:p>
        </w:tc>
        <w:tc>
          <w:tcPr>
            <w:tcW w:w="1123" w:type="dxa"/>
            <w:gridSpan w:val="2"/>
            <w:tcBorders/>
            <w:vAlign w:val="center"/>
          </w:tcPr>
          <w:p>
            <w:pPr>
              <w:pStyle w:val="TableContents"/>
              <w:bidi w:val="0"/>
              <w:spacing w:before="0" w:after="283"/>
              <w:jc w:val="center"/>
              <w:rPr>
                <w:b/>
              </w:rPr>
            </w:pPr>
            <w:r>
              <w:rPr>
                <w:b/>
              </w:rPr>
              <w:t>December 31,</w:t>
            </w:r>
          </w:p>
        </w:tc>
        <w:tc>
          <w:tcPr>
            <w:tcW w:w="112" w:type="dxa"/>
            <w:tcBorders/>
            <w:vAlign w:val="center"/>
          </w:tcPr>
          <w:p>
            <w:pPr>
              <w:pStyle w:val="TableContents"/>
              <w:bidi w:val="0"/>
              <w:spacing w:before="0" w:after="283"/>
              <w:jc w:val="left"/>
              <w:rPr/>
            </w:pPr>
            <w:r>
              <w:rPr/>
              <w:t> </w:t>
            </w:r>
          </w:p>
        </w:tc>
      </w:tr>
      <w:tr>
        <w:trPr/>
        <w:tc>
          <w:tcPr>
            <w:tcW w:w="7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bookmarkStart w:id="36" w:name="xdx_400_eus-gaap--AssetsAbstract_iB_zN4s"/>
            <w:bookmarkEnd w:id="36"/>
          </w:p>
        </w:tc>
      </w:tr>
      <w:tr>
        <w:trPr/>
        <w:tc>
          <w:tcPr>
            <w:tcW w:w="774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7" w:name="xdx_409_eus-gaap--AssetsCurrentAbstract_"/>
            <w:bookmarkEnd w:id="37"/>
          </w:p>
        </w:tc>
      </w:tr>
      <w:tr>
        <w:trPr/>
        <w:tc>
          <w:tcPr>
            <w:tcW w:w="7740"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8" w:name="xdx_40F_eus-gaap--CashAndCashEquivalents"/>
            <w:bookmarkEnd w:id="38"/>
          </w:p>
        </w:tc>
      </w:tr>
      <w:tr>
        <w:trPr/>
        <w:tc>
          <w:tcPr>
            <w:tcW w:w="774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69" w:type="dxa"/>
            <w:tcBorders/>
            <w:shd w:fill="CCEEFF" w:val="clear"/>
            <w:vAlign w:val="center"/>
          </w:tcPr>
          <w:p>
            <w:pPr>
              <w:pStyle w:val="TableContents"/>
              <w:bidi w:val="0"/>
              <w:spacing w:before="0" w:after="283"/>
              <w:jc w:val="right"/>
              <w:rPr/>
            </w:pPr>
            <w:r>
              <w:rPr/>
              <w:t>3,505</w:t>
            </w:r>
          </w:p>
        </w:tc>
        <w:tc>
          <w:tcPr>
            <w:tcW w:w="112" w:type="dxa"/>
            <w:tcBorders/>
            <w:shd w:fill="CCEEFF" w:val="clear"/>
            <w:vAlign w:val="center"/>
          </w:tcPr>
          <w:p>
            <w:pPr>
              <w:pStyle w:val="TableContents"/>
              <w:bidi w:val="0"/>
              <w:spacing w:before="0" w:after="283"/>
              <w:jc w:val="left"/>
              <w:rPr/>
            </w:pPr>
            <w:r>
              <w:rPr/>
              <w:t> </w:t>
            </w:r>
            <w:bookmarkStart w:id="39" w:name="xdx_40A_eus-gaap--InventoryNet_i02I_maAC"/>
            <w:bookmarkEnd w:id="39"/>
          </w:p>
        </w:tc>
      </w:tr>
      <w:tr>
        <w:trPr/>
        <w:tc>
          <w:tcPr>
            <w:tcW w:w="774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1,384</w:t>
            </w:r>
          </w:p>
        </w:tc>
        <w:tc>
          <w:tcPr>
            <w:tcW w:w="112" w:type="dxa"/>
            <w:tcBorders/>
            <w:shd w:fill="FFFFFF" w:val="clear"/>
            <w:vAlign w:val="center"/>
          </w:tcPr>
          <w:p>
            <w:pPr>
              <w:pStyle w:val="TableContents"/>
              <w:bidi w:val="0"/>
              <w:spacing w:before="0" w:after="283"/>
              <w:jc w:val="left"/>
              <w:rPr/>
            </w:pPr>
            <w:r>
              <w:rPr/>
              <w:t> </w:t>
            </w:r>
            <w:bookmarkStart w:id="40" w:name="xdx_40E_eus-gaap--AccountsReceivableNetC"/>
            <w:bookmarkEnd w:id="40"/>
          </w:p>
        </w:tc>
      </w:tr>
      <w:tr>
        <w:trPr/>
        <w:tc>
          <w:tcPr>
            <w:tcW w:w="7740" w:type="dxa"/>
            <w:tcBorders/>
            <w:shd w:fill="CCEEFF" w:val="clear"/>
            <w:vAlign w:val="center"/>
          </w:tcPr>
          <w:p>
            <w:pPr>
              <w:pStyle w:val="TableContents"/>
              <w:bidi w:val="0"/>
              <w:spacing w:before="0" w:after="283"/>
              <w:jc w:val="left"/>
              <w:rPr/>
            </w:pPr>
            <w:r>
              <w:rPr/>
              <w:t>Accounts receivable (net of allowances of $</w:t>
            </w:r>
            <w:bookmarkStart w:id="41" w:name="xdx_90B_eus-gaap--AllowanceForDoubtfulAc"/>
            <w:bookmarkEnd w:id="41"/>
            <w:r>
              <w:rPr/>
              <w:t>540,000 and $</w:t>
            </w:r>
            <w:bookmarkStart w:id="42" w:name="xdx_90D_eus-gaap--AllowanceForDoubtfulAc"/>
            <w:bookmarkEnd w:id="42"/>
            <w:r>
              <w:rPr/>
              <w:t>447,000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1,257</w:t>
            </w:r>
          </w:p>
        </w:tc>
        <w:tc>
          <w:tcPr>
            <w:tcW w:w="112" w:type="dxa"/>
            <w:tcBorders/>
            <w:shd w:fill="CCEEFF" w:val="clear"/>
            <w:vAlign w:val="center"/>
          </w:tcPr>
          <w:p>
            <w:pPr>
              <w:pStyle w:val="TableContents"/>
              <w:bidi w:val="0"/>
              <w:spacing w:before="0" w:after="283"/>
              <w:jc w:val="left"/>
              <w:rPr/>
            </w:pPr>
            <w:r>
              <w:rPr/>
              <w:t> </w:t>
            </w:r>
            <w:bookmarkStart w:id="43" w:name="xdx_403_eus-gaap--PrepaidExpenseAndOther"/>
            <w:bookmarkEnd w:id="43"/>
          </w:p>
        </w:tc>
      </w:tr>
      <w:tr>
        <w:trPr/>
        <w:tc>
          <w:tcPr>
            <w:tcW w:w="774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pPr>
            <w:r>
              <w:rPr/>
              <w:t>110</w:t>
            </w:r>
          </w:p>
        </w:tc>
        <w:tc>
          <w:tcPr>
            <w:tcW w:w="112" w:type="dxa"/>
            <w:tcBorders/>
            <w:shd w:fill="FFFFFF" w:val="clear"/>
            <w:vAlign w:val="center"/>
          </w:tcPr>
          <w:p>
            <w:pPr>
              <w:pStyle w:val="TableContents"/>
              <w:bidi w:val="0"/>
              <w:spacing w:before="0" w:after="283"/>
              <w:jc w:val="left"/>
              <w:rPr/>
            </w:pPr>
            <w:r>
              <w:rPr/>
              <w:t> </w:t>
            </w:r>
            <w:bookmarkStart w:id="44" w:name="xdx_400_eus-gaap--AssetsCurrent_i02TI_mt"/>
            <w:bookmarkEnd w:id="44"/>
          </w:p>
        </w:tc>
      </w:tr>
      <w:tr>
        <w:trPr/>
        <w:tc>
          <w:tcPr>
            <w:tcW w:w="774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6,256</w:t>
            </w:r>
          </w:p>
        </w:tc>
        <w:tc>
          <w:tcPr>
            <w:tcW w:w="112" w:type="dxa"/>
            <w:tcBorders/>
            <w:shd w:fill="CCEEFF" w:val="clear"/>
            <w:vAlign w:val="center"/>
          </w:tcPr>
          <w:p>
            <w:pPr>
              <w:pStyle w:val="TableContents"/>
              <w:bidi w:val="0"/>
              <w:spacing w:before="0" w:after="283"/>
              <w:jc w:val="left"/>
              <w:rPr/>
            </w:pPr>
            <w:r>
              <w:rPr/>
              <w:t> </w:t>
            </w:r>
            <w:bookmarkStart w:id="45" w:name="xdx_406_eus-gaap--PropertyPlantAndEquipm"/>
            <w:bookmarkEnd w:id="45"/>
          </w:p>
        </w:tc>
      </w:tr>
      <w:tr>
        <w:trPr/>
        <w:tc>
          <w:tcPr>
            <w:tcW w:w="774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137</w:t>
            </w:r>
          </w:p>
        </w:tc>
        <w:tc>
          <w:tcPr>
            <w:tcW w:w="112" w:type="dxa"/>
            <w:tcBorders/>
            <w:shd w:fill="FFFFFF" w:val="clear"/>
            <w:vAlign w:val="center"/>
          </w:tcPr>
          <w:p>
            <w:pPr>
              <w:pStyle w:val="TableContents"/>
              <w:bidi w:val="0"/>
              <w:spacing w:before="0" w:after="283"/>
              <w:jc w:val="left"/>
              <w:rPr/>
            </w:pPr>
            <w:r>
              <w:rPr/>
              <w:t> </w:t>
            </w:r>
            <w:bookmarkStart w:id="46" w:name="xdx_405_eus-gaap--OperatingLeaseRightOfU"/>
            <w:bookmarkEnd w:id="46"/>
          </w:p>
        </w:tc>
      </w:tr>
      <w:tr>
        <w:trPr/>
        <w:tc>
          <w:tcPr>
            <w:tcW w:w="7740" w:type="dxa"/>
            <w:tcBorders/>
            <w:shd w:fill="CCEEFF" w:val="clear"/>
            <w:vAlign w:val="center"/>
          </w:tcPr>
          <w:p>
            <w:pPr>
              <w:pStyle w:val="TableContents"/>
              <w:bidi w:val="0"/>
              <w:spacing w:before="0" w:after="283"/>
              <w:jc w:val="left"/>
              <w:rPr/>
            </w:pPr>
            <w:r>
              <w:rPr/>
              <w:t>Right-of-use lease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12</w:t>
            </w:r>
          </w:p>
        </w:tc>
        <w:tc>
          <w:tcPr>
            <w:tcW w:w="112" w:type="dxa"/>
            <w:tcBorders/>
            <w:shd w:fill="CCEEFF" w:val="clear"/>
            <w:vAlign w:val="center"/>
          </w:tcPr>
          <w:p>
            <w:pPr>
              <w:pStyle w:val="TableContents"/>
              <w:bidi w:val="0"/>
              <w:spacing w:before="0" w:after="283"/>
              <w:jc w:val="left"/>
              <w:rPr/>
            </w:pPr>
            <w:r>
              <w:rPr/>
              <w:t> </w:t>
            </w:r>
            <w:bookmarkStart w:id="47" w:name="xdx_407_eus-gaap--Goodwill_i01I_maAzPqD_"/>
            <w:bookmarkEnd w:id="47"/>
          </w:p>
        </w:tc>
      </w:tr>
      <w:tr>
        <w:trPr/>
        <w:tc>
          <w:tcPr>
            <w:tcW w:w="7740"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1,570</w:t>
            </w:r>
          </w:p>
        </w:tc>
        <w:tc>
          <w:tcPr>
            <w:tcW w:w="112" w:type="dxa"/>
            <w:tcBorders/>
            <w:shd w:fill="FFFFFF" w:val="clear"/>
            <w:vAlign w:val="center"/>
          </w:tcPr>
          <w:p>
            <w:pPr>
              <w:pStyle w:val="TableContents"/>
              <w:bidi w:val="0"/>
              <w:spacing w:before="0" w:after="283"/>
              <w:jc w:val="left"/>
              <w:rPr/>
            </w:pPr>
            <w:r>
              <w:rPr/>
              <w:t> </w:t>
            </w:r>
            <w:bookmarkStart w:id="48" w:name="xdx_409_eus-gaap--DepositsAssetsNoncurre"/>
            <w:bookmarkEnd w:id="48"/>
          </w:p>
        </w:tc>
      </w:tr>
      <w:tr>
        <w:trPr/>
        <w:tc>
          <w:tcPr>
            <w:tcW w:w="7740" w:type="dxa"/>
            <w:tcBorders/>
            <w:shd w:fill="CCEEFF" w:val="clear"/>
            <w:vAlign w:val="center"/>
          </w:tcPr>
          <w:p>
            <w:pPr>
              <w:pStyle w:val="TableContents"/>
              <w:bidi w:val="0"/>
              <w:spacing w:before="0" w:after="283"/>
              <w:jc w:val="left"/>
              <w:rPr/>
            </w:pPr>
            <w:r>
              <w:rPr/>
              <w:t>Non-current 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pPr>
            <w:r>
              <w:rPr/>
              <w:t>210</w:t>
            </w:r>
          </w:p>
        </w:tc>
        <w:tc>
          <w:tcPr>
            <w:tcW w:w="112" w:type="dxa"/>
            <w:tcBorders/>
            <w:shd w:fill="CCEEFF" w:val="clear"/>
            <w:vAlign w:val="center"/>
          </w:tcPr>
          <w:p>
            <w:pPr>
              <w:pStyle w:val="TableContents"/>
              <w:bidi w:val="0"/>
              <w:spacing w:before="0" w:after="283"/>
              <w:jc w:val="left"/>
              <w:rPr/>
            </w:pPr>
            <w:r>
              <w:rPr/>
              <w:t> </w:t>
            </w:r>
            <w:bookmarkStart w:id="49" w:name="xdx_40F_eus-gaap--Assets_i01TI_mtAzuLf_z"/>
            <w:bookmarkEnd w:id="49"/>
          </w:p>
        </w:tc>
      </w:tr>
      <w:tr>
        <w:trPr/>
        <w:tc>
          <w:tcPr>
            <w:tcW w:w="774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7,854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pPr>
            <w:r>
              <w:rPr/>
              <w:t>8,185</w:t>
            </w:r>
          </w:p>
        </w:tc>
        <w:tc>
          <w:tcPr>
            <w:tcW w:w="112" w:type="dxa"/>
            <w:tcBorders/>
            <w:shd w:fill="FFFFFF" w:val="clear"/>
            <w:vAlign w:val="center"/>
          </w:tcPr>
          <w:p>
            <w:pPr>
              <w:pStyle w:val="TableContents"/>
              <w:bidi w:val="0"/>
              <w:spacing w:before="0" w:after="283"/>
              <w:jc w:val="left"/>
              <w:rPr/>
            </w:pPr>
            <w:r>
              <w:rPr/>
              <w:t> </w:t>
            </w:r>
            <w:bookmarkStart w:id="50" w:name="xdx_40C_eus-gaap--LiabilitiesAndStockhol"/>
            <w:bookmarkEnd w:id="50"/>
          </w:p>
        </w:tc>
      </w:tr>
      <w:tr>
        <w:trPr/>
        <w:tc>
          <w:tcPr>
            <w:tcW w:w="7740" w:type="dxa"/>
            <w:tcBorders/>
            <w:shd w:fill="CCEEFF" w:val="clear"/>
            <w:vAlign w:val="center"/>
          </w:tcPr>
          <w:p>
            <w:pPr>
              <w:pStyle w:val="TableContents"/>
              <w:bidi w:val="0"/>
              <w:spacing w:before="0" w:after="283"/>
              <w:jc w:val="left"/>
              <w:rPr>
                <w:b/>
              </w:rPr>
            </w:pPr>
            <w:r>
              <w:rPr>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1" w:name="xdx_40F_eus-gaap--LiabilitiesAbstract_i0"/>
            <w:bookmarkEnd w:id="51"/>
          </w:p>
        </w:tc>
      </w:tr>
      <w:tr>
        <w:trPr/>
        <w:tc>
          <w:tcPr>
            <w:tcW w:w="774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2" w:name="xdx_409_eus-gaap--AccountsPayableCurrent"/>
            <w:bookmarkEnd w:id="52"/>
          </w:p>
        </w:tc>
      </w:tr>
      <w:tr>
        <w:trPr/>
        <w:tc>
          <w:tcPr>
            <w:tcW w:w="774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69" w:type="dxa"/>
            <w:tcBorders/>
            <w:shd w:fill="CCEEFF" w:val="clear"/>
            <w:vAlign w:val="center"/>
          </w:tcPr>
          <w:p>
            <w:pPr>
              <w:pStyle w:val="TableContents"/>
              <w:bidi w:val="0"/>
              <w:spacing w:before="0" w:after="283"/>
              <w:jc w:val="right"/>
              <w:rPr/>
            </w:pPr>
            <w:r>
              <w:rPr/>
              <w:t>617</w:t>
            </w:r>
          </w:p>
        </w:tc>
        <w:tc>
          <w:tcPr>
            <w:tcW w:w="112" w:type="dxa"/>
            <w:tcBorders/>
            <w:shd w:fill="CCEEFF" w:val="clear"/>
            <w:vAlign w:val="center"/>
          </w:tcPr>
          <w:p>
            <w:pPr>
              <w:pStyle w:val="TableContents"/>
              <w:bidi w:val="0"/>
              <w:spacing w:before="0" w:after="283"/>
              <w:jc w:val="left"/>
              <w:rPr/>
            </w:pPr>
            <w:r>
              <w:rPr/>
              <w:t> </w:t>
            </w:r>
            <w:bookmarkStart w:id="53" w:name="xdx_40D_eus-gaap--AccruedLiabilitiesCurr"/>
            <w:bookmarkEnd w:id="53"/>
          </w:p>
        </w:tc>
      </w:tr>
      <w:tr>
        <w:trPr/>
        <w:tc>
          <w:tcPr>
            <w:tcW w:w="7740" w:type="dxa"/>
            <w:tcBorders/>
            <w:shd w:fill="FFFFFF" w:val="clear"/>
            <w:vAlign w:val="center"/>
          </w:tcPr>
          <w:p>
            <w:pPr>
              <w:pStyle w:val="TableContents"/>
              <w:bidi w:val="0"/>
              <w:spacing w:before="0" w:after="283"/>
              <w:jc w:val="left"/>
              <w:rPr/>
            </w:pPr>
            <w:r>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pPr>
            <w:r>
              <w:rPr/>
              <w:t>715</w:t>
            </w:r>
          </w:p>
        </w:tc>
        <w:tc>
          <w:tcPr>
            <w:tcW w:w="112" w:type="dxa"/>
            <w:tcBorders/>
            <w:shd w:fill="FFFFFF" w:val="clear"/>
            <w:vAlign w:val="center"/>
          </w:tcPr>
          <w:p>
            <w:pPr>
              <w:pStyle w:val="TableContents"/>
              <w:bidi w:val="0"/>
              <w:spacing w:before="0" w:after="283"/>
              <w:jc w:val="left"/>
              <w:rPr/>
            </w:pPr>
            <w:r>
              <w:rPr/>
              <w:t> </w:t>
            </w:r>
            <w:bookmarkStart w:id="54" w:name="xdx_405_eus-gaap--LiabilitiesCurrent_i02"/>
            <w:bookmarkEnd w:id="54"/>
          </w:p>
        </w:tc>
      </w:tr>
      <w:tr>
        <w:trPr/>
        <w:tc>
          <w:tcPr>
            <w:tcW w:w="774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1,332</w:t>
            </w:r>
          </w:p>
        </w:tc>
        <w:tc>
          <w:tcPr>
            <w:tcW w:w="112" w:type="dxa"/>
            <w:tcBorders/>
            <w:shd w:fill="CCEEFF" w:val="clear"/>
            <w:vAlign w:val="center"/>
          </w:tcPr>
          <w:p>
            <w:pPr>
              <w:pStyle w:val="TableContents"/>
              <w:bidi w:val="0"/>
              <w:spacing w:before="0" w:after="283"/>
              <w:jc w:val="left"/>
              <w:rPr/>
            </w:pPr>
            <w:r>
              <w:rPr/>
              <w:t> </w:t>
            </w:r>
            <w:bookmarkStart w:id="55" w:name="xdx_408_eus-gaap--OperatingLeaseLiabilit"/>
            <w:bookmarkEnd w:id="55"/>
          </w:p>
        </w:tc>
      </w:tr>
      <w:tr>
        <w:trPr/>
        <w:tc>
          <w:tcPr>
            <w:tcW w:w="7740"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2</w:t>
            </w:r>
          </w:p>
        </w:tc>
        <w:tc>
          <w:tcPr>
            <w:tcW w:w="112" w:type="dxa"/>
            <w:tcBorders/>
            <w:shd w:fill="FFFFFF" w:val="clear"/>
            <w:vAlign w:val="center"/>
          </w:tcPr>
          <w:p>
            <w:pPr>
              <w:pStyle w:val="TableContents"/>
              <w:bidi w:val="0"/>
              <w:spacing w:before="0" w:after="283"/>
              <w:jc w:val="left"/>
              <w:rPr/>
            </w:pPr>
            <w:r>
              <w:rPr/>
              <w:t> </w:t>
            </w:r>
            <w:bookmarkStart w:id="56" w:name="xdx_40D_eus-gaap--OtherLiabilities_i01I_"/>
            <w:bookmarkEnd w:id="56"/>
          </w:p>
        </w:tc>
      </w:tr>
      <w:tr>
        <w:trPr/>
        <w:tc>
          <w:tcPr>
            <w:tcW w:w="7740"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112" w:type="dxa"/>
            <w:tcBorders/>
            <w:shd w:fill="CCEEFF" w:val="clear"/>
            <w:vAlign w:val="center"/>
          </w:tcPr>
          <w:p>
            <w:pPr>
              <w:pStyle w:val="TableContents"/>
              <w:bidi w:val="0"/>
              <w:spacing w:before="0" w:after="283"/>
              <w:jc w:val="left"/>
              <w:rPr/>
            </w:pPr>
            <w:r>
              <w:rPr/>
              <w:t> </w:t>
            </w:r>
            <w:bookmarkStart w:id="57" w:name="xdx_40D_eus-gaap--Liabilities_i01TI_mtLz"/>
            <w:bookmarkEnd w:id="57"/>
          </w:p>
        </w:tc>
      </w:tr>
      <w:tr>
        <w:trPr/>
        <w:tc>
          <w:tcPr>
            <w:tcW w:w="774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1,343</w:t>
            </w:r>
          </w:p>
        </w:tc>
        <w:tc>
          <w:tcPr>
            <w:tcW w:w="112"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8" w:name="xdx_401_eus-gaap--StockholdersEquityAbst"/>
            <w:bookmarkEnd w:id="58"/>
          </w:p>
        </w:tc>
      </w:tr>
      <w:tr>
        <w:trPr/>
        <w:tc>
          <w:tcPr>
            <w:tcW w:w="7740" w:type="dxa"/>
            <w:tcBorders/>
            <w:shd w:fill="FFFFFF" w:val="clear"/>
            <w:vAlign w:val="center"/>
          </w:tcPr>
          <w:p>
            <w:pPr>
              <w:pStyle w:val="TableContents"/>
              <w:bidi w:val="0"/>
              <w:spacing w:before="0" w:after="283"/>
              <w:jc w:val="left"/>
              <w:rPr/>
            </w:pPr>
            <w:r>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9" w:name="xdx_40F_eus-gaap--PreferredStockValue_i0"/>
            <w:bookmarkEnd w:id="59"/>
          </w:p>
        </w:tc>
      </w:tr>
      <w:tr>
        <w:trPr/>
        <w:tc>
          <w:tcPr>
            <w:tcW w:w="7740" w:type="dxa"/>
            <w:tcBorders/>
            <w:shd w:fill="CCEEFF" w:val="clear"/>
            <w:vAlign w:val="center"/>
          </w:tcPr>
          <w:p>
            <w:pPr>
              <w:pStyle w:val="TableContents"/>
              <w:bidi w:val="0"/>
              <w:spacing w:before="0" w:after="283"/>
              <w:jc w:val="left"/>
              <w:rPr/>
            </w:pPr>
            <w:r>
              <w:rPr/>
              <w:t>Preferred stock, $</w:t>
            </w:r>
            <w:bookmarkStart w:id="60" w:name="xdx_90E_eus-gaap--PreferredStockParOrSta"/>
            <w:bookmarkStart w:id="61" w:name="xdx_903_eus-gaap--PreferredStockParOrSta"/>
            <w:bookmarkEnd w:id="60"/>
            <w:bookmarkEnd w:id="61"/>
            <w:r>
              <w:rPr/>
              <w:t xml:space="preserve">0.001 par value; </w:t>
            </w:r>
            <w:bookmarkStart w:id="62" w:name="xdx_90D_eus-gaap--PreferredStockSharesAu"/>
            <w:bookmarkStart w:id="63" w:name="xdx_90A_eus-gaap--PreferredStockSharesAu"/>
            <w:bookmarkEnd w:id="62"/>
            <w:bookmarkEnd w:id="63"/>
            <w:r>
              <w:rPr/>
              <w:t xml:space="preserve">5,000,000 shares authorized at June 30, 2026 and December 31, 2025; </w:t>
            </w:r>
            <w:bookmarkStart w:id="64" w:name="xdx_90B_eus-gaap--PreferredStockDividend"/>
            <w:bookmarkStart w:id="65" w:name="xdx_90D_eus-gaap--PreferredStockDividend"/>
            <w:bookmarkEnd w:id="64"/>
            <w:bookmarkEnd w:id="65"/>
            <w:r>
              <w:rPr/>
              <w:t xml:space="preserve">6% Convertible Exchangeable preferred stock; </w:t>
            </w:r>
            <w:bookmarkStart w:id="66" w:name="xdx_905_eus-gaap--PreferredStockSharesOu"/>
            <w:bookmarkStart w:id="67" w:name="xdx_909_eus-gaap--PreferredStockSharesIs"/>
            <w:bookmarkStart w:id="68" w:name="xdx_90C_eus-gaap--PreferredStockSharesOu"/>
            <w:bookmarkStart w:id="69" w:name="xdx_90B_eus-gaap--PreferredStockSharesIs"/>
            <w:bookmarkEnd w:id="66"/>
            <w:bookmarkEnd w:id="67"/>
            <w:bookmarkEnd w:id="68"/>
            <w:bookmarkEnd w:id="69"/>
            <w:r>
              <w:rPr/>
              <w:t>135,273 shares issued and outstanding at June 30, 2026 and December 31, 2025. Aggregate preference in liquidation of $</w:t>
            </w:r>
            <w:bookmarkStart w:id="70" w:name="xdx_90B_eus-gaap--PreferredStockLiquidat"/>
            <w:bookmarkStart w:id="71" w:name="xdx_901_eus-gaap--PreferredStockLiquidat"/>
            <w:bookmarkEnd w:id="70"/>
            <w:bookmarkEnd w:id="71"/>
            <w:r>
              <w:rPr/>
              <w:t>1,717,967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72" w:name="xdx_40A_eus-gaap--PreferredStockValue_i0"/>
            <w:bookmarkEnd w:id="72"/>
          </w:p>
        </w:tc>
      </w:tr>
      <w:tr>
        <w:trPr/>
        <w:tc>
          <w:tcPr>
            <w:tcW w:w="7740" w:type="dxa"/>
            <w:tcBorders/>
            <w:shd w:fill="FFFFFF" w:val="clear"/>
            <w:vAlign w:val="center"/>
          </w:tcPr>
          <w:p>
            <w:pPr>
              <w:pStyle w:val="TableContents"/>
              <w:bidi w:val="0"/>
              <w:spacing w:before="0" w:after="283"/>
              <w:jc w:val="left"/>
              <w:rPr/>
            </w:pPr>
            <w:r>
              <w:rPr/>
              <w:t>Series A convertible preferred stock, $</w:t>
            </w:r>
            <w:bookmarkStart w:id="73" w:name="xdx_906_eus-gaap--PreferredStockParOrSta"/>
            <w:bookmarkStart w:id="74" w:name="xdx_90D_eus-gaap--PreferredStockParOrSta"/>
            <w:bookmarkEnd w:id="73"/>
            <w:bookmarkEnd w:id="74"/>
            <w:r>
              <w:rPr/>
              <w:t xml:space="preserve">0.001 par value; </w:t>
            </w:r>
            <w:bookmarkStart w:id="75" w:name="xdx_90C_eus-gaap--PreferredStockSharesOu"/>
            <w:bookmarkStart w:id="76" w:name="xdx_90C_eus-gaap--PreferredStockSharesIs"/>
            <w:bookmarkStart w:id="77" w:name="xdx_900_eus-gaap--PreferredStockSharesOu"/>
            <w:bookmarkStart w:id="78" w:name="xdx_90A_eus-gaap--PreferredStockSharesIs"/>
            <w:bookmarkEnd w:id="75"/>
            <w:bookmarkEnd w:id="76"/>
            <w:bookmarkEnd w:id="77"/>
            <w:bookmarkEnd w:id="78"/>
            <w:r>
              <w:rPr/>
              <w:t>264 shares issued and outstanding at June 30, 2026 and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79" w:name="xdx_40F_eus-gaap--PreferredStockValue_i0"/>
            <w:bookmarkEnd w:id="79"/>
          </w:p>
        </w:tc>
      </w:tr>
      <w:tr>
        <w:trPr/>
        <w:tc>
          <w:tcPr>
            <w:tcW w:w="7740" w:type="dxa"/>
            <w:tcBorders/>
            <w:shd w:fill="FFFFFF" w:val="clear"/>
            <w:vAlign w:val="center"/>
          </w:tcPr>
          <w:p>
            <w:pPr>
              <w:pStyle w:val="TableContents"/>
              <w:bidi w:val="0"/>
              <w:spacing w:before="0" w:after="283"/>
              <w:jc w:val="left"/>
              <w:rPr/>
            </w:pPr>
            <w:r>
              <w:rPr/>
              <w:t>Preferred stock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80" w:name="xdx_408_eus-gaap--CommonStockValue_i01I_"/>
            <w:bookmarkEnd w:id="80"/>
          </w:p>
        </w:tc>
      </w:tr>
      <w:tr>
        <w:trPr/>
        <w:tc>
          <w:tcPr>
            <w:tcW w:w="7740" w:type="dxa"/>
            <w:tcBorders/>
            <w:shd w:fill="CCEEFF" w:val="clear"/>
            <w:vAlign w:val="center"/>
          </w:tcPr>
          <w:p>
            <w:pPr>
              <w:pStyle w:val="TableContents"/>
              <w:bidi w:val="0"/>
              <w:spacing w:before="0" w:after="283"/>
              <w:jc w:val="left"/>
              <w:rPr/>
            </w:pPr>
            <w:r>
              <w:rPr/>
              <w:t>Common stock, $</w:t>
            </w:r>
            <w:bookmarkStart w:id="81" w:name="xdx_90B_eus-gaap--CommonStockParOrStated"/>
            <w:bookmarkStart w:id="82" w:name="xdx_90A_eus-gaap--CommonStockParOrStated"/>
            <w:bookmarkEnd w:id="81"/>
            <w:bookmarkEnd w:id="82"/>
            <w:r>
              <w:rPr/>
              <w:t xml:space="preserve">0.001 par value; </w:t>
            </w:r>
            <w:bookmarkStart w:id="83" w:name="xdx_905_eus-gaap--CommonStockSharesAutho"/>
            <w:bookmarkStart w:id="84" w:name="xdx_902_eus-gaap--CommonStockSharesAutho"/>
            <w:bookmarkEnd w:id="83"/>
            <w:bookmarkEnd w:id="84"/>
            <w:r>
              <w:rPr/>
              <w:t xml:space="preserve">600,000,000 shares authorized at June 30, 2026 and December 31, 2025; </w:t>
            </w:r>
            <w:bookmarkStart w:id="85" w:name="xdx_902_eus-gaap--CommonStockSharesOutst"/>
            <w:bookmarkStart w:id="86" w:name="xdx_901_eus-gaap--CommonStockSharesIssue"/>
            <w:bookmarkEnd w:id="85"/>
            <w:bookmarkEnd w:id="86"/>
            <w:r>
              <w:rPr/>
              <w:t xml:space="preserve">6,622,794 shares issued and outstanding at June 30, 2026 and </w:t>
            </w:r>
            <w:bookmarkStart w:id="87" w:name="xdx_90B_eus-gaap--CommonStockSharesOutst"/>
            <w:bookmarkStart w:id="88" w:name="xdx_903_eus-gaap--CommonStockSharesIssue"/>
            <w:bookmarkEnd w:id="87"/>
            <w:bookmarkEnd w:id="88"/>
            <w:r>
              <w:rPr/>
              <w:t>5,400,320 shares issued and outstanding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5</w:t>
            </w:r>
          </w:p>
        </w:tc>
        <w:tc>
          <w:tcPr>
            <w:tcW w:w="112" w:type="dxa"/>
            <w:tcBorders/>
            <w:shd w:fill="CCEEFF" w:val="clear"/>
            <w:vAlign w:val="center"/>
          </w:tcPr>
          <w:p>
            <w:pPr>
              <w:pStyle w:val="TableContents"/>
              <w:bidi w:val="0"/>
              <w:spacing w:before="0" w:after="283"/>
              <w:jc w:val="left"/>
              <w:rPr/>
            </w:pPr>
            <w:r>
              <w:rPr/>
              <w:t> </w:t>
            </w:r>
            <w:bookmarkStart w:id="89" w:name="xdx_40D_eus-gaap--AdditionalPaidInCapita"/>
            <w:bookmarkEnd w:id="89"/>
          </w:p>
        </w:tc>
      </w:tr>
      <w:tr>
        <w:trPr/>
        <w:tc>
          <w:tcPr>
            <w:tcW w:w="774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462,166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461,287</w:t>
            </w:r>
          </w:p>
        </w:tc>
        <w:tc>
          <w:tcPr>
            <w:tcW w:w="112" w:type="dxa"/>
            <w:tcBorders/>
            <w:shd w:fill="FFFFFF" w:val="clear"/>
            <w:vAlign w:val="center"/>
          </w:tcPr>
          <w:p>
            <w:pPr>
              <w:pStyle w:val="TableContents"/>
              <w:bidi w:val="0"/>
              <w:spacing w:before="0" w:after="283"/>
              <w:jc w:val="left"/>
              <w:rPr/>
            </w:pPr>
            <w:r>
              <w:rPr/>
              <w:t> </w:t>
            </w:r>
            <w:bookmarkStart w:id="90" w:name="xdx_40A_eus-gaap--AccumulatedOtherCompre"/>
            <w:bookmarkEnd w:id="90"/>
          </w:p>
        </w:tc>
      </w:tr>
      <w:tr>
        <w:trPr/>
        <w:tc>
          <w:tcPr>
            <w:tcW w:w="7740"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(39</w:t>
            </w:r>
          </w:p>
        </w:tc>
        <w:tc>
          <w:tcPr>
            <w:tcW w:w="112" w:type="dxa"/>
            <w:tcBorders/>
            <w:shd w:fill="CCEEFF" w:val="clear"/>
            <w:vAlign w:val="center"/>
          </w:tcPr>
          <w:p>
            <w:pPr>
              <w:pStyle w:val="TableContents"/>
              <w:bidi w:val="0"/>
              <w:spacing w:before="0" w:after="283"/>
              <w:jc w:val="left"/>
              <w:rPr/>
            </w:pPr>
            <w:r>
              <w:rPr/>
              <w:t>)</w:t>
            </w:r>
            <w:bookmarkStart w:id="91" w:name="xdx_40C_eus-gaap--RetainedEarningsAccumu"/>
            <w:bookmarkEnd w:id="91"/>
          </w:p>
        </w:tc>
      </w:tr>
      <w:tr>
        <w:trPr/>
        <w:tc>
          <w:tcPr>
            <w:tcW w:w="774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(455,013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pPr>
            <w:r>
              <w:rPr/>
              <w:t>(454,411</w:t>
            </w:r>
          </w:p>
        </w:tc>
        <w:tc>
          <w:tcPr>
            <w:tcW w:w="112" w:type="dxa"/>
            <w:tcBorders/>
            <w:shd w:fill="FFFFFF" w:val="clear"/>
            <w:vAlign w:val="center"/>
          </w:tcPr>
          <w:p>
            <w:pPr>
              <w:pStyle w:val="TableContents"/>
              <w:bidi w:val="0"/>
              <w:spacing w:before="0" w:after="283"/>
              <w:jc w:val="left"/>
              <w:rPr/>
            </w:pPr>
            <w:r>
              <w:rPr/>
              <w:t>)</w:t>
            </w:r>
            <w:bookmarkStart w:id="92" w:name="xdx_40A_eus-gaap--StockholdersEquity_i01"/>
            <w:bookmarkEnd w:id="92"/>
          </w:p>
        </w:tc>
      </w:tr>
      <w:tr>
        <w:trPr/>
        <w:tc>
          <w:tcPr>
            <w:tcW w:w="7740" w:type="dxa"/>
            <w:tcBorders/>
            <w:shd w:fill="CCEEFF" w:val="clear"/>
            <w:vAlign w:val="center"/>
          </w:tcPr>
          <w:p>
            <w:pPr>
              <w:pStyle w:val="TableContents"/>
              <w:bidi w:val="0"/>
              <w:spacing w:before="0" w:after="283"/>
              <w:jc w:val="left"/>
              <w:rPr/>
            </w:pPr>
            <w:r>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7,160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pPr>
            <w:r>
              <w:rPr/>
              <w:t>6,842</w:t>
            </w:r>
          </w:p>
        </w:tc>
        <w:tc>
          <w:tcPr>
            <w:tcW w:w="112" w:type="dxa"/>
            <w:tcBorders/>
            <w:shd w:fill="CCEEFF" w:val="clear"/>
            <w:vAlign w:val="center"/>
          </w:tcPr>
          <w:p>
            <w:pPr>
              <w:pStyle w:val="TableContents"/>
              <w:bidi w:val="0"/>
              <w:spacing w:before="0" w:after="283"/>
              <w:jc w:val="left"/>
              <w:rPr/>
            </w:pPr>
            <w:r>
              <w:rPr/>
              <w:t> </w:t>
            </w:r>
            <w:bookmarkStart w:id="93" w:name="xdx_407_eus-gaap--LiabilitiesAndStockhol"/>
            <w:bookmarkEnd w:id="93"/>
          </w:p>
        </w:tc>
      </w:tr>
      <w:tr>
        <w:trPr/>
        <w:tc>
          <w:tcPr>
            <w:tcW w:w="7740" w:type="dxa"/>
            <w:tcBorders/>
            <w:shd w:fill="FFFFFF" w:val="clear"/>
            <w:vAlign w:val="center"/>
          </w:tcPr>
          <w:p>
            <w:pPr>
              <w:pStyle w:val="TableContents"/>
              <w:bidi w:val="0"/>
              <w:spacing w:before="0" w:after="283"/>
              <w:jc w:val="left"/>
              <w:rPr/>
            </w:pPr>
            <w:r>
              <w:rPr/>
              <w:t>Total 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7,854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pPr>
            <w:r>
              <w:rPr/>
              <w:t>8,185</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4" w:name="ns_004"/>
      <w:bookmarkEnd w:id="94"/>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and per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5" w:name="xdx_30C_113_pn3n3_zHChCFmcrxAj"/>
      <w:bookmarkStart w:id="96" w:name="xdx_30C_113_pn3n3_zHChCFmcrxAj"/>
      <w:bookmarkEnd w:id="96"/>
    </w:p>
    <w:tbl>
      <w:tblPr>
        <w:tblW w:w="10205" w:type="dxa"/>
        <w:jc w:val="left"/>
        <w:tblInd w:w="0" w:type="dxa"/>
        <w:tblLayout w:type="fixed"/>
        <w:tblCellMar>
          <w:top w:w="0" w:type="dxa"/>
          <w:left w:w="0" w:type="dxa"/>
          <w:bottom w:w="0" w:type="dxa"/>
          <w:right w:w="0" w:type="dxa"/>
        </w:tblCellMar>
      </w:tblPr>
      <w:tblGrid>
        <w:gridCol w:w="5430"/>
        <w:gridCol w:w="60"/>
        <w:gridCol w:w="140"/>
        <w:gridCol w:w="980"/>
        <w:gridCol w:w="95"/>
        <w:gridCol w:w="60"/>
        <w:gridCol w:w="140"/>
        <w:gridCol w:w="980"/>
        <w:gridCol w:w="95"/>
        <w:gridCol w:w="60"/>
        <w:gridCol w:w="60"/>
        <w:gridCol w:w="980"/>
        <w:gridCol w:w="95"/>
        <w:gridCol w:w="60"/>
        <w:gridCol w:w="60"/>
        <w:gridCol w:w="800"/>
        <w:gridCol w:w="110"/>
      </w:tblGrid>
      <w:tr>
        <w:trPr/>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7" w:name="xdx_49D_20260401__20260630_zvRaqflWuAY5"/>
            <w:bookmarkEnd w:id="97"/>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8" w:name="xdx_49B_20250401__20250630_zAxRv2Z17Ra"/>
            <w:bookmarkEnd w:id="98"/>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9" w:name="xdx_493_20260101__20260630_z9roLyTMldrj"/>
            <w:bookmarkEnd w:id="99"/>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0" w:name="xdx_497_20250101__20250630_zcGQVANITsN2"/>
            <w:bookmarkEnd w:id="100"/>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5"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w:t>
            </w:r>
          </w:p>
        </w:tc>
        <w:tc>
          <w:tcPr>
            <w:tcW w:w="110" w:type="dxa"/>
            <w:tcBorders/>
            <w:vAlign w:val="center"/>
          </w:tcPr>
          <w:p>
            <w:pPr>
              <w:pStyle w:val="TableContents"/>
              <w:bidi w:val="0"/>
              <w:spacing w:before="0" w:after="283"/>
              <w:jc w:val="left"/>
              <w:rPr/>
            </w:pPr>
            <w:r>
              <w:rPr/>
              <w:t> </w:t>
            </w:r>
          </w:p>
        </w:tc>
      </w:tr>
      <w:tr>
        <w:trPr/>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101" w:name="xdx_40F_eus-gaap--RevenuesAbstract_i"/>
            <w:bookmarkEnd w:id="101"/>
          </w:p>
        </w:tc>
      </w:tr>
      <w:tr>
        <w:trPr/>
        <w:tc>
          <w:tcPr>
            <w:tcW w:w="543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2" w:name="xdx_400_eus-gaap--RevenueFromContractWit"/>
            <w:bookmarkEnd w:id="102"/>
          </w:p>
        </w:tc>
      </w:tr>
      <w:tr>
        <w:trPr/>
        <w:tc>
          <w:tcPr>
            <w:tcW w:w="5430" w:type="dxa"/>
            <w:tcBorders/>
            <w:shd w:fill="FFFFFF" w:val="clear"/>
            <w:vAlign w:val="center"/>
          </w:tcPr>
          <w:p>
            <w:pPr>
              <w:pStyle w:val="TableContents"/>
              <w:bidi w:val="0"/>
              <w:spacing w:before="0" w:after="283"/>
              <w:jc w:val="left"/>
              <w:rPr/>
            </w:pPr>
            <w:r>
              <w:rPr/>
              <w:t>Product revenue - fire safety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3" w:name="xdx_409_eus-gaap--RevenueFromContractWit"/>
            <w:bookmarkEnd w:id="103"/>
          </w:p>
        </w:tc>
      </w:tr>
      <w:tr>
        <w:trPr/>
        <w:tc>
          <w:tcPr>
            <w:tcW w:w="543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4" w:name="xdx_40A_eus-gaap--OperatingExpensesAbstr"/>
            <w:bookmarkEnd w:id="104"/>
          </w:p>
        </w:tc>
      </w:tr>
      <w:tr>
        <w:trPr/>
        <w:tc>
          <w:tcPr>
            <w:tcW w:w="543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5" w:name="xdx_40E_ecustom--CostOfSales_i01_maOEz0J"/>
            <w:bookmarkEnd w:id="105"/>
          </w:p>
        </w:tc>
      </w:tr>
      <w:tr>
        <w:trPr/>
        <w:tc>
          <w:tcPr>
            <w:tcW w:w="543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6" w:name="xdx_401_eus-gaap--GeneralAndAdministrati"/>
            <w:bookmarkEnd w:id="106"/>
          </w:p>
        </w:tc>
      </w:tr>
      <w:tr>
        <w:trPr/>
        <w:tc>
          <w:tcPr>
            <w:tcW w:w="543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5,463</w:t>
            </w:r>
          </w:p>
        </w:tc>
        <w:tc>
          <w:tcPr>
            <w:tcW w:w="110" w:type="dxa"/>
            <w:tcBorders/>
            <w:shd w:fill="CCEEFF" w:val="clear"/>
            <w:vAlign w:val="center"/>
          </w:tcPr>
          <w:p>
            <w:pPr>
              <w:pStyle w:val="TableContents"/>
              <w:bidi w:val="0"/>
              <w:spacing w:before="0" w:after="283"/>
              <w:jc w:val="left"/>
              <w:rPr/>
            </w:pPr>
            <w:r>
              <w:rPr/>
              <w:t> </w:t>
            </w:r>
            <w:bookmarkStart w:id="107" w:name="xdx_40C_eus-gaap--OperatingExpenses_i01T"/>
            <w:bookmarkEnd w:id="107"/>
          </w:p>
        </w:tc>
      </w:tr>
      <w:tr>
        <w:trPr/>
        <w:tc>
          <w:tcPr>
            <w:tcW w:w="543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5,463</w:t>
            </w:r>
          </w:p>
        </w:tc>
        <w:tc>
          <w:tcPr>
            <w:tcW w:w="110" w:type="dxa"/>
            <w:tcBorders/>
            <w:shd w:fill="FFFFFF" w:val="clear"/>
            <w:vAlign w:val="center"/>
          </w:tcPr>
          <w:p>
            <w:pPr>
              <w:pStyle w:val="TableContents"/>
              <w:bidi w:val="0"/>
              <w:spacing w:before="0" w:after="283"/>
              <w:jc w:val="left"/>
              <w:rPr/>
            </w:pPr>
            <w:r>
              <w:rPr/>
              <w:t> </w:t>
            </w:r>
            <w:bookmarkStart w:id="108" w:name="xdx_40C_eus-gaap--OperatingIncomeLoss_iT"/>
            <w:bookmarkEnd w:id="108"/>
          </w:p>
        </w:tc>
      </w:tr>
      <w:tr>
        <w:trPr/>
        <w:tc>
          <w:tcPr>
            <w:tcW w:w="5430"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(5,463</w:t>
            </w:r>
          </w:p>
        </w:tc>
        <w:tc>
          <w:tcPr>
            <w:tcW w:w="110" w:type="dxa"/>
            <w:tcBorders/>
            <w:shd w:fill="CCEEFF" w:val="clear"/>
            <w:vAlign w:val="center"/>
          </w:tcPr>
          <w:p>
            <w:pPr>
              <w:pStyle w:val="TableContents"/>
              <w:bidi w:val="0"/>
              <w:spacing w:before="0" w:after="283"/>
              <w:jc w:val="left"/>
              <w:rPr/>
            </w:pPr>
            <w:r>
              <w:rPr/>
              <w:t>)</w:t>
            </w:r>
            <w:bookmarkStart w:id="109" w:name="xdx_40F_eus-gaap--NonoperatingIncomeExpe"/>
            <w:bookmarkEnd w:id="109"/>
          </w:p>
        </w:tc>
      </w:tr>
      <w:tr>
        <w:trPr/>
        <w:tc>
          <w:tcPr>
            <w:tcW w:w="5430"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0" w:name="xdx_403_eus-gaap--ForeignCurrencyTransac"/>
            <w:bookmarkEnd w:id="110"/>
          </w:p>
        </w:tc>
      </w:tr>
      <w:tr>
        <w:trPr/>
        <w:tc>
          <w:tcPr>
            <w:tcW w:w="5430" w:type="dxa"/>
            <w:tcBorders/>
            <w:shd w:fill="CCEEFF" w:val="clear"/>
            <w:vAlign w:val="center"/>
          </w:tcPr>
          <w:p>
            <w:pPr>
              <w:pStyle w:val="TableContents"/>
              <w:bidi w:val="0"/>
              <w:spacing w:before="0" w:after="283"/>
              <w:jc w:val="left"/>
              <w:rPr/>
            </w:pPr>
            <w:r>
              <w:rPr/>
              <w:t>Foreign exchange gains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w:t>
            </w:r>
          </w:p>
        </w:tc>
        <w:tc>
          <w:tcPr>
            <w:tcW w:w="110" w:type="dxa"/>
            <w:tcBorders/>
            <w:shd w:fill="CCEEFF" w:val="clear"/>
            <w:vAlign w:val="center"/>
          </w:tcPr>
          <w:p>
            <w:pPr>
              <w:pStyle w:val="TableContents"/>
              <w:bidi w:val="0"/>
              <w:spacing w:before="0" w:after="283"/>
              <w:jc w:val="left"/>
              <w:rPr/>
            </w:pPr>
            <w:r>
              <w:rPr/>
              <w:t>)</w:t>
            </w:r>
            <w:bookmarkStart w:id="111" w:name="xdx_40E_eus-gaap--InterestIncomeExpenseN"/>
            <w:bookmarkEnd w:id="111"/>
          </w:p>
        </w:tc>
      </w:tr>
      <w:tr>
        <w:trPr/>
        <w:tc>
          <w:tcPr>
            <w:tcW w:w="5430" w:type="dxa"/>
            <w:tcBorders/>
            <w:shd w:fill="FFFFFF" w:val="clear"/>
            <w:vAlign w:val="center"/>
          </w:tcPr>
          <w:p>
            <w:pPr>
              <w:pStyle w:val="TableContents"/>
              <w:bidi w:val="0"/>
              <w:spacing w:before="0" w:after="283"/>
              <w:jc w:val="left"/>
              <w:rPr/>
            </w:pPr>
            <w:r>
              <w:rPr/>
              <w:t>Interest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w:t>
            </w:r>
          </w:p>
        </w:tc>
        <w:tc>
          <w:tcPr>
            <w:tcW w:w="110" w:type="dxa"/>
            <w:tcBorders/>
            <w:shd w:fill="FFFFFF" w:val="clear"/>
            <w:vAlign w:val="center"/>
          </w:tcPr>
          <w:p>
            <w:pPr>
              <w:pStyle w:val="TableContents"/>
              <w:bidi w:val="0"/>
              <w:spacing w:before="0" w:after="283"/>
              <w:jc w:val="left"/>
              <w:rPr/>
            </w:pPr>
            <w:r>
              <w:rPr/>
              <w:t> </w:t>
            </w:r>
            <w:bookmarkStart w:id="112" w:name="xdx_401_eus-gaap--OtherNonoperatingIncom"/>
            <w:bookmarkEnd w:id="112"/>
          </w:p>
        </w:tc>
      </w:tr>
      <w:tr>
        <w:trPr/>
        <w:tc>
          <w:tcPr>
            <w:tcW w:w="543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w:t>
            </w:r>
          </w:p>
        </w:tc>
        <w:tc>
          <w:tcPr>
            <w:tcW w:w="110" w:type="dxa"/>
            <w:tcBorders/>
            <w:shd w:fill="CCEEFF" w:val="clear"/>
            <w:vAlign w:val="center"/>
          </w:tcPr>
          <w:p>
            <w:pPr>
              <w:pStyle w:val="TableContents"/>
              <w:bidi w:val="0"/>
              <w:spacing w:before="0" w:after="283"/>
              <w:jc w:val="left"/>
              <w:rPr/>
            </w:pPr>
            <w:r>
              <w:rPr/>
              <w:t> </w:t>
            </w:r>
            <w:bookmarkStart w:id="113" w:name="xdx_40E_eus-gaap--NonoperatingIncomeExpe"/>
            <w:bookmarkEnd w:id="113"/>
          </w:p>
        </w:tc>
      </w:tr>
      <w:tr>
        <w:trPr/>
        <w:tc>
          <w:tcPr>
            <w:tcW w:w="5430"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110" w:type="dxa"/>
            <w:tcBorders/>
            <w:shd w:fill="FFFFFF" w:val="clear"/>
            <w:vAlign w:val="center"/>
          </w:tcPr>
          <w:p>
            <w:pPr>
              <w:pStyle w:val="TableContents"/>
              <w:bidi w:val="0"/>
              <w:spacing w:before="0" w:after="283"/>
              <w:jc w:val="left"/>
              <w:rPr/>
            </w:pPr>
            <w:r>
              <w:rPr/>
              <w:t> </w:t>
            </w:r>
            <w:bookmarkStart w:id="114" w:name="xdx_40B_eus-gaap--IncomeLossFromContinui"/>
            <w:bookmarkEnd w:id="114"/>
          </w:p>
        </w:tc>
      </w:tr>
      <w:tr>
        <w:trPr/>
        <w:tc>
          <w:tcPr>
            <w:tcW w:w="5430" w:type="dxa"/>
            <w:tcBorders/>
            <w:shd w:fill="CCEEFF" w:val="clear"/>
            <w:vAlign w:val="center"/>
          </w:tcPr>
          <w:p>
            <w:pPr>
              <w:pStyle w:val="TableContents"/>
              <w:bidi w:val="0"/>
              <w:spacing w:before="0" w:after="283"/>
              <w:jc w:val="left"/>
              <w:rPr>
                <w:b/>
              </w:rPr>
            </w:pPr>
            <w:r>
              <w:rPr>
                <w:b/>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(5,454</w:t>
            </w:r>
          </w:p>
        </w:tc>
        <w:tc>
          <w:tcPr>
            <w:tcW w:w="110" w:type="dxa"/>
            <w:tcBorders/>
            <w:shd w:fill="CCEEFF" w:val="clear"/>
            <w:vAlign w:val="center"/>
          </w:tcPr>
          <w:p>
            <w:pPr>
              <w:pStyle w:val="TableContents"/>
              <w:bidi w:val="0"/>
              <w:spacing w:before="0" w:after="283"/>
              <w:jc w:val="left"/>
              <w:rPr/>
            </w:pPr>
            <w:r>
              <w:rPr/>
              <w:t>)</w:t>
            </w:r>
            <w:bookmarkStart w:id="115" w:name="xdx_40C_eus-gaap--IncomeTaxExpenseBenefi"/>
            <w:bookmarkEnd w:id="115"/>
          </w:p>
        </w:tc>
      </w:tr>
      <w:tr>
        <w:trPr/>
        <w:tc>
          <w:tcPr>
            <w:tcW w:w="543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w:t>
            </w:r>
            <w:bookmarkStart w:id="116" w:name="xdx_400_eus-gaap--IncomeLossFromContinui"/>
            <w:bookmarkEnd w:id="116"/>
          </w:p>
        </w:tc>
      </w:tr>
      <w:tr>
        <w:trPr/>
        <w:tc>
          <w:tcPr>
            <w:tcW w:w="5430" w:type="dxa"/>
            <w:tcBorders/>
            <w:shd w:fill="CCEEFF" w:val="clear"/>
            <w:vAlign w:val="center"/>
          </w:tcPr>
          <w:p>
            <w:pPr>
              <w:pStyle w:val="TableContents"/>
              <w:bidi w:val="0"/>
              <w:spacing w:before="0" w:after="283"/>
              <w:jc w:val="left"/>
              <w:rPr>
                <w:b/>
              </w:rPr>
            </w:pPr>
            <w:r>
              <w:rPr>
                <w:b/>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(5,456</w:t>
            </w:r>
          </w:p>
        </w:tc>
        <w:tc>
          <w:tcPr>
            <w:tcW w:w="110" w:type="dxa"/>
            <w:tcBorders/>
            <w:shd w:fill="CCEEFF" w:val="clear"/>
            <w:vAlign w:val="center"/>
          </w:tcPr>
          <w:p>
            <w:pPr>
              <w:pStyle w:val="TableContents"/>
              <w:bidi w:val="0"/>
              <w:spacing w:before="0" w:after="283"/>
              <w:jc w:val="left"/>
              <w:rPr/>
            </w:pPr>
            <w:r>
              <w:rPr/>
              <w:t>)</w:t>
            </w:r>
            <w:bookmarkStart w:id="117" w:name="xdx_401_eus-gaap--IncomeLossFromDisconti"/>
            <w:bookmarkEnd w:id="117"/>
          </w:p>
        </w:tc>
      </w:tr>
      <w:tr>
        <w:trPr/>
        <w:tc>
          <w:tcPr>
            <w:tcW w:w="5430" w:type="dxa"/>
            <w:tcBorders/>
            <w:shd w:fill="FFFFFF" w:val="clear"/>
            <w:vAlign w:val="center"/>
          </w:tcPr>
          <w:p>
            <w:pPr>
              <w:pStyle w:val="TableContents"/>
              <w:bidi w:val="0"/>
              <w:spacing w:before="0" w:after="283"/>
              <w:jc w:val="left"/>
              <w:rPr>
                <w:b/>
              </w:rPr>
            </w:pPr>
            <w:r>
              <w:rPr>
                <w:b/>
              </w:rPr>
              <w:t>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8" w:name="xdx_40B_eus-gaap--DiscontinuedOperationI"/>
            <w:bookmarkEnd w:id="118"/>
          </w:p>
        </w:tc>
      </w:tr>
      <w:tr>
        <w:trPr/>
        <w:tc>
          <w:tcPr>
            <w:tcW w:w="5430" w:type="dxa"/>
            <w:tcBorders/>
            <w:shd w:fill="CCEEFF" w:val="clear"/>
            <w:vAlign w:val="center"/>
          </w:tcPr>
          <w:p>
            <w:pPr>
              <w:pStyle w:val="TableContents"/>
              <w:bidi w:val="0"/>
              <w:spacing w:before="0" w:after="283"/>
              <w:jc w:val="left"/>
              <w:rPr/>
            </w:pPr>
            <w:r>
              <w:rPr/>
              <w:t>Operating losses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(890</w:t>
            </w:r>
          </w:p>
        </w:tc>
        <w:tc>
          <w:tcPr>
            <w:tcW w:w="110" w:type="dxa"/>
            <w:tcBorders/>
            <w:shd w:fill="CCEEFF" w:val="clear"/>
            <w:vAlign w:val="center"/>
          </w:tcPr>
          <w:p>
            <w:pPr>
              <w:pStyle w:val="TableContents"/>
              <w:bidi w:val="0"/>
              <w:spacing w:before="0" w:after="283"/>
              <w:jc w:val="left"/>
              <w:rPr/>
            </w:pPr>
            <w:r>
              <w:rPr/>
              <w:t>)</w:t>
            </w:r>
            <w:bookmarkStart w:id="119" w:name="xdx_405_ecustom--GainOnDeconsolidationOf"/>
            <w:bookmarkEnd w:id="119"/>
          </w:p>
        </w:tc>
      </w:tr>
      <w:tr>
        <w:trPr/>
        <w:tc>
          <w:tcPr>
            <w:tcW w:w="5430" w:type="dxa"/>
            <w:tcBorders/>
            <w:shd w:fill="FFFFFF" w:val="clear"/>
            <w:vAlign w:val="center"/>
          </w:tcPr>
          <w:p>
            <w:pPr>
              <w:pStyle w:val="TableContents"/>
              <w:bidi w:val="0"/>
              <w:spacing w:before="0" w:after="283"/>
              <w:jc w:val="left"/>
              <w:rPr/>
            </w:pPr>
            <w:r>
              <w:rPr/>
              <w:t>Gain on deconsolidation of subsidiary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4,947</w:t>
            </w:r>
          </w:p>
        </w:tc>
        <w:tc>
          <w:tcPr>
            <w:tcW w:w="110" w:type="dxa"/>
            <w:tcBorders/>
            <w:shd w:fill="FFFFFF" w:val="clear"/>
            <w:vAlign w:val="center"/>
          </w:tcPr>
          <w:p>
            <w:pPr>
              <w:pStyle w:val="TableContents"/>
              <w:bidi w:val="0"/>
              <w:spacing w:before="0" w:after="283"/>
              <w:jc w:val="left"/>
              <w:rPr/>
            </w:pPr>
            <w:r>
              <w:rPr/>
              <w:t> </w:t>
            </w:r>
            <w:bookmarkStart w:id="120" w:name="xdx_40C_eus-gaap--DiscontinuedOperationI"/>
            <w:bookmarkEnd w:id="120"/>
          </w:p>
        </w:tc>
      </w:tr>
      <w:tr>
        <w:trPr/>
        <w:tc>
          <w:tcPr>
            <w:tcW w:w="5430" w:type="dxa"/>
            <w:tcBorders/>
            <w:shd w:fill="CCEEFF" w:val="clear"/>
            <w:vAlign w:val="center"/>
          </w:tcPr>
          <w:p>
            <w:pPr>
              <w:pStyle w:val="TableContents"/>
              <w:bidi w:val="0"/>
              <w:spacing w:before="0" w:after="283"/>
              <w:jc w:val="left"/>
              <w:rPr>
                <w:b/>
              </w:rPr>
            </w:pPr>
            <w:r>
              <w:rPr>
                <w:b/>
              </w:rPr>
              <w:t>Net income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4,057</w:t>
            </w:r>
          </w:p>
        </w:tc>
        <w:tc>
          <w:tcPr>
            <w:tcW w:w="110" w:type="dxa"/>
            <w:tcBorders/>
            <w:shd w:fill="CCEEFF" w:val="clear"/>
            <w:vAlign w:val="center"/>
          </w:tcPr>
          <w:p>
            <w:pPr>
              <w:pStyle w:val="TableContents"/>
              <w:bidi w:val="0"/>
              <w:spacing w:before="0" w:after="283"/>
              <w:jc w:val="left"/>
              <w:rPr/>
            </w:pPr>
            <w:r>
              <w:rPr/>
              <w:t> </w:t>
            </w:r>
            <w:bookmarkStart w:id="121" w:name="xdx_407_eus-gaap--NetIncomeLoss_iT_maNIL"/>
            <w:bookmarkEnd w:id="121"/>
          </w:p>
        </w:tc>
      </w:tr>
      <w:tr>
        <w:trPr/>
        <w:tc>
          <w:tcPr>
            <w:tcW w:w="543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(1,399</w:t>
            </w:r>
          </w:p>
        </w:tc>
        <w:tc>
          <w:tcPr>
            <w:tcW w:w="110" w:type="dxa"/>
            <w:tcBorders/>
            <w:shd w:fill="FFFFFF" w:val="clear"/>
            <w:vAlign w:val="center"/>
          </w:tcPr>
          <w:p>
            <w:pPr>
              <w:pStyle w:val="TableContents"/>
              <w:bidi w:val="0"/>
              <w:spacing w:before="0" w:after="283"/>
              <w:jc w:val="left"/>
              <w:rPr/>
            </w:pPr>
            <w:r>
              <w:rPr/>
              <w:t>)</w:t>
            </w:r>
            <w:bookmarkStart w:id="122" w:name="xdx_404_eus-gaap--PreferredStockDividend"/>
            <w:bookmarkEnd w:id="122"/>
          </w:p>
        </w:tc>
      </w:tr>
      <w:tr>
        <w:trPr/>
        <w:tc>
          <w:tcPr>
            <w:tcW w:w="5430" w:type="dxa"/>
            <w:tcBorders/>
            <w:shd w:fill="CCEEFF" w:val="clear"/>
            <w:vAlign w:val="center"/>
          </w:tcPr>
          <w:p>
            <w:pPr>
              <w:pStyle w:val="TableContents"/>
              <w:bidi w:val="0"/>
              <w:spacing w:before="0" w:after="283"/>
              <w:jc w:val="left"/>
              <w:rPr/>
            </w:pPr>
            <w:r>
              <w:rPr/>
              <w:t>Dividend on convertible exchangeable preferred shares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jc w:val="left"/>
              <w:rPr/>
            </w:pPr>
            <w:r>
              <w:rPr/>
              <w:t>)</w:t>
            </w:r>
            <w:bookmarkStart w:id="123" w:name="xdx_407_eus-gaap--NetIncomeLossAvailable"/>
            <w:bookmarkEnd w:id="123"/>
          </w:p>
        </w:tc>
      </w:tr>
      <w:tr>
        <w:trPr/>
        <w:tc>
          <w:tcPr>
            <w:tcW w:w="5430" w:type="dxa"/>
            <w:tcBorders/>
            <w:shd w:fill="FFFFFF" w:val="clear"/>
            <w:vAlign w:val="center"/>
          </w:tcPr>
          <w:p>
            <w:pPr>
              <w:pStyle w:val="TableContents"/>
              <w:bidi w:val="0"/>
              <w:spacing w:before="0" w:after="283"/>
              <w:jc w:val="left"/>
              <w:rPr>
                <w:b/>
              </w:rPr>
            </w:pPr>
            <w:r>
              <w:rPr>
                <w:b/>
              </w:rPr>
              <w:t>Net loss applicable to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(1,338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(642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(1,419</w:t>
            </w:r>
          </w:p>
        </w:tc>
        <w:tc>
          <w:tcPr>
            <w:tcW w:w="110" w:type="dxa"/>
            <w:tcBorders/>
            <w:shd w:fill="FFFFFF" w:val="clear"/>
            <w:vAlign w:val="center"/>
          </w:tcPr>
          <w:p>
            <w:pPr>
              <w:pStyle w:val="TableContents"/>
              <w:bidi w:val="0"/>
              <w:spacing w:before="0" w:after="283"/>
              <w:jc w:val="left"/>
              <w:rPr/>
            </w:pPr>
            <w:r>
              <w:rPr/>
              <w:t>)</w:t>
            </w:r>
            <w:bookmarkStart w:id="124" w:name="xdx_400_eus-gaap--EarningsPerShareAbstra"/>
            <w:bookmarkEnd w:id="124"/>
          </w:p>
        </w:tc>
      </w:tr>
      <w:tr>
        <w:trPr/>
        <w:tc>
          <w:tcPr>
            <w:tcW w:w="5430" w:type="dxa"/>
            <w:tcBorders/>
            <w:shd w:fill="CCEEFF" w:val="clear"/>
            <w:vAlign w:val="center"/>
          </w:tcPr>
          <w:p>
            <w:pPr>
              <w:pStyle w:val="TableContents"/>
              <w:bidi w:val="0"/>
              <w:spacing w:before="0" w:after="283"/>
              <w:jc w:val="left"/>
              <w:rPr>
                <w:b/>
              </w:rPr>
            </w:pPr>
            <w:r>
              <w:rPr>
                <w:b/>
              </w:rPr>
              <w:t>Basic and diluted earnings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pPr>
            <w:r>
              <w:rPr/>
              <w:t>Net loss per share, continuing operations – basic and diluted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bookmarkStart w:id="125" w:name="xdx_906_eus-gaap--IncomeLossFromContinui"/>
            <w:bookmarkStart w:id="126" w:name="xdx_90C_eus-gaap--IncomeLossFromContinui"/>
            <w:bookmarkEnd w:id="125"/>
            <w:bookmarkEnd w:id="126"/>
            <w:r>
              <w:rPr/>
              <w:t>(0.08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bookmarkStart w:id="127" w:name="xdx_909_eus-gaap--IncomeLossFromContinui"/>
            <w:bookmarkStart w:id="128" w:name="xdx_90B_eus-gaap--IncomeLossFromContinui"/>
            <w:bookmarkEnd w:id="127"/>
            <w:bookmarkEnd w:id="128"/>
            <w:r>
              <w:rPr/>
              <w:t>(0.93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bookmarkStart w:id="129" w:name="xdx_902_eus-gaap--IncomeLossFromContinui"/>
            <w:bookmarkStart w:id="130" w:name="xdx_90B_eus-gaap--IncomeLossFromContinui"/>
            <w:bookmarkEnd w:id="129"/>
            <w:bookmarkEnd w:id="130"/>
            <w:r>
              <w:rPr/>
              <w:t>(0.12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bookmarkStart w:id="131" w:name="xdx_90F_eus-gaap--IncomeLossFromContinui"/>
            <w:bookmarkStart w:id="132" w:name="xdx_900_eus-gaap--IncomeLossFromContinui"/>
            <w:bookmarkEnd w:id="131"/>
            <w:bookmarkEnd w:id="132"/>
            <w:r>
              <w:rPr/>
              <w:t>(1.62</w:t>
            </w:r>
          </w:p>
        </w:tc>
        <w:tc>
          <w:tcPr>
            <w:tcW w:w="110" w:type="dxa"/>
            <w:tcBorders/>
            <w:shd w:fill="FFFFFF" w:val="clear"/>
            <w:vAlign w:val="center"/>
          </w:tcPr>
          <w:p>
            <w:pPr>
              <w:pStyle w:val="TableContents"/>
              <w:bidi w:val="0"/>
              <w:spacing w:before="0" w:after="283"/>
              <w:jc w:val="left"/>
              <w:rPr/>
            </w:pPr>
            <w:r>
              <w:rPr/>
              <w:t>)</w:t>
            </w:r>
          </w:p>
        </w:tc>
      </w:tr>
      <w:tr>
        <w:trPr/>
        <w:tc>
          <w:tcPr>
            <w:tcW w:w="5430" w:type="dxa"/>
            <w:tcBorders/>
            <w:shd w:fill="CCEEFF" w:val="clear"/>
            <w:vAlign w:val="center"/>
          </w:tcPr>
          <w:p>
            <w:pPr>
              <w:pStyle w:val="TableContents"/>
              <w:bidi w:val="0"/>
              <w:spacing w:before="0" w:after="283"/>
              <w:jc w:val="left"/>
              <w:rPr/>
            </w:pPr>
            <w:r>
              <w:rPr/>
              <w:t>Net loss per share, discontinued operations – basic and diluted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33" w:name="xdx_905_eus-gaap--DiscontinuedOperationI"/>
            <w:bookmarkStart w:id="134" w:name="xdx_906_eus-gaap--DiscontinuedOperationI"/>
            <w:bookmarkEnd w:id="133"/>
            <w:bookmarkEnd w:id="134"/>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35" w:name="xdx_90C_eus-gaap--DiscontinuedOperationI"/>
            <w:bookmarkStart w:id="136" w:name="xdx_907_eus-gaap--DiscontinuedOperationI"/>
            <w:bookmarkEnd w:id="135"/>
            <w:bookmarkEnd w:id="136"/>
            <w:r>
              <w:rPr/>
              <w:t>(0.05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37" w:name="xdx_903_eus-gaap--DiscontinuedOperationI"/>
            <w:bookmarkStart w:id="138" w:name="xdx_90D_eus-gaap--DiscontinuedOperationI"/>
            <w:bookmarkEnd w:id="137"/>
            <w:bookmarkEnd w:id="138"/>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39" w:name="xdx_907_eus-gaap--DiscontinuedOperationI"/>
            <w:bookmarkStart w:id="140" w:name="xdx_90E_eus-gaap--DiscontinuedOperationI"/>
            <w:bookmarkEnd w:id="139"/>
            <w:bookmarkEnd w:id="140"/>
            <w:r>
              <w:rPr/>
              <w:t>4.62</w:t>
            </w:r>
          </w:p>
        </w:tc>
        <w:tc>
          <w:tcPr>
            <w:tcW w:w="110"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30"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41" w:name="xdx_903_eus-gaap--WeightedAverageNumberO"/>
            <w:bookmarkStart w:id="142" w:name="xdx_90C_eus-gaap--WeightedAverageNumberO"/>
            <w:bookmarkEnd w:id="141"/>
            <w:bookmarkEnd w:id="142"/>
            <w:r>
              <w:rPr/>
              <w:t>5,598,701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43" w:name="xdx_90A_eus-gaap--WeightedAverageNumberO"/>
            <w:bookmarkStart w:id="144" w:name="xdx_90C_eus-gaap--WeightedAverageNumberO"/>
            <w:bookmarkEnd w:id="143"/>
            <w:bookmarkEnd w:id="144"/>
            <w:r>
              <w:rPr/>
              <w:t>1,360,626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45" w:name="xdx_90F_eus-gaap--WeightedAverageNumberO"/>
            <w:bookmarkStart w:id="146" w:name="xdx_904_eus-gaap--WeightedAverageNumberO"/>
            <w:bookmarkEnd w:id="145"/>
            <w:bookmarkEnd w:id="146"/>
            <w:r>
              <w:rPr/>
              <w:t>5,568,424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47" w:name="xdx_902_eus-gaap--WeightedAverageNumberO"/>
            <w:bookmarkStart w:id="148" w:name="xdx_902_eus-gaap--WeightedAverageNumberO"/>
            <w:bookmarkEnd w:id="147"/>
            <w:bookmarkEnd w:id="148"/>
            <w:r>
              <w:rPr/>
              <w:t>878,095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9" w:name="ns_005"/>
      <w:bookmarkEnd w:id="149"/>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LOSS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0" w:name="xdx_307_113_pn3n3_zjTQ3J3jRDVj"/>
      <w:bookmarkStart w:id="151" w:name="xdx_307_113_pn3n3_zjTQ3J3jRDVj"/>
      <w:bookmarkEnd w:id="151"/>
    </w:p>
    <w:tbl>
      <w:tblPr>
        <w:tblW w:w="10205" w:type="dxa"/>
        <w:jc w:val="left"/>
        <w:tblInd w:w="0" w:type="dxa"/>
        <w:tblLayout w:type="fixed"/>
        <w:tblCellMar>
          <w:top w:w="0" w:type="dxa"/>
          <w:left w:w="0" w:type="dxa"/>
          <w:bottom w:w="0" w:type="dxa"/>
          <w:right w:w="0" w:type="dxa"/>
        </w:tblCellMar>
      </w:tblPr>
      <w:tblGrid>
        <w:gridCol w:w="5820"/>
        <w:gridCol w:w="60"/>
        <w:gridCol w:w="199"/>
        <w:gridCol w:w="650"/>
        <w:gridCol w:w="135"/>
        <w:gridCol w:w="84"/>
        <w:gridCol w:w="199"/>
        <w:gridCol w:w="907"/>
        <w:gridCol w:w="95"/>
        <w:gridCol w:w="60"/>
        <w:gridCol w:w="82"/>
        <w:gridCol w:w="628"/>
        <w:gridCol w:w="130"/>
        <w:gridCol w:w="82"/>
        <w:gridCol w:w="82"/>
        <w:gridCol w:w="877"/>
        <w:gridCol w:w="115"/>
      </w:tblGrid>
      <w:tr>
        <w:trPr/>
        <w:tc>
          <w:tcPr>
            <w:tcW w:w="5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2" w:name="xdx_49B_20260401__20260630_zCVTAhlMzstf"/>
            <w:bookmarkEnd w:id="152"/>
          </w:p>
        </w:tc>
        <w:tc>
          <w:tcPr>
            <w:tcW w:w="8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bookmarkStart w:id="153" w:name="xdx_491_20250401__20250630_zmOyAO1vhQ8l"/>
            <w:bookmarkEnd w:id="153"/>
          </w:p>
        </w:tc>
        <w:tc>
          <w:tcPr>
            <w:tcW w:w="11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4" w:name="xdx_498_20260101__20260630_ztbMAtY4yo7c"/>
            <w:bookmarkEnd w:id="154"/>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bookmarkStart w:id="155" w:name="xdx_49C_20250101__20250630_zJSgkmak2x0k"/>
            <w:bookmarkEnd w:id="155"/>
          </w:p>
        </w:tc>
        <w:tc>
          <w:tcPr>
            <w:tcW w:w="9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5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4"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1" w:type="dxa"/>
            <w:gridSpan w:val="6"/>
            <w:tcBorders/>
            <w:vAlign w:val="center"/>
          </w:tcPr>
          <w:p>
            <w:pPr>
              <w:pStyle w:val="TableContents"/>
              <w:bidi w:val="0"/>
              <w:spacing w:before="0" w:after="283"/>
              <w:jc w:val="center"/>
              <w:rPr>
                <w:b/>
              </w:rPr>
            </w:pPr>
            <w:r>
              <w:rPr>
                <w:b/>
              </w:rPr>
              <w:t>Six Months Ended</w:t>
            </w:r>
          </w:p>
        </w:tc>
        <w:tc>
          <w:tcPr>
            <w:tcW w:w="115" w:type="dxa"/>
            <w:tcBorders/>
            <w:vAlign w:val="center"/>
          </w:tcPr>
          <w:p>
            <w:pPr>
              <w:pStyle w:val="TableContents"/>
              <w:bidi w:val="0"/>
              <w:spacing w:before="0" w:after="283"/>
              <w:jc w:val="left"/>
              <w:rPr/>
            </w:pPr>
            <w:r>
              <w:rPr/>
              <w:t> </w:t>
            </w:r>
          </w:p>
        </w:tc>
      </w:tr>
      <w:tr>
        <w:trPr/>
        <w:tc>
          <w:tcPr>
            <w:tcW w:w="5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5" w:type="dxa"/>
            <w:tcBorders/>
            <w:vAlign w:val="center"/>
          </w:tcPr>
          <w:p>
            <w:pPr>
              <w:pStyle w:val="TableContents"/>
              <w:bidi w:val="0"/>
              <w:spacing w:before="0" w:after="283"/>
              <w:jc w:val="left"/>
              <w:rPr/>
            </w:pPr>
            <w:r>
              <w:rPr/>
              <w:t> </w:t>
            </w:r>
          </w:p>
        </w:tc>
      </w:tr>
      <w:tr>
        <w:trPr/>
        <w:tc>
          <w:tcPr>
            <w:tcW w:w="5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bookmarkStart w:id="156" w:name="xdx_409_eus-gaap--NetIncomeLoss_maCINOTz"/>
            <w:bookmarkEnd w:id="156"/>
          </w:p>
        </w:tc>
      </w:tr>
      <w:tr>
        <w:trPr/>
        <w:tc>
          <w:tcPr>
            <w:tcW w:w="58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jc w:val="right"/>
              <w:rPr/>
            </w:pPr>
            <w:r>
              <w:rPr/>
              <w:t>(405</w:t>
            </w:r>
          </w:p>
        </w:tc>
        <w:tc>
          <w:tcPr>
            <w:tcW w:w="135"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907" w:type="dxa"/>
            <w:tcBorders/>
            <w:shd w:fill="CCEEFF" w:val="clear"/>
            <w:vAlign w:val="center"/>
          </w:tcPr>
          <w:p>
            <w:pPr>
              <w:pStyle w:val="TableContents"/>
              <w:bidi w:val="0"/>
              <w:spacing w:before="0" w:after="283"/>
              <w:jc w:val="right"/>
              <w:rPr/>
            </w:pPr>
            <w:r>
              <w:rPr/>
              <w:t>(1,318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(602</w:t>
            </w:r>
          </w:p>
        </w:tc>
        <w:tc>
          <w:tcPr>
            <w:tcW w:w="130"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(1,399</w:t>
            </w:r>
          </w:p>
        </w:tc>
        <w:tc>
          <w:tcPr>
            <w:tcW w:w="115" w:type="dxa"/>
            <w:tcBorders/>
            <w:shd w:fill="CCEEFF" w:val="clear"/>
            <w:vAlign w:val="center"/>
          </w:tcPr>
          <w:p>
            <w:pPr>
              <w:pStyle w:val="TableContents"/>
              <w:bidi w:val="0"/>
              <w:spacing w:before="0" w:after="283"/>
              <w:jc w:val="left"/>
              <w:rPr/>
            </w:pPr>
            <w:r>
              <w:rPr/>
              <w:t>)</w:t>
            </w:r>
            <w:bookmarkStart w:id="157" w:name="xdx_40E_eus-gaap--OtherComprehensiveInco"/>
            <w:bookmarkEnd w:id="157"/>
          </w:p>
        </w:tc>
      </w:tr>
      <w:tr>
        <w:trPr/>
        <w:tc>
          <w:tcPr>
            <w:tcW w:w="5820" w:type="dxa"/>
            <w:tcBorders/>
            <w:shd w:fill="FFFFFF" w:val="clear"/>
            <w:vAlign w:val="center"/>
          </w:tcPr>
          <w:p>
            <w:pPr>
              <w:pStyle w:val="TableContents"/>
              <w:bidi w:val="0"/>
              <w:spacing w:before="0" w:after="283"/>
              <w:jc w:val="left"/>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30</w:t>
            </w:r>
          </w:p>
        </w:tc>
        <w:tc>
          <w:tcPr>
            <w:tcW w:w="13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pPr>
            <w:r>
              <w:rPr/>
              <w:t>39</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3,271</w:t>
            </w:r>
          </w:p>
        </w:tc>
        <w:tc>
          <w:tcPr>
            <w:tcW w:w="115" w:type="dxa"/>
            <w:tcBorders/>
            <w:shd w:fill="FFFFFF" w:val="clear"/>
            <w:vAlign w:val="center"/>
          </w:tcPr>
          <w:p>
            <w:pPr>
              <w:pStyle w:val="TableContents"/>
              <w:bidi w:val="0"/>
              <w:spacing w:before="0" w:after="283"/>
              <w:jc w:val="left"/>
              <w:rPr/>
            </w:pPr>
            <w:r>
              <w:rPr/>
              <w:t> </w:t>
            </w:r>
            <w:bookmarkStart w:id="158" w:name="xdx_40B_ecustom--OtherComprehensiveIncom"/>
            <w:bookmarkEnd w:id="158"/>
          </w:p>
        </w:tc>
      </w:tr>
      <w:tr>
        <w:trPr/>
        <w:tc>
          <w:tcPr>
            <w:tcW w:w="5820" w:type="dxa"/>
            <w:tcBorders/>
            <w:shd w:fill="CCEEFF" w:val="clear"/>
            <w:vAlign w:val="center"/>
          </w:tcPr>
          <w:p>
            <w:pPr>
              <w:pStyle w:val="TableContents"/>
              <w:bidi w:val="0"/>
              <w:spacing w:before="0" w:after="283"/>
              <w:jc w:val="left"/>
              <w:rPr/>
            </w:pPr>
            <w:r>
              <w:rPr/>
              <w:t>Unrealized foreign exchange gain (loss) on intercompany loans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(2,380</w:t>
            </w:r>
          </w:p>
        </w:tc>
        <w:tc>
          <w:tcPr>
            <w:tcW w:w="115" w:type="dxa"/>
            <w:tcBorders/>
            <w:shd w:fill="CCEEFF" w:val="clear"/>
            <w:vAlign w:val="center"/>
          </w:tcPr>
          <w:p>
            <w:pPr>
              <w:pStyle w:val="TableContents"/>
              <w:bidi w:val="0"/>
              <w:spacing w:before="0" w:after="283"/>
              <w:jc w:val="left"/>
              <w:rPr/>
            </w:pPr>
            <w:r>
              <w:rPr/>
              <w:t>)</w:t>
            </w:r>
            <w:bookmarkStart w:id="159" w:name="xdx_405_eus-gaap--ComprehensiveIncomeNet"/>
            <w:bookmarkEnd w:id="159"/>
          </w:p>
        </w:tc>
      </w:tr>
      <w:tr>
        <w:trPr/>
        <w:tc>
          <w:tcPr>
            <w:tcW w:w="5820"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pPr>
            <w:r>
              <w:rPr/>
              <w:t>(375</w:t>
            </w:r>
          </w:p>
        </w:tc>
        <w:tc>
          <w:tcPr>
            <w:tcW w:w="135"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7" w:type="dxa"/>
            <w:tcBorders>
              <w:bottom w:val="double" w:sz="6" w:space="0" w:color="000000"/>
            </w:tcBorders>
            <w:shd w:fill="FFFFFF" w:val="clear"/>
            <w:tcMar>
              <w:bottom w:w="28" w:type="dxa"/>
            </w:tcMar>
            <w:vAlign w:val="center"/>
          </w:tcPr>
          <w:p>
            <w:pPr>
              <w:pStyle w:val="TableContents"/>
              <w:bidi w:val="0"/>
              <w:spacing w:before="0" w:after="283"/>
              <w:jc w:val="right"/>
              <w:rPr/>
            </w:pPr>
            <w:r>
              <w:rPr/>
              <w:t>(1,318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8" w:type="dxa"/>
            <w:tcBorders>
              <w:bottom w:val="double" w:sz="6" w:space="0" w:color="000000"/>
            </w:tcBorders>
            <w:shd w:fill="FFFFFF" w:val="clear"/>
            <w:tcMar>
              <w:bottom w:w="28" w:type="dxa"/>
            </w:tcMar>
            <w:vAlign w:val="center"/>
          </w:tcPr>
          <w:p>
            <w:pPr>
              <w:pStyle w:val="TableContents"/>
              <w:bidi w:val="0"/>
              <w:spacing w:before="0" w:after="283"/>
              <w:jc w:val="right"/>
              <w:rPr/>
            </w:pPr>
            <w:r>
              <w:rPr/>
              <w:t>(563</w:t>
            </w:r>
          </w:p>
        </w:tc>
        <w:tc>
          <w:tcPr>
            <w:tcW w:w="130"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double" w:sz="6" w:space="0" w:color="000000"/>
            </w:tcBorders>
            <w:shd w:fill="FFFFFF" w:val="clear"/>
            <w:tcMar>
              <w:bottom w:w="28" w:type="dxa"/>
            </w:tcMar>
            <w:vAlign w:val="center"/>
          </w:tcPr>
          <w:p>
            <w:pPr>
              <w:pStyle w:val="TableContents"/>
              <w:bidi w:val="0"/>
              <w:spacing w:before="0" w:after="283"/>
              <w:jc w:val="right"/>
              <w:rPr/>
            </w:pPr>
            <w:r>
              <w:rPr/>
              <w:t>(508</w:t>
            </w:r>
          </w:p>
        </w:tc>
        <w:tc>
          <w:tcPr>
            <w:tcW w:w="11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0" w:name="ns_006"/>
      <w:bookmarkEnd w:id="160"/>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1" w:name="xdx_30C_114_pn3n3_zCHf5nXAeWTg"/>
      <w:bookmarkStart w:id="162" w:name="xdx_30C_114_pn3n3_zCHf5nXAeWTg"/>
      <w:bookmarkEnd w:id="162"/>
    </w:p>
    <w:tbl>
      <w:tblPr>
        <w:tblW w:w="12275" w:type="dxa"/>
        <w:jc w:val="left"/>
        <w:tblInd w:w="0" w:type="dxa"/>
        <w:tblLayout w:type="fixed"/>
        <w:tblCellMar>
          <w:top w:w="0" w:type="dxa"/>
          <w:left w:w="0" w:type="dxa"/>
          <w:bottom w:w="0" w:type="dxa"/>
          <w:right w:w="0" w:type="dxa"/>
        </w:tblCellMar>
      </w:tblPr>
      <w:tblGrid>
        <w:gridCol w:w="1580"/>
        <w:gridCol w:w="60"/>
        <w:gridCol w:w="60"/>
        <w:gridCol w:w="1055"/>
        <w:gridCol w:w="95"/>
        <w:gridCol w:w="60"/>
        <w:gridCol w:w="301"/>
        <w:gridCol w:w="559"/>
        <w:gridCol w:w="95"/>
        <w:gridCol w:w="60"/>
        <w:gridCol w:w="60"/>
        <w:gridCol w:w="980"/>
        <w:gridCol w:w="60"/>
        <w:gridCol w:w="60"/>
        <w:gridCol w:w="301"/>
        <w:gridCol w:w="559"/>
        <w:gridCol w:w="60"/>
        <w:gridCol w:w="60"/>
        <w:gridCol w:w="163"/>
        <w:gridCol w:w="937"/>
        <w:gridCol w:w="95"/>
        <w:gridCol w:w="60"/>
        <w:gridCol w:w="290"/>
        <w:gridCol w:w="1320"/>
        <w:gridCol w:w="95"/>
        <w:gridCol w:w="60"/>
        <w:gridCol w:w="188"/>
        <w:gridCol w:w="1182"/>
        <w:gridCol w:w="95"/>
        <w:gridCol w:w="60"/>
        <w:gridCol w:w="140"/>
        <w:gridCol w:w="1415"/>
        <w:gridCol w:w="110"/>
      </w:tblGrid>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3" w:name="xdx_4BC_us-gaap--StatementEquityComponen"/>
            <w:bookmarkEnd w:id="163"/>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4" w:name="xdx_4BB_us-gaap--StatementEquityComponen"/>
            <w:bookmarkEnd w:id="164"/>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5" w:name="xdx_4BF_us-gaap--StatementEquityComponen"/>
            <w:bookmarkEnd w:id="165"/>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6" w:name="xdx_4B2_us-gaap--StatementEquityComponen"/>
            <w:bookmarkEnd w:id="166"/>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7" w:name="xdx_4BA_us-gaap--StatementEquityComponen"/>
            <w:bookmarkEnd w:id="167"/>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8" w:name="xdx_4B8_ztWKrCzSiSo"/>
            <w:bookmarkEnd w:id="168"/>
          </w:p>
        </w:tc>
        <w:tc>
          <w:tcPr>
            <w:tcW w:w="15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br/>
              <w:t>Other</w:t>
              <w:b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2"/>
            <w:tcBorders/>
            <w:vAlign w:val="center"/>
          </w:tcPr>
          <w:p>
            <w:pPr>
              <w:pStyle w:val="TableContents"/>
              <w:bidi w:val="0"/>
              <w:spacing w:before="0" w:after="283"/>
              <w:jc w:val="center"/>
              <w:rPr>
                <w:b/>
              </w:rPr>
            </w:pPr>
            <w:r>
              <w:rPr>
                <w:b/>
              </w:rPr>
              <w:t xml:space="preserve">Total </w:t>
              <w:br/>
              <w:t>Stockholders’</w:t>
              <w:br/>
              <w:t>Equity</w:t>
            </w:r>
          </w:p>
        </w:tc>
        <w:tc>
          <w:tcPr>
            <w:tcW w:w="11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bookmarkStart w:id="169" w:name="xdx_433_c20250101__20250331_eus-gaap--St"/>
            <w:bookmarkEnd w:id="169"/>
          </w:p>
        </w:tc>
      </w:tr>
      <w:tr>
        <w:trPr/>
        <w:tc>
          <w:tcPr>
            <w:tcW w:w="1580" w:type="dxa"/>
            <w:tcBorders/>
            <w:shd w:fill="CCEEFF" w:val="clear"/>
            <w:vAlign w:val="center"/>
          </w:tcPr>
          <w:p>
            <w:pPr>
              <w:pStyle w:val="TableContents"/>
              <w:bidi w:val="0"/>
              <w:spacing w:before="0" w:after="283"/>
              <w:jc w:val="left"/>
              <w:rPr>
                <w:b/>
              </w:rPr>
            </w:pPr>
            <w:r>
              <w:rPr>
                <w:b/>
              </w:rPr>
              <w:t>Balances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0" w:name="xdx_98D_eus-gaap--SharesOutstanding_iS_p"/>
            <w:bookmarkEnd w:id="170"/>
          </w:p>
        </w:tc>
        <w:tc>
          <w:tcPr>
            <w:tcW w:w="1055" w:type="dxa"/>
            <w:tcBorders/>
            <w:shd w:fill="CCEEFF" w:val="cle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1" w:name="xdx_986_eus-gaap--SharesOutstanding_iS_p"/>
            <w:bookmarkEnd w:id="171"/>
          </w:p>
        </w:tc>
        <w:tc>
          <w:tcPr>
            <w:tcW w:w="980" w:type="dxa"/>
            <w:tcBorders/>
            <w:shd w:fill="CCEEFF" w:val="clear"/>
            <w:vAlign w:val="center"/>
          </w:tcPr>
          <w:p>
            <w:pPr>
              <w:pStyle w:val="TableContents"/>
              <w:bidi w:val="0"/>
              <w:spacing w:before="0" w:after="283"/>
              <w:jc w:val="right"/>
              <w:rPr>
                <w:b/>
              </w:rPr>
            </w:pPr>
            <w:r>
              <w:rPr>
                <w:b/>
              </w:rPr>
              <w:t>36,913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438,211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(891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(439,494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415" w:type="dxa"/>
            <w:tcBorders/>
            <w:shd w:fill="CCEEFF" w:val="clear"/>
            <w:vAlign w:val="center"/>
          </w:tcPr>
          <w:p>
            <w:pPr>
              <w:pStyle w:val="TableContents"/>
              <w:bidi w:val="0"/>
              <w:spacing w:before="0" w:after="283"/>
              <w:jc w:val="right"/>
              <w:rPr/>
            </w:pPr>
            <w:r>
              <w:rPr/>
              <w:t>             </w:t>
            </w:r>
            <w:r>
              <w:rPr>
                <w:b/>
              </w:rPr>
              <w:t>(2,174</w:t>
            </w:r>
          </w:p>
        </w:tc>
        <w:tc>
          <w:tcPr>
            <w:tcW w:w="110" w:type="dxa"/>
            <w:tcBorders/>
            <w:shd w:fill="CCEEFF" w:val="clear"/>
            <w:vAlign w:val="center"/>
          </w:tcPr>
          <w:p>
            <w:pPr>
              <w:pStyle w:val="TableContents"/>
              <w:bidi w:val="0"/>
              <w:spacing w:before="0" w:after="283"/>
              <w:jc w:val="left"/>
              <w:rPr>
                <w:b/>
              </w:rPr>
            </w:pPr>
            <w:r>
              <w:rPr>
                <w:b/>
              </w:rPr>
              <w:t>)</w:t>
            </w:r>
            <w:bookmarkStart w:id="172" w:name="xdx_40F_ecustom--StockIssuedDuringPeriod"/>
            <w:bookmarkEnd w:id="172"/>
          </w:p>
        </w:tc>
      </w:tr>
      <w:tr>
        <w:trPr/>
        <w:tc>
          <w:tcPr>
            <w:tcW w:w="1580" w:type="dxa"/>
            <w:tcBorders/>
            <w:shd w:fill="FFFFFF" w:val="clear"/>
            <w:vAlign w:val="center"/>
          </w:tcPr>
          <w:p>
            <w:pPr>
              <w:pStyle w:val="TableContents"/>
              <w:bidi w:val="0"/>
              <w:spacing w:before="0" w:after="283"/>
              <w:jc w:val="left"/>
              <w:rPr/>
            </w:pPr>
            <w:r>
              <w:rPr/>
              <w:t>Issue costs on issuance of common stock, preferred stock and associated warrants on underwritten offering, net of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(248</w:t>
            </w:r>
          </w:p>
        </w:tc>
        <w:tc>
          <w:tcPr>
            <w:tcW w:w="110" w:type="dxa"/>
            <w:tcBorders/>
            <w:shd w:fill="FFFFFF" w:val="clear"/>
            <w:vAlign w:val="center"/>
          </w:tcPr>
          <w:p>
            <w:pPr>
              <w:pStyle w:val="TableContents"/>
              <w:bidi w:val="0"/>
              <w:spacing w:before="0" w:after="283"/>
              <w:jc w:val="left"/>
              <w:rPr/>
            </w:pPr>
            <w:r>
              <w:rPr/>
              <w:t>)</w:t>
            </w:r>
            <w:bookmarkStart w:id="173" w:name="xdx_40F_ecustom--StockIssuedDuringPeriod"/>
            <w:bookmarkEnd w:id="173"/>
          </w:p>
        </w:tc>
      </w:tr>
      <w:tr>
        <w:trPr/>
        <w:tc>
          <w:tcPr>
            <w:tcW w:w="1580" w:type="dxa"/>
            <w:tcBorders/>
            <w:shd w:fill="CCEEFF" w:val="clear"/>
            <w:vAlign w:val="center"/>
          </w:tcPr>
          <w:p>
            <w:pPr>
              <w:pStyle w:val="TableContents"/>
              <w:bidi w:val="0"/>
              <w:spacing w:before="0" w:after="283"/>
              <w:jc w:val="left"/>
              <w:rPr/>
            </w:pPr>
            <w:r>
              <w:rPr/>
              <w:t>Exercise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4" w:name="xdx_98A_ecustom--StockIssuedDuringPeriod"/>
            <w:bookmarkEnd w:id="174"/>
          </w:p>
        </w:tc>
        <w:tc>
          <w:tcPr>
            <w:tcW w:w="980" w:type="dxa"/>
            <w:tcBorders/>
            <w:shd w:fill="CCEEFF" w:val="clear"/>
            <w:vAlign w:val="center"/>
          </w:tcPr>
          <w:p>
            <w:pPr>
              <w:pStyle w:val="TableContents"/>
              <w:bidi w:val="0"/>
              <w:spacing w:before="0" w:after="283"/>
              <w:jc w:val="right"/>
              <w:rPr/>
            </w:pPr>
            <w:r>
              <w:rPr/>
              <w:t>15,277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75" w:name="xdx_40F_eus-gaap--StockIssuedDuringPerio"/>
            <w:bookmarkEnd w:id="175"/>
          </w:p>
        </w:tc>
      </w:tr>
      <w:tr>
        <w:trPr/>
        <w:tc>
          <w:tcPr>
            <w:tcW w:w="1580" w:type="dxa"/>
            <w:tcBorders/>
            <w:shd w:fill="FFFFFF" w:val="clear"/>
            <w:vAlign w:val="center"/>
          </w:tcPr>
          <w:p>
            <w:pPr>
              <w:pStyle w:val="TableContents"/>
              <w:bidi w:val="0"/>
              <w:spacing w:before="0" w:after="283"/>
              <w:jc w:val="left"/>
              <w:rPr/>
            </w:pPr>
            <w:r>
              <w:rPr/>
              <w:t>Issue of common stock on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6" w:name="xdx_98D_eus-gaap--StockIssuedDuringPerio"/>
            <w:bookmarkEnd w:id="176"/>
          </w:p>
        </w:tc>
        <w:tc>
          <w:tcPr>
            <w:tcW w:w="980" w:type="dxa"/>
            <w:tcBorders/>
            <w:shd w:fill="FFFFFF" w:val="clear"/>
            <w:vAlign w:val="center"/>
          </w:tcPr>
          <w:p>
            <w:pPr>
              <w:pStyle w:val="TableContents"/>
              <w:bidi w:val="0"/>
              <w:spacing w:before="0" w:after="283"/>
              <w:jc w:val="right"/>
              <w:rPr/>
            </w:pPr>
            <w:r>
              <w:rPr/>
              <w:t>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77" w:name="xdx_40B_eus-gaap--StockIssuedDuringPerio"/>
            <w:bookmarkEnd w:id="177"/>
          </w:p>
        </w:tc>
      </w:tr>
      <w:tr>
        <w:trPr/>
        <w:tc>
          <w:tcPr>
            <w:tcW w:w="158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1,666</w:t>
            </w:r>
          </w:p>
        </w:tc>
        <w:tc>
          <w:tcPr>
            <w:tcW w:w="110" w:type="dxa"/>
            <w:tcBorders/>
            <w:shd w:fill="CCEEFF" w:val="clear"/>
            <w:vAlign w:val="center"/>
          </w:tcPr>
          <w:p>
            <w:pPr>
              <w:pStyle w:val="TableContents"/>
              <w:bidi w:val="0"/>
              <w:spacing w:before="0" w:after="283"/>
              <w:jc w:val="left"/>
              <w:rPr/>
            </w:pPr>
            <w:r>
              <w:rPr/>
              <w:t> </w:t>
            </w:r>
            <w:bookmarkStart w:id="178" w:name="xdx_40C_eus-gaap--StockIssuedDuringPerio"/>
            <w:bookmarkEnd w:id="178"/>
          </w:p>
        </w:tc>
      </w:tr>
      <w:tr>
        <w:trPr/>
        <w:tc>
          <w:tcPr>
            <w:tcW w:w="1580" w:type="dxa"/>
            <w:tcBorders/>
            <w:shd w:fill="FFFFFF" w:val="clear"/>
            <w:vAlign w:val="center"/>
          </w:tcPr>
          <w:p>
            <w:pPr>
              <w:pStyle w:val="TableContents"/>
              <w:bidi w:val="0"/>
              <w:spacing w:before="0" w:after="283"/>
              <w:jc w:val="left"/>
              <w:rPr/>
            </w:pPr>
            <w:r>
              <w:rPr/>
              <w:t>Issue of Series C preferred stock in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9" w:name="xdx_980_eus-gaap--StockIssuedDuringPerio"/>
            <w:bookmarkEnd w:id="179"/>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 </w:t>
            </w:r>
            <w:bookmarkStart w:id="180" w:name="xdx_40E_ecustom--StockIssuedDuringPeriod"/>
            <w:bookmarkEnd w:id="180"/>
          </w:p>
        </w:tc>
      </w:tr>
      <w:tr>
        <w:trPr/>
        <w:tc>
          <w:tcPr>
            <w:tcW w:w="1580" w:type="dxa"/>
            <w:tcBorders/>
            <w:shd w:fill="CCEEFF" w:val="clear"/>
            <w:vAlign w:val="center"/>
          </w:tcPr>
          <w:p>
            <w:pPr>
              <w:pStyle w:val="TableContents"/>
              <w:bidi w:val="0"/>
              <w:spacing w:before="0" w:after="283"/>
              <w:jc w:val="left"/>
              <w:rPr/>
            </w:pPr>
            <w:r>
              <w:rPr/>
              <w:t>Series C Preferred stock conversions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1" w:name="xdx_987_ecustom--StockIssuedDuringPeriod"/>
            <w:bookmarkEnd w:id="181"/>
          </w:p>
        </w:tc>
        <w:tc>
          <w:tcPr>
            <w:tcW w:w="105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2" w:name="xdx_981_ecustom--StockIssuedDuringPeriod"/>
            <w:bookmarkEnd w:id="182"/>
          </w:p>
        </w:tc>
        <w:tc>
          <w:tcPr>
            <w:tcW w:w="980" w:type="dxa"/>
            <w:tcBorders/>
            <w:shd w:fill="CCEEFF" w:val="clear"/>
            <w:vAlign w:val="center"/>
          </w:tcPr>
          <w:p>
            <w:pPr>
              <w:pStyle w:val="TableContents"/>
              <w:bidi w:val="0"/>
              <w:spacing w:before="0" w:after="283"/>
              <w:jc w:val="right"/>
              <w:rPr/>
            </w:pPr>
            <w:r>
              <w:rPr/>
              <w:t>11,042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83" w:name="xdx_404_ecustom--StockIssuedDuringPeriod"/>
            <w:bookmarkEnd w:id="183"/>
          </w:p>
        </w:tc>
      </w:tr>
      <w:tr>
        <w:trPr/>
        <w:tc>
          <w:tcPr>
            <w:tcW w:w="1580" w:type="dxa"/>
            <w:tcBorders/>
            <w:shd w:fill="FFFFFF" w:val="clear"/>
            <w:vAlign w:val="center"/>
          </w:tcPr>
          <w:p>
            <w:pPr>
              <w:pStyle w:val="TableContents"/>
              <w:bidi w:val="0"/>
              <w:spacing w:before="0" w:after="283"/>
              <w:jc w:val="left"/>
              <w:rPr/>
            </w:pPr>
            <w:r>
              <w:rPr/>
              <w:t>Issue of Series D preferred stock in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4" w:name="xdx_98D_ecustom--StockIssuedDuringPeriod"/>
            <w:bookmarkEnd w:id="184"/>
          </w:p>
        </w:tc>
        <w:tc>
          <w:tcPr>
            <w:tcW w:w="1055" w:type="dxa"/>
            <w:tcBorders/>
            <w:shd w:fill="FFFFFF" w:val="clear"/>
            <w:vAlign w:val="center"/>
          </w:tcPr>
          <w:p>
            <w:pPr>
              <w:pStyle w:val="TableContents"/>
              <w:bidi w:val="0"/>
              <w:spacing w:before="0" w:after="283"/>
              <w:jc w:val="right"/>
              <w:rPr/>
            </w:pPr>
            <w:r>
              <w:rPr/>
              <w:t>2,100,000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1,894</w:t>
            </w:r>
          </w:p>
        </w:tc>
        <w:tc>
          <w:tcPr>
            <w:tcW w:w="110" w:type="dxa"/>
            <w:tcBorders/>
            <w:shd w:fill="FFFFFF" w:val="clear"/>
            <w:vAlign w:val="center"/>
          </w:tcPr>
          <w:p>
            <w:pPr>
              <w:pStyle w:val="TableContents"/>
              <w:bidi w:val="0"/>
              <w:spacing w:before="0" w:after="283"/>
              <w:jc w:val="left"/>
              <w:rPr/>
            </w:pPr>
            <w:r>
              <w:rPr/>
              <w:t> </w:t>
            </w:r>
            <w:bookmarkStart w:id="185" w:name="xdx_404_ecustom--StockIssuedDuringPeriod"/>
            <w:bookmarkEnd w:id="185"/>
          </w:p>
        </w:tc>
      </w:tr>
      <w:tr>
        <w:trPr/>
        <w:tc>
          <w:tcPr>
            <w:tcW w:w="1580" w:type="dxa"/>
            <w:tcBorders/>
            <w:shd w:fill="CCEEFF" w:val="clear"/>
            <w:vAlign w:val="center"/>
          </w:tcPr>
          <w:p>
            <w:pPr>
              <w:pStyle w:val="TableContents"/>
              <w:bidi w:val="0"/>
              <w:spacing w:before="0" w:after="283"/>
              <w:jc w:val="left"/>
              <w:rPr/>
            </w:pPr>
            <w:r>
              <w:rPr/>
              <w:t>Series D Preferred stock conversions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6" w:name="xdx_98B_ecustom--StockIssuedDuringPeriod"/>
            <w:bookmarkEnd w:id="186"/>
          </w:p>
        </w:tc>
        <w:tc>
          <w:tcPr>
            <w:tcW w:w="1055" w:type="dxa"/>
            <w:tcBorders/>
            <w:shd w:fill="CCEEFF" w:val="clear"/>
            <w:vAlign w:val="center"/>
          </w:tcPr>
          <w:p>
            <w:pPr>
              <w:pStyle w:val="TableContents"/>
              <w:bidi w:val="0"/>
              <w:spacing w:before="0" w:after="283"/>
              <w:jc w:val="right"/>
              <w:rPr/>
            </w:pPr>
            <w:r>
              <w:rPr/>
              <w:t>(1,745,262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7" w:name="xdx_98D_ecustom--StockIssuedDuringPeriod"/>
            <w:bookmarkEnd w:id="187"/>
          </w:p>
        </w:tc>
        <w:tc>
          <w:tcPr>
            <w:tcW w:w="980" w:type="dxa"/>
            <w:tcBorders/>
            <w:shd w:fill="CCEEFF" w:val="clear"/>
            <w:vAlign w:val="center"/>
          </w:tcPr>
          <w:p>
            <w:pPr>
              <w:pStyle w:val="TableContents"/>
              <w:bidi w:val="0"/>
              <w:spacing w:before="0" w:after="283"/>
              <w:jc w:val="right"/>
              <w:rPr/>
            </w:pPr>
            <w:r>
              <w:rPr/>
              <w:t>799,912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88" w:name="xdx_408_ecustom--StockIssuedDuringPeriod"/>
            <w:bookmarkEnd w:id="188"/>
          </w:p>
        </w:tc>
      </w:tr>
      <w:tr>
        <w:trPr/>
        <w:tc>
          <w:tcPr>
            <w:tcW w:w="1580" w:type="dxa"/>
            <w:tcBorders/>
            <w:shd w:fill="FFFFFF" w:val="clear"/>
            <w:vAlign w:val="center"/>
          </w:tcPr>
          <w:p>
            <w:pPr>
              <w:pStyle w:val="TableContents"/>
              <w:bidi w:val="0"/>
              <w:spacing w:before="0" w:after="283"/>
              <w:jc w:val="left"/>
              <w:rPr/>
            </w:pPr>
            <w:r>
              <w:rPr/>
              <w:t>Issue of Series E preferred stock in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9" w:name="xdx_986_ecustom--StockIssuedDuringPeriod"/>
            <w:bookmarkEnd w:id="189"/>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 </w:t>
            </w:r>
            <w:bookmarkStart w:id="190" w:name="xdx_403_ecustom--OtherComprehensiveIncom"/>
            <w:bookmarkEnd w:id="190"/>
          </w:p>
        </w:tc>
      </w:tr>
      <w:tr>
        <w:trPr/>
        <w:tc>
          <w:tcPr>
            <w:tcW w:w="1580" w:type="dxa"/>
            <w:tcBorders/>
            <w:shd w:fill="CCEEFF" w:val="clear"/>
            <w:vAlign w:val="center"/>
          </w:tcPr>
          <w:p>
            <w:pPr>
              <w:pStyle w:val="TableContents"/>
              <w:bidi w:val="0"/>
              <w:spacing w:before="0" w:after="283"/>
              <w:jc w:val="left"/>
              <w:rPr/>
            </w:pPr>
            <w:r>
              <w:rPr/>
              <w:t>Unrealized foreign exchange on intercompany loans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(2,380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(2,380</w:t>
            </w:r>
          </w:p>
        </w:tc>
        <w:tc>
          <w:tcPr>
            <w:tcW w:w="110" w:type="dxa"/>
            <w:tcBorders/>
            <w:shd w:fill="CCEEFF" w:val="clear"/>
            <w:vAlign w:val="center"/>
          </w:tcPr>
          <w:p>
            <w:pPr>
              <w:pStyle w:val="TableContents"/>
              <w:bidi w:val="0"/>
              <w:spacing w:before="0" w:after="283"/>
              <w:jc w:val="left"/>
              <w:rPr/>
            </w:pPr>
            <w:r>
              <w:rPr/>
              <w:t>)</w:t>
            </w:r>
            <w:bookmarkStart w:id="191" w:name="xdx_407_eus-gaap--OtherComprehensiveInco"/>
            <w:bookmarkEnd w:id="191"/>
          </w:p>
        </w:tc>
      </w:tr>
      <w:tr>
        <w:trPr/>
        <w:tc>
          <w:tcPr>
            <w:tcW w:w="1580" w:type="dxa"/>
            <w:tcBorders/>
            <w:shd w:fill="FFFFFF" w:val="clear"/>
            <w:vAlign w:val="center"/>
          </w:tcPr>
          <w:p>
            <w:pPr>
              <w:pStyle w:val="TableContents"/>
              <w:bidi w:val="0"/>
              <w:spacing w:before="0" w:after="283"/>
              <w:jc w:val="left"/>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2,385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2,385</w:t>
            </w:r>
          </w:p>
        </w:tc>
        <w:tc>
          <w:tcPr>
            <w:tcW w:w="110" w:type="dxa"/>
            <w:tcBorders/>
            <w:shd w:fill="FFFFFF" w:val="clear"/>
            <w:vAlign w:val="center"/>
          </w:tcPr>
          <w:p>
            <w:pPr>
              <w:pStyle w:val="TableContents"/>
              <w:bidi w:val="0"/>
              <w:spacing w:before="0" w:after="283"/>
              <w:jc w:val="left"/>
              <w:rPr/>
            </w:pPr>
            <w:r>
              <w:rPr/>
              <w:t> </w:t>
            </w:r>
            <w:bookmarkStart w:id="192" w:name="xdx_40B_ecustom--OtherComprehensiveIncom"/>
            <w:bookmarkEnd w:id="192"/>
          </w:p>
        </w:tc>
      </w:tr>
      <w:tr>
        <w:trPr/>
        <w:tc>
          <w:tcPr>
            <w:tcW w:w="1580" w:type="dxa"/>
            <w:tcBorders/>
            <w:shd w:fill="CCEEFF" w:val="clear"/>
            <w:vAlign w:val="center"/>
          </w:tcPr>
          <w:p>
            <w:pPr>
              <w:pStyle w:val="TableContents"/>
              <w:bidi w:val="0"/>
              <w:spacing w:before="0" w:after="283"/>
              <w:jc w:val="left"/>
              <w:rPr/>
            </w:pPr>
            <w:r>
              <w:rPr/>
              <w:t>Deconsolidation of wholly-owned foreign operation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(886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93" w:name="xdx_40A_eus-gaap--NetIncomeLoss_zZEU9hcD"/>
            <w:bookmarkEnd w:id="193"/>
          </w:p>
        </w:tc>
      </w:tr>
      <w:tr>
        <w:trPr/>
        <w:tc>
          <w:tcPr>
            <w:tcW w:w="158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FFFFFF" w:val="clear"/>
            <w:tcMar>
              <w:bottom w:w="28" w:type="dxa"/>
            </w:tcMar>
            <w:vAlign w:val="center"/>
          </w:tcPr>
          <w:p>
            <w:pPr>
              <w:pStyle w:val="TableContents"/>
              <w:bidi w:val="0"/>
              <w:spacing w:before="0" w:after="283"/>
              <w:jc w:val="right"/>
              <w:rPr/>
            </w:pPr>
            <w:r>
              <w:rPr/>
              <w:t>(81</w:t>
            </w:r>
          </w:p>
        </w:tc>
        <w:tc>
          <w:tcPr>
            <w:tcW w:w="110" w:type="dxa"/>
            <w:tcBorders/>
            <w:shd w:fill="FFFFFF" w:val="clear"/>
            <w:vAlign w:val="center"/>
          </w:tcPr>
          <w:p>
            <w:pPr>
              <w:pStyle w:val="TableContents"/>
              <w:bidi w:val="0"/>
              <w:spacing w:before="0" w:after="283"/>
              <w:jc w:val="left"/>
              <w:rPr/>
            </w:pPr>
            <w:r>
              <w:rPr/>
              <w:t>)</w:t>
            </w:r>
            <w:bookmarkStart w:id="194" w:name="xdx_435_c20250401__20250630_eus-gaap--St"/>
            <w:bookmarkEnd w:id="194"/>
          </w:p>
        </w:tc>
      </w:tr>
      <w:tr>
        <w:trPr/>
        <w:tc>
          <w:tcPr>
            <w:tcW w:w="1580" w:type="dxa"/>
            <w:tcBorders/>
            <w:shd w:fill="CCEEFF" w:val="clear"/>
            <w:vAlign w:val="center"/>
          </w:tcPr>
          <w:p>
            <w:pPr>
              <w:pStyle w:val="TableContents"/>
              <w:bidi w:val="0"/>
              <w:spacing w:before="0" w:after="283"/>
              <w:jc w:val="left"/>
              <w:rPr>
                <w:b/>
              </w:rPr>
            </w:pPr>
            <w:r>
              <w:rPr>
                <w:b/>
              </w:rPr>
              <w:t>Balances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5" w:name="xdx_981_eus-gaap--SharesOutstanding_iS_p"/>
            <w:bookmarkEnd w:id="195"/>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1,490,275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6" w:name="xdx_980_eus-gaap--SharesOutstanding_iS_p"/>
            <w:bookmarkEnd w:id="196"/>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863,902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443,521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(440,461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1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3,062</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7" w:name="xdx_403_ecustom--StockIssuedDuringPeriod"/>
            <w:bookmarkEnd w:id="197"/>
          </w:p>
        </w:tc>
      </w:tr>
      <w:tr>
        <w:trPr/>
        <w:tc>
          <w:tcPr>
            <w:tcW w:w="1580" w:type="dxa"/>
            <w:tcBorders/>
            <w:shd w:fill="CCEEFF" w:val="clear"/>
            <w:vAlign w:val="center"/>
          </w:tcPr>
          <w:p>
            <w:pPr>
              <w:pStyle w:val="TableContents"/>
              <w:bidi w:val="0"/>
              <w:spacing w:before="0" w:after="283"/>
              <w:jc w:val="left"/>
              <w:rPr/>
            </w:pPr>
            <w:r>
              <w:rPr/>
              <w:t>Issue of common stock and pre-funded warrants in Securities Purchase Agreement In Private Placement, net of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8" w:name="xdx_980_ecustom--StockIssuedDuringPeriod"/>
            <w:bookmarkEnd w:id="198"/>
          </w:p>
        </w:tc>
        <w:tc>
          <w:tcPr>
            <w:tcW w:w="980" w:type="dxa"/>
            <w:tcBorders/>
            <w:shd w:fill="CCEEFF" w:val="clear"/>
            <w:vAlign w:val="center"/>
          </w:tcPr>
          <w:p>
            <w:pPr>
              <w:pStyle w:val="TableContents"/>
              <w:bidi w:val="0"/>
              <w:spacing w:before="0" w:after="283"/>
              <w:jc w:val="right"/>
              <w:rPr/>
            </w:pPr>
            <w:r>
              <w:rPr/>
              <w:t>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99" w:name="xdx_40F_ecustom--StockIssuedDuringPeriod"/>
            <w:bookmarkEnd w:id="199"/>
          </w:p>
        </w:tc>
      </w:tr>
      <w:tr>
        <w:trPr/>
        <w:tc>
          <w:tcPr>
            <w:tcW w:w="1580" w:type="dxa"/>
            <w:tcBorders/>
            <w:shd w:fill="FFFFFF" w:val="clear"/>
            <w:vAlign w:val="center"/>
          </w:tcPr>
          <w:p>
            <w:pPr>
              <w:pStyle w:val="TableContents"/>
              <w:bidi w:val="0"/>
              <w:spacing w:before="0" w:after="283"/>
              <w:jc w:val="left"/>
              <w:rPr/>
            </w:pPr>
            <w:r>
              <w:rPr/>
              <w:t>Issue costs on issuance of common stock, preferred stock and associated warrants on underwritten offering, net of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21</w:t>
            </w:r>
          </w:p>
        </w:tc>
        <w:tc>
          <w:tcPr>
            <w:tcW w:w="110" w:type="dxa"/>
            <w:tcBorders/>
            <w:shd w:fill="FFFFFF" w:val="clear"/>
            <w:vAlign w:val="center"/>
          </w:tcPr>
          <w:p>
            <w:pPr>
              <w:pStyle w:val="TableContents"/>
              <w:bidi w:val="0"/>
              <w:spacing w:before="0" w:after="283"/>
              <w:jc w:val="left"/>
              <w:rPr/>
            </w:pPr>
            <w:r>
              <w:rPr/>
              <w:t> </w:t>
            </w:r>
            <w:bookmarkStart w:id="200" w:name="xdx_40A_ecustom--StockIssuedDuringPeriod"/>
            <w:bookmarkEnd w:id="200"/>
          </w:p>
        </w:tc>
      </w:tr>
      <w:tr>
        <w:trPr/>
        <w:tc>
          <w:tcPr>
            <w:tcW w:w="1580" w:type="dxa"/>
            <w:tcBorders/>
            <w:shd w:fill="CCEEFF" w:val="clear"/>
            <w:vAlign w:val="center"/>
          </w:tcPr>
          <w:p>
            <w:pPr>
              <w:pStyle w:val="TableContents"/>
              <w:bidi w:val="0"/>
              <w:spacing w:before="0" w:after="283"/>
              <w:jc w:val="left"/>
              <w:rPr/>
            </w:pPr>
            <w:r>
              <w:rPr/>
              <w:t>Issue of Series F preferred stock in Securities Purchase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1" w:name="xdx_988_ecustom--StockIssuedDuringPeriod"/>
            <w:bookmarkEnd w:id="201"/>
          </w:p>
        </w:tc>
        <w:tc>
          <w:tcPr>
            <w:tcW w:w="1055" w:type="dxa"/>
            <w:tcBorders/>
            <w:shd w:fill="CCEEFF" w:val="clear"/>
            <w:vAlign w:val="center"/>
          </w:tcPr>
          <w:p>
            <w:pPr>
              <w:pStyle w:val="TableContents"/>
              <w:bidi w:val="0"/>
              <w:spacing w:before="0" w:after="283"/>
              <w:jc w:val="right"/>
              <w:rPr/>
            </w:pPr>
            <w:r>
              <w:rPr/>
              <w:t>3,000,000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3,000</w:t>
            </w:r>
          </w:p>
        </w:tc>
        <w:tc>
          <w:tcPr>
            <w:tcW w:w="110" w:type="dxa"/>
            <w:tcBorders/>
            <w:shd w:fill="CCEEFF" w:val="clear"/>
            <w:vAlign w:val="center"/>
          </w:tcPr>
          <w:p>
            <w:pPr>
              <w:pStyle w:val="TableContents"/>
              <w:bidi w:val="0"/>
              <w:spacing w:before="0" w:after="283"/>
              <w:jc w:val="left"/>
              <w:rPr/>
            </w:pPr>
            <w:r>
              <w:rPr/>
              <w:t> </w:t>
            </w:r>
            <w:bookmarkStart w:id="202" w:name="xdx_404_ecustom--StockIssuedDuringPeriod"/>
            <w:bookmarkEnd w:id="202"/>
          </w:p>
        </w:tc>
      </w:tr>
      <w:tr>
        <w:trPr/>
        <w:tc>
          <w:tcPr>
            <w:tcW w:w="1580" w:type="dxa"/>
            <w:tcBorders/>
            <w:shd w:fill="FFFFFF" w:val="clear"/>
            <w:vAlign w:val="center"/>
          </w:tcPr>
          <w:p>
            <w:pPr>
              <w:pStyle w:val="TableContents"/>
              <w:bidi w:val="0"/>
              <w:spacing w:before="0" w:after="283"/>
              <w:jc w:val="left"/>
              <w:rPr/>
            </w:pPr>
            <w:r>
              <w:rPr/>
              <w:t>Series D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3" w:name="xdx_982_ecustom--StockIssuedDuringPeriod"/>
            <w:bookmarkEnd w:id="203"/>
          </w:p>
        </w:tc>
        <w:tc>
          <w:tcPr>
            <w:tcW w:w="1055" w:type="dxa"/>
            <w:tcBorders/>
            <w:shd w:fill="FFFFFF" w:val="clear"/>
            <w:vAlign w:val="center"/>
          </w:tcPr>
          <w:p>
            <w:pPr>
              <w:pStyle w:val="TableContents"/>
              <w:bidi w:val="0"/>
              <w:spacing w:before="0" w:after="283"/>
              <w:jc w:val="right"/>
              <w:rPr/>
            </w:pPr>
            <w:r>
              <w:rPr/>
              <w:t>(354,738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4" w:name="xdx_98A_ecustom--StockIssuedDuringPeriod"/>
            <w:bookmarkEnd w:id="204"/>
          </w:p>
        </w:tc>
        <w:tc>
          <w:tcPr>
            <w:tcW w:w="980" w:type="dxa"/>
            <w:tcBorders/>
            <w:shd w:fill="FFFFFF" w:val="clear"/>
            <w:vAlign w:val="center"/>
          </w:tcPr>
          <w:p>
            <w:pPr>
              <w:pStyle w:val="TableContents"/>
              <w:bidi w:val="0"/>
              <w:spacing w:before="0" w:after="283"/>
              <w:jc w:val="right"/>
              <w:rPr/>
            </w:pPr>
            <w:r>
              <w:rPr/>
              <w:t>162,588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5" w:name="xdx_401_ecustom--StockIssuedDuringPeriod"/>
            <w:bookmarkEnd w:id="205"/>
          </w:p>
        </w:tc>
      </w:tr>
      <w:tr>
        <w:trPr/>
        <w:tc>
          <w:tcPr>
            <w:tcW w:w="1580" w:type="dxa"/>
            <w:tcBorders/>
            <w:shd w:fill="CCEEFF" w:val="clear"/>
            <w:vAlign w:val="center"/>
          </w:tcPr>
          <w:p>
            <w:pPr>
              <w:pStyle w:val="TableContents"/>
              <w:bidi w:val="0"/>
              <w:spacing w:before="0" w:after="283"/>
              <w:jc w:val="left"/>
              <w:rPr/>
            </w:pPr>
            <w:r>
              <w:rPr/>
              <w:t>Series E Preferred stock conversions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6" w:name="xdx_984_ecustom--StockIssuedDuringPeriod"/>
            <w:bookmarkEnd w:id="206"/>
          </w:p>
        </w:tc>
        <w:tc>
          <w:tcPr>
            <w:tcW w:w="105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7" w:name="xdx_98F_ecustom--StockIssuedDuringPeriod"/>
            <w:bookmarkEnd w:id="207"/>
          </w:p>
        </w:tc>
        <w:tc>
          <w:tcPr>
            <w:tcW w:w="980" w:type="dxa"/>
            <w:tcBorders/>
            <w:shd w:fill="CCEEFF" w:val="clear"/>
            <w:vAlign w:val="center"/>
          </w:tcPr>
          <w:p>
            <w:pPr>
              <w:pStyle w:val="TableContents"/>
              <w:bidi w:val="0"/>
              <w:spacing w:before="0" w:after="283"/>
              <w:jc w:val="right"/>
              <w:rPr/>
            </w:pPr>
            <w:r>
              <w:rPr/>
              <w:t>458,333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08" w:name="xdx_401_ecustom--StockIssuedDuringPeriod"/>
            <w:bookmarkEnd w:id="208"/>
          </w:p>
        </w:tc>
      </w:tr>
      <w:tr>
        <w:trPr/>
        <w:tc>
          <w:tcPr>
            <w:tcW w:w="1580" w:type="dxa"/>
            <w:tcBorders/>
            <w:shd w:fill="FFFFFF" w:val="clear"/>
            <w:vAlign w:val="center"/>
          </w:tcPr>
          <w:p>
            <w:pPr>
              <w:pStyle w:val="TableContents"/>
              <w:bidi w:val="0"/>
              <w:spacing w:before="0" w:after="283"/>
              <w:jc w:val="left"/>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9" w:name="xdx_98C_ecustom--StockIssuedDuringPeriod"/>
            <w:bookmarkEnd w:id="209"/>
          </w:p>
        </w:tc>
        <w:tc>
          <w:tcPr>
            <w:tcW w:w="980" w:type="dxa"/>
            <w:tcBorders/>
            <w:shd w:fill="FFFFFF" w:val="clear"/>
            <w:vAlign w:val="center"/>
          </w:tcPr>
          <w:p>
            <w:pPr>
              <w:pStyle w:val="TableContents"/>
              <w:bidi w:val="0"/>
              <w:spacing w:before="0" w:after="283"/>
              <w:jc w:val="right"/>
              <w:rPr/>
            </w:pPr>
            <w:r>
              <w:rPr/>
              <w:t>98,202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(1,100</w:t>
            </w:r>
          </w:p>
        </w:tc>
        <w:tc>
          <w:tcPr>
            <w:tcW w:w="110" w:type="dxa"/>
            <w:tcBorders/>
            <w:shd w:fill="FFFFFF" w:val="clear"/>
            <w:vAlign w:val="center"/>
          </w:tcPr>
          <w:p>
            <w:pPr>
              <w:pStyle w:val="TableContents"/>
              <w:bidi w:val="0"/>
              <w:spacing w:before="0" w:after="283"/>
              <w:jc w:val="left"/>
              <w:rPr/>
            </w:pPr>
            <w:r>
              <w:rPr/>
              <w:t>)</w:t>
            </w:r>
            <w:bookmarkStart w:id="210" w:name="xdx_40B_eus-gaap--StockIssuedDuringPerio"/>
            <w:bookmarkEnd w:id="210"/>
          </w:p>
        </w:tc>
      </w:tr>
      <w:tr>
        <w:trPr/>
        <w:tc>
          <w:tcPr>
            <w:tcW w:w="158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7</w:t>
            </w:r>
          </w:p>
        </w:tc>
        <w:tc>
          <w:tcPr>
            <w:tcW w:w="110" w:type="dxa"/>
            <w:tcBorders/>
            <w:shd w:fill="CCEEFF" w:val="clear"/>
            <w:vAlign w:val="center"/>
          </w:tcPr>
          <w:p>
            <w:pPr>
              <w:pStyle w:val="TableContents"/>
              <w:bidi w:val="0"/>
              <w:spacing w:before="0" w:after="283"/>
              <w:jc w:val="left"/>
              <w:rPr/>
            </w:pPr>
            <w:r>
              <w:rPr/>
              <w:t> </w:t>
            </w:r>
            <w:bookmarkStart w:id="211" w:name="xdx_403_eus-gaap--AdjustmentsToAdditiona"/>
            <w:bookmarkEnd w:id="211"/>
          </w:p>
        </w:tc>
      </w:tr>
      <w:tr>
        <w:trPr/>
        <w:tc>
          <w:tcPr>
            <w:tcW w:w="1580" w:type="dxa"/>
            <w:tcBorders/>
            <w:shd w:fill="FFFFFF" w:val="clear"/>
            <w:vAlign w:val="center"/>
          </w:tcPr>
          <w:p>
            <w:pPr>
              <w:pStyle w:val="TableContents"/>
              <w:bidi w:val="0"/>
              <w:spacing w:before="0" w:after="283"/>
              <w:jc w:val="left"/>
              <w:rPr/>
            </w:pPr>
            <w:r>
              <w:rPr/>
              <w:t>Preferred stock dividends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(41</w:t>
            </w:r>
          </w:p>
        </w:tc>
        <w:tc>
          <w:tcPr>
            <w:tcW w:w="110" w:type="dxa"/>
            <w:tcBorders/>
            <w:shd w:fill="FFFFFF" w:val="clear"/>
            <w:vAlign w:val="center"/>
          </w:tcPr>
          <w:p>
            <w:pPr>
              <w:pStyle w:val="TableContents"/>
              <w:bidi w:val="0"/>
              <w:spacing w:before="0" w:after="283"/>
              <w:jc w:val="left"/>
              <w:rPr/>
            </w:pPr>
            <w:r>
              <w:rPr/>
              <w:t>)</w:t>
            </w:r>
            <w:bookmarkStart w:id="212" w:name="xdx_40A_eus-gaap--NetIncomeLoss_zJIK2tLk"/>
            <w:bookmarkEnd w:id="212"/>
          </w:p>
        </w:tc>
      </w:tr>
      <w:tr>
        <w:trPr/>
        <w:tc>
          <w:tcPr>
            <w:tcW w:w="1580" w:type="dxa"/>
            <w:tcBorders/>
            <w:shd w:fill="CCEEFF" w:val="clear"/>
            <w:vAlign w:val="center"/>
          </w:tcPr>
          <w:p>
            <w:pPr>
              <w:pStyle w:val="TableContents"/>
              <w:bidi w:val="0"/>
              <w:spacing w:before="0" w:after="283"/>
              <w:jc w:val="left"/>
              <w:rPr/>
            </w:pPr>
            <w:r>
              <w:rPr/>
              <w:t>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(1,318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CCEEFF" w:val="clear"/>
            <w:tcMar>
              <w:bottom w:w="28" w:type="dxa"/>
            </w:tcMar>
            <w:vAlign w:val="center"/>
          </w:tcPr>
          <w:p>
            <w:pPr>
              <w:pStyle w:val="TableContents"/>
              <w:bidi w:val="0"/>
              <w:spacing w:before="0" w:after="283"/>
              <w:jc w:val="right"/>
              <w:rPr/>
            </w:pPr>
            <w:r>
              <w:rPr/>
              <w:t>(1,318</w:t>
            </w:r>
          </w:p>
        </w:tc>
        <w:tc>
          <w:tcPr>
            <w:tcW w:w="110" w:type="dxa"/>
            <w:tcBorders/>
            <w:shd w:fill="CCEEFF" w:val="clear"/>
            <w:vAlign w:val="center"/>
          </w:tcPr>
          <w:p>
            <w:pPr>
              <w:pStyle w:val="TableContents"/>
              <w:bidi w:val="0"/>
              <w:spacing w:before="0" w:after="283"/>
              <w:jc w:val="left"/>
              <w:rPr/>
            </w:pPr>
            <w:r>
              <w:rPr/>
              <w:t>)</w:t>
            </w:r>
            <w:bookmarkStart w:id="213" w:name="xdx_43C_c20250401__20250630_eus-gaap--St"/>
            <w:bookmarkEnd w:id="213"/>
          </w:p>
        </w:tc>
      </w:tr>
      <w:tr>
        <w:trPr/>
        <w:tc>
          <w:tcPr>
            <w:tcW w:w="1580" w:type="dxa"/>
            <w:tcBorders/>
            <w:shd w:fill="FFFFFF" w:val="clear"/>
            <w:vAlign w:val="center"/>
          </w:tcPr>
          <w:p>
            <w:pPr>
              <w:pStyle w:val="TableContents"/>
              <w:bidi w:val="0"/>
              <w:spacing w:before="0" w:after="283"/>
              <w:jc w:val="left"/>
              <w:rPr>
                <w:b/>
              </w:rPr>
            </w:pPr>
            <w:r>
              <w:rPr>
                <w:b/>
              </w:rPr>
              <w:t>Balances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4" w:name="xdx_98E_eus-gaap--SharesOutstanding_iE_p"/>
            <w:bookmarkEnd w:id="214"/>
          </w:p>
        </w:tc>
        <w:tc>
          <w:tcPr>
            <w:tcW w:w="1055" w:type="dxa"/>
            <w:tcBorders/>
            <w:shd w:fill="FFFFFF" w:val="clear"/>
            <w:vAlign w:val="center"/>
          </w:tcPr>
          <w:p>
            <w:pPr>
              <w:pStyle w:val="TableContents"/>
              <w:bidi w:val="0"/>
              <w:spacing w:before="0" w:after="283"/>
              <w:jc w:val="right"/>
              <w:rPr>
                <w:b/>
              </w:rPr>
            </w:pPr>
            <w:r>
              <w:rPr>
                <w:b/>
              </w:rPr>
              <w:t>3,135,537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b/>
              </w:rPr>
            </w:pPr>
            <w:r>
              <w:rPr>
                <w:b/>
              </w:rPr>
              <w:t>$</w:t>
            </w:r>
          </w:p>
        </w:tc>
        <w:tc>
          <w:tcPr>
            <w:tcW w:w="559" w:type="dxa"/>
            <w:tcBorders/>
            <w:shd w:fill="FFFFFF" w:val="clear"/>
            <w:vAlign w:val="center"/>
          </w:tcPr>
          <w:p>
            <w:pPr>
              <w:pStyle w:val="TableContents"/>
              <w:bidi w:val="0"/>
              <w:spacing w:before="0" w:after="283"/>
              <w:jc w:val="right"/>
              <w:rPr>
                <w:b/>
              </w:rPr>
            </w:pPr>
            <w:r>
              <w:rPr>
                <w:b/>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5" w:name="xdx_98C_eus-gaap--SharesOutstanding_iE_p"/>
            <w:bookmarkEnd w:id="215"/>
          </w:p>
        </w:tc>
        <w:tc>
          <w:tcPr>
            <w:tcW w:w="980" w:type="dxa"/>
            <w:tcBorders/>
            <w:shd w:fill="FFFFFF" w:val="clear"/>
            <w:vAlign w:val="center"/>
          </w:tcPr>
          <w:p>
            <w:pPr>
              <w:pStyle w:val="TableContents"/>
              <w:bidi w:val="0"/>
              <w:spacing w:before="0" w:after="283"/>
              <w:jc w:val="right"/>
              <w:rPr>
                <w:b/>
              </w:rPr>
            </w:pPr>
            <w:r>
              <w:rPr>
                <w:b/>
              </w:rPr>
              <w:t>1,583,965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b/>
              </w:rPr>
            </w:pPr>
            <w:r>
              <w:rPr>
                <w:b/>
              </w:rPr>
              <w:t>$</w:t>
            </w:r>
          </w:p>
        </w:tc>
        <w:tc>
          <w:tcPr>
            <w:tcW w:w="559" w:type="dxa"/>
            <w:tcBorders/>
            <w:shd w:fill="FFFFFF" w:val="clear"/>
            <w:vAlign w:val="center"/>
          </w:tcPr>
          <w:p>
            <w:pPr>
              <w:pStyle w:val="TableContents"/>
              <w:bidi w:val="0"/>
              <w:spacing w:before="0" w:after="283"/>
              <w:jc w:val="right"/>
              <w:rPr>
                <w:b/>
              </w:rPr>
            </w:pPr>
            <w:r>
              <w:rPr>
                <w:b/>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b/>
              </w:rPr>
            </w:pPr>
            <w:r>
              <w:rPr>
                <w:b/>
              </w:rPr>
              <w:t>$</w:t>
            </w:r>
          </w:p>
        </w:tc>
        <w:tc>
          <w:tcPr>
            <w:tcW w:w="937" w:type="dxa"/>
            <w:tcBorders/>
            <w:shd w:fill="FFFFFF" w:val="clear"/>
            <w:vAlign w:val="center"/>
          </w:tcPr>
          <w:p>
            <w:pPr>
              <w:pStyle w:val="TableContents"/>
              <w:bidi w:val="0"/>
              <w:spacing w:before="0" w:after="283"/>
              <w:jc w:val="right"/>
              <w:rPr>
                <w:b/>
              </w:rPr>
            </w:pPr>
            <w:r>
              <w:rPr>
                <w:b/>
              </w:rPr>
              <w:t>445,405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b/>
              </w:rPr>
            </w:pPr>
            <w:r>
              <w:rPr>
                <w:b/>
              </w:rPr>
              <w:t>$</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b/>
              </w:rPr>
            </w:pPr>
            <w:r>
              <w:rPr>
                <w:b/>
              </w:rPr>
              <w:t>$</w:t>
            </w:r>
          </w:p>
        </w:tc>
        <w:tc>
          <w:tcPr>
            <w:tcW w:w="1182" w:type="dxa"/>
            <w:tcBorders/>
            <w:shd w:fill="FFFFFF" w:val="clear"/>
            <w:vAlign w:val="center"/>
          </w:tcPr>
          <w:p>
            <w:pPr>
              <w:pStyle w:val="TableContents"/>
              <w:bidi w:val="0"/>
              <w:spacing w:before="0" w:after="283"/>
              <w:jc w:val="right"/>
              <w:rPr>
                <w:b/>
              </w:rPr>
            </w:pPr>
            <w:r>
              <w:rPr>
                <w:b/>
              </w:rPr>
              <w:t>(441,779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415" w:type="dxa"/>
            <w:tcBorders/>
            <w:shd w:fill="FFFFFF" w:val="clear"/>
            <w:vAlign w:val="center"/>
          </w:tcPr>
          <w:p>
            <w:pPr>
              <w:pStyle w:val="TableContents"/>
              <w:bidi w:val="0"/>
              <w:spacing w:before="0" w:after="283"/>
              <w:jc w:val="right"/>
              <w:rPr>
                <w:b/>
              </w:rPr>
            </w:pPr>
            <w:r>
              <w:rPr>
                <w:b/>
              </w:rPr>
              <w:t>3,631</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6" w:name="xdx_431_c20260101__20260331_eus-gaap--St"/>
            <w:bookmarkEnd w:id="216"/>
          </w:p>
        </w:tc>
      </w:tr>
      <w:tr>
        <w:trPr/>
        <w:tc>
          <w:tcPr>
            <w:tcW w:w="1580" w:type="dxa"/>
            <w:tcBorders/>
            <w:shd w:fill="FFFFFF" w:val="clear"/>
            <w:vAlign w:val="center"/>
          </w:tcPr>
          <w:p>
            <w:pPr>
              <w:pStyle w:val="TableContents"/>
              <w:bidi w:val="0"/>
              <w:spacing w:before="0" w:after="283"/>
              <w:jc w:val="left"/>
              <w:rPr>
                <w:b/>
              </w:rPr>
            </w:pPr>
            <w:r>
              <w:rPr>
                <w:b/>
              </w:rPr>
              <w:t>Balances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7" w:name="xdx_98B_eus-gaap--SharesOutstanding_iS_p"/>
            <w:bookmarkEnd w:id="217"/>
          </w:p>
        </w:tc>
        <w:tc>
          <w:tcPr>
            <w:tcW w:w="1055" w:type="dxa"/>
            <w:tcBorders/>
            <w:shd w:fill="FFFFFF" w:val="clear"/>
            <w:vAlign w:val="center"/>
          </w:tcPr>
          <w:p>
            <w:pPr>
              <w:pStyle w:val="TableContents"/>
              <w:bidi w:val="0"/>
              <w:spacing w:before="0" w:after="283"/>
              <w:jc w:val="right"/>
              <w:rPr>
                <w:b/>
              </w:rPr>
            </w:pPr>
            <w:r>
              <w:rPr>
                <w:b/>
              </w:rPr>
              <w:t>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b/>
              </w:rPr>
            </w:pPr>
            <w:r>
              <w:rPr>
                <w:b/>
              </w:rPr>
              <w:t>$</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8" w:name="xdx_98D_eus-gaap--SharesOutstanding_iS_p"/>
            <w:bookmarkEnd w:id="218"/>
          </w:p>
        </w:tc>
        <w:tc>
          <w:tcPr>
            <w:tcW w:w="980" w:type="dxa"/>
            <w:tcBorders/>
            <w:shd w:fill="FFFFFF" w:val="clear"/>
            <w:vAlign w:val="center"/>
          </w:tcPr>
          <w:p>
            <w:pPr>
              <w:pStyle w:val="TableContents"/>
              <w:bidi w:val="0"/>
              <w:spacing w:before="0" w:after="283"/>
              <w:jc w:val="right"/>
              <w:rPr>
                <w:b/>
              </w:rPr>
            </w:pPr>
            <w:r>
              <w:rPr>
                <w:b/>
              </w:rPr>
              <w:t>5,400,320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b/>
              </w:rPr>
            </w:pPr>
            <w:r>
              <w:rPr>
                <w:b/>
              </w:rPr>
              <w:t>$</w:t>
            </w:r>
          </w:p>
        </w:tc>
        <w:tc>
          <w:tcPr>
            <w:tcW w:w="559" w:type="dxa"/>
            <w:tcBorders/>
            <w:shd w:fill="FFFFFF" w:val="clear"/>
            <w:vAlign w:val="center"/>
          </w:tcPr>
          <w:p>
            <w:pPr>
              <w:pStyle w:val="TableContents"/>
              <w:bidi w:val="0"/>
              <w:spacing w:before="0" w:after="283"/>
              <w:jc w:val="right"/>
              <w:rPr>
                <w:b/>
              </w:rPr>
            </w:pPr>
            <w:r>
              <w:rPr>
                <w:b/>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b/>
              </w:rPr>
            </w:pPr>
            <w:r>
              <w:rPr>
                <w:b/>
              </w:rPr>
              <w:t>$</w:t>
            </w:r>
          </w:p>
        </w:tc>
        <w:tc>
          <w:tcPr>
            <w:tcW w:w="937" w:type="dxa"/>
            <w:tcBorders/>
            <w:shd w:fill="FFFFFF" w:val="clear"/>
            <w:vAlign w:val="center"/>
          </w:tcPr>
          <w:p>
            <w:pPr>
              <w:pStyle w:val="TableContents"/>
              <w:bidi w:val="0"/>
              <w:spacing w:before="0" w:after="283"/>
              <w:jc w:val="right"/>
              <w:rPr>
                <w:b/>
              </w:rPr>
            </w:pPr>
            <w:r>
              <w:rPr>
                <w:b/>
              </w:rPr>
              <w:t>461,287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b/>
              </w:rPr>
            </w:pPr>
            <w:r>
              <w:rPr>
                <w:b/>
              </w:rPr>
              <w:t>$</w:t>
            </w:r>
          </w:p>
        </w:tc>
        <w:tc>
          <w:tcPr>
            <w:tcW w:w="1320" w:type="dxa"/>
            <w:tcBorders/>
            <w:shd w:fill="FFFFFF" w:val="clear"/>
            <w:vAlign w:val="center"/>
          </w:tcPr>
          <w:p>
            <w:pPr>
              <w:pStyle w:val="TableContents"/>
              <w:bidi w:val="0"/>
              <w:spacing w:before="0" w:after="283"/>
              <w:jc w:val="right"/>
              <w:rPr>
                <w:b/>
              </w:rPr>
            </w:pPr>
            <w:r>
              <w:rPr>
                <w:b/>
              </w:rPr>
              <w:t>(39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b/>
              </w:rPr>
            </w:pPr>
            <w:r>
              <w:rPr>
                <w:b/>
              </w:rPr>
              <w:t>$</w:t>
            </w:r>
          </w:p>
        </w:tc>
        <w:tc>
          <w:tcPr>
            <w:tcW w:w="1182" w:type="dxa"/>
            <w:tcBorders/>
            <w:shd w:fill="FFFFFF" w:val="clear"/>
            <w:vAlign w:val="center"/>
          </w:tcPr>
          <w:p>
            <w:pPr>
              <w:pStyle w:val="TableContents"/>
              <w:bidi w:val="0"/>
              <w:spacing w:before="0" w:after="283"/>
              <w:jc w:val="right"/>
              <w:rPr>
                <w:b/>
              </w:rPr>
            </w:pPr>
            <w:r>
              <w:rPr>
                <w:b/>
              </w:rPr>
              <w:t>(454,411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415" w:type="dxa"/>
            <w:tcBorders/>
            <w:shd w:fill="FFFFFF" w:val="clear"/>
            <w:vAlign w:val="center"/>
          </w:tcPr>
          <w:p>
            <w:pPr>
              <w:pStyle w:val="TableContents"/>
              <w:bidi w:val="0"/>
              <w:spacing w:before="0" w:after="283"/>
              <w:jc w:val="right"/>
              <w:rPr>
                <w:b/>
              </w:rPr>
            </w:pPr>
            <w:r>
              <w:rPr>
                <w:b/>
              </w:rPr>
              <w:t>6,842</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9" w:name="xdx_402_ecustom--StockIssuedDuringPeriod"/>
            <w:bookmarkEnd w:id="219"/>
          </w:p>
        </w:tc>
      </w:tr>
      <w:tr>
        <w:trPr/>
        <w:tc>
          <w:tcPr>
            <w:tcW w:w="1580" w:type="dxa"/>
            <w:tcBorders/>
            <w:shd w:fill="FFFFFF" w:val="clear"/>
            <w:vAlign w:val="center"/>
          </w:tcPr>
          <w:p>
            <w:pPr>
              <w:pStyle w:val="TableContents"/>
              <w:bidi w:val="0"/>
              <w:spacing w:before="0" w:after="283"/>
              <w:jc w:val="left"/>
              <w:rPr/>
            </w:pPr>
            <w:r>
              <w:rPr/>
              <w:t>Issue of common stock on warrant exchange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0" w:name="xdx_983_ecustom--StockIssuedDuringPeriod"/>
            <w:bookmarkEnd w:id="220"/>
          </w:p>
        </w:tc>
        <w:tc>
          <w:tcPr>
            <w:tcW w:w="980" w:type="dxa"/>
            <w:tcBorders/>
            <w:shd w:fill="FFFFFF" w:val="clear"/>
            <w:vAlign w:val="center"/>
          </w:tcPr>
          <w:p>
            <w:pPr>
              <w:pStyle w:val="TableContents"/>
              <w:bidi w:val="0"/>
              <w:spacing w:before="0" w:after="283"/>
              <w:jc w:val="right"/>
              <w:rPr/>
            </w:pPr>
            <w:r>
              <w:rPr/>
              <w:t>119,136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125</w:t>
            </w:r>
          </w:p>
        </w:tc>
        <w:tc>
          <w:tcPr>
            <w:tcW w:w="110" w:type="dxa"/>
            <w:tcBorders/>
            <w:shd w:fill="FFFFFF" w:val="clear"/>
            <w:vAlign w:val="center"/>
          </w:tcPr>
          <w:p>
            <w:pPr>
              <w:pStyle w:val="TableContents"/>
              <w:bidi w:val="0"/>
              <w:spacing w:before="0" w:after="283"/>
              <w:jc w:val="left"/>
              <w:rPr/>
            </w:pPr>
            <w:r>
              <w:rPr/>
              <w:t> </w:t>
            </w:r>
            <w:bookmarkStart w:id="221" w:name="xdx_40B_eus-gaap--StockIssuedDuringPerio"/>
            <w:bookmarkEnd w:id="221"/>
          </w:p>
        </w:tc>
      </w:tr>
      <w:tr>
        <w:trPr/>
        <w:tc>
          <w:tcPr>
            <w:tcW w:w="158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bookmarkStart w:id="222" w:name="xdx_404_eus-gaap--AdjustmentsToAdditiona"/>
            <w:bookmarkEnd w:id="222"/>
          </w:p>
        </w:tc>
      </w:tr>
      <w:tr>
        <w:trPr/>
        <w:tc>
          <w:tcPr>
            <w:tcW w:w="1580" w:type="dxa"/>
            <w:tcBorders/>
            <w:shd w:fill="FFFFFF" w:val="clear"/>
            <w:vAlign w:val="center"/>
          </w:tcPr>
          <w:p>
            <w:pPr>
              <w:pStyle w:val="TableContents"/>
              <w:bidi w:val="0"/>
              <w:spacing w:before="0" w:after="283"/>
              <w:jc w:val="left"/>
              <w:rPr/>
            </w:pPr>
            <w:r>
              <w:rPr/>
              <w:t>Preferred stock dividends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jc w:val="left"/>
              <w:rPr/>
            </w:pPr>
            <w:r>
              <w:rPr/>
              <w:t>)</w:t>
            </w:r>
            <w:bookmarkStart w:id="223" w:name="xdx_407_eus-gaap--OtherComprehensiveInco"/>
            <w:bookmarkEnd w:id="223"/>
          </w:p>
        </w:tc>
      </w:tr>
      <w:tr>
        <w:trPr/>
        <w:tc>
          <w:tcPr>
            <w:tcW w:w="1580" w:type="dxa"/>
            <w:tcBorders/>
            <w:shd w:fill="CCEEFF" w:val="clear"/>
            <w:vAlign w:val="center"/>
          </w:tcPr>
          <w:p>
            <w:pPr>
              <w:pStyle w:val="TableContents"/>
              <w:bidi w:val="0"/>
              <w:spacing w:before="0" w:after="283"/>
              <w:jc w:val="left"/>
              <w:rPr/>
            </w:pPr>
            <w:r>
              <w:rPr/>
              <w:t>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9</w:t>
            </w:r>
          </w:p>
        </w:tc>
        <w:tc>
          <w:tcPr>
            <w:tcW w:w="110" w:type="dxa"/>
            <w:tcBorders/>
            <w:shd w:fill="CCEEFF" w:val="clear"/>
            <w:vAlign w:val="center"/>
          </w:tcPr>
          <w:p>
            <w:pPr>
              <w:pStyle w:val="TableContents"/>
              <w:bidi w:val="0"/>
              <w:spacing w:before="0" w:after="283"/>
              <w:jc w:val="left"/>
              <w:rPr/>
            </w:pPr>
            <w:r>
              <w:rPr/>
              <w:t> </w:t>
            </w:r>
            <w:bookmarkStart w:id="224" w:name="xdx_40A_eus-gaap--NetIncomeLoss_ziuSZLhc"/>
            <w:bookmarkEnd w:id="224"/>
          </w:p>
        </w:tc>
      </w:tr>
      <w:tr>
        <w:trPr/>
        <w:tc>
          <w:tcPr>
            <w:tcW w:w="158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FFFFFF" w:val="clear"/>
            <w:tcMar>
              <w:bottom w:w="28" w:type="dxa"/>
            </w:tcMar>
            <w:vAlign w:val="center"/>
          </w:tcPr>
          <w:p>
            <w:pPr>
              <w:pStyle w:val="TableContents"/>
              <w:bidi w:val="0"/>
              <w:spacing w:before="0" w:after="283"/>
              <w:jc w:val="right"/>
              <w:rPr/>
            </w:pPr>
            <w:r>
              <w:rPr/>
              <w:t>(197</w:t>
            </w:r>
          </w:p>
        </w:tc>
        <w:tc>
          <w:tcPr>
            <w:tcW w:w="110" w:type="dxa"/>
            <w:tcBorders/>
            <w:shd w:fill="FFFFFF" w:val="clear"/>
            <w:vAlign w:val="center"/>
          </w:tcPr>
          <w:p>
            <w:pPr>
              <w:pStyle w:val="TableContents"/>
              <w:bidi w:val="0"/>
              <w:spacing w:before="0" w:after="283"/>
              <w:jc w:val="left"/>
              <w:rPr/>
            </w:pPr>
            <w:r>
              <w:rPr/>
              <w:t>)</w:t>
            </w:r>
            <w:bookmarkStart w:id="225" w:name="xdx_439_c20260401__20260630_eus-gaap--St"/>
            <w:bookmarkEnd w:id="225"/>
          </w:p>
        </w:tc>
      </w:tr>
      <w:tr>
        <w:trPr/>
        <w:tc>
          <w:tcPr>
            <w:tcW w:w="1580" w:type="dxa"/>
            <w:tcBorders/>
            <w:shd w:fill="CCEEFF" w:val="clear"/>
            <w:vAlign w:val="center"/>
          </w:tcPr>
          <w:p>
            <w:pPr>
              <w:pStyle w:val="TableContents"/>
              <w:bidi w:val="0"/>
              <w:spacing w:before="0" w:after="283"/>
              <w:jc w:val="left"/>
              <w:rPr>
                <w:b/>
              </w:rPr>
            </w:pPr>
            <w:r>
              <w:rPr>
                <w:b/>
              </w:rPr>
              <w:t>Balances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6" w:name="xdx_98D_eus-gaap--SharesOutstanding_iS_p"/>
            <w:bookmarkEnd w:id="226"/>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7" w:name="xdx_982_eus-gaap--SharesOutstanding_iS_p"/>
            <w:bookmarkEnd w:id="227"/>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5,519,456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461,393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(454,608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1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6,760</w:t>
            </w:r>
          </w:p>
        </w:tc>
        <w:tc>
          <w:tcPr>
            <w:tcW w:w="110" w:type="dxa"/>
            <w:tcBorders/>
            <w:shd w:fill="CCEEFF" w:val="clear"/>
            <w:vAlign w:val="center"/>
          </w:tcPr>
          <w:p>
            <w:pPr>
              <w:pStyle w:val="TableContents"/>
              <w:bidi w:val="0"/>
              <w:spacing w:before="0" w:after="283"/>
              <w:jc w:val="left"/>
              <w:rPr/>
            </w:pPr>
            <w:r>
              <w:rPr/>
              <w:t> </w:t>
            </w:r>
            <w:bookmarkStart w:id="228" w:name="xdx_431_c20260401__20260630_eus-gaap--St"/>
            <w:bookmarkEnd w:id="228"/>
          </w:p>
        </w:tc>
      </w:tr>
      <w:tr>
        <w:trPr/>
        <w:tc>
          <w:tcPr>
            <w:tcW w:w="1580" w:type="dxa"/>
            <w:tcBorders/>
            <w:shd w:fill="CCEEFF" w:val="clear"/>
            <w:vAlign w:val="center"/>
          </w:tcPr>
          <w:p>
            <w:pPr>
              <w:pStyle w:val="TableContents"/>
              <w:bidi w:val="0"/>
              <w:spacing w:before="0" w:after="283"/>
              <w:jc w:val="left"/>
              <w:rPr>
                <w:b/>
              </w:rPr>
            </w:pPr>
            <w:r>
              <w:rPr>
                <w:b/>
              </w:rPr>
              <w:t>Balances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9" w:name="xdx_981_eus-gaap--SharesOutstanding_iS_p"/>
            <w:bookmarkEnd w:id="229"/>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30" w:name="xdx_98C_eus-gaap--SharesOutstanding_iS_p"/>
            <w:bookmarkEnd w:id="23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5,519,456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461,393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(454,608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1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6,760</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1" w:name="xdx_40A_ecustom--StockIssuedDuringPeriod"/>
            <w:bookmarkEnd w:id="231"/>
          </w:p>
        </w:tc>
      </w:tr>
      <w:tr>
        <w:trPr/>
        <w:tc>
          <w:tcPr>
            <w:tcW w:w="1580" w:type="dxa"/>
            <w:tcBorders/>
            <w:shd w:fill="CCEEFF" w:val="clear"/>
            <w:vAlign w:val="center"/>
          </w:tcPr>
          <w:p>
            <w:pPr>
              <w:pStyle w:val="TableContents"/>
              <w:bidi w:val="0"/>
              <w:spacing w:before="0" w:after="283"/>
              <w:jc w:val="left"/>
              <w:rPr/>
            </w:pPr>
            <w:r>
              <w:rPr/>
              <w:t>Issue of common stock in Securities Purchase Agreement In Private Placement, net of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2" w:name="xdx_989_ecustom--StockIssuedDuringPeriod"/>
            <w:bookmarkEnd w:id="232"/>
          </w:p>
        </w:tc>
        <w:tc>
          <w:tcPr>
            <w:tcW w:w="980" w:type="dxa"/>
            <w:tcBorders/>
            <w:shd w:fill="CCEEFF" w:val="clear"/>
            <w:vAlign w:val="center"/>
          </w:tcPr>
          <w:p>
            <w:pPr>
              <w:pStyle w:val="TableContents"/>
              <w:bidi w:val="0"/>
              <w:spacing w:before="0" w:after="283"/>
              <w:jc w:val="right"/>
              <w:rPr/>
            </w:pPr>
            <w:r>
              <w:rPr/>
              <w:t>1,103,338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794</w:t>
            </w:r>
          </w:p>
        </w:tc>
        <w:tc>
          <w:tcPr>
            <w:tcW w:w="110" w:type="dxa"/>
            <w:tcBorders/>
            <w:shd w:fill="CCEEFF" w:val="clear"/>
            <w:vAlign w:val="center"/>
          </w:tcPr>
          <w:p>
            <w:pPr>
              <w:pStyle w:val="TableContents"/>
              <w:bidi w:val="0"/>
              <w:spacing w:before="0" w:after="283"/>
              <w:jc w:val="left"/>
              <w:rPr/>
            </w:pPr>
            <w:r>
              <w:rPr/>
              <w:t> </w:t>
            </w:r>
            <w:bookmarkStart w:id="233" w:name="xdx_40B_eus-gaap--StockIssuedDuringPerio"/>
            <w:bookmarkEnd w:id="233"/>
          </w:p>
        </w:tc>
      </w:tr>
      <w:tr>
        <w:trPr/>
        <w:tc>
          <w:tcPr>
            <w:tcW w:w="158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bookmarkStart w:id="234" w:name="xdx_404_eus-gaap--AdjustmentsToAdditiona"/>
            <w:bookmarkEnd w:id="234"/>
          </w:p>
        </w:tc>
      </w:tr>
      <w:tr>
        <w:trPr/>
        <w:tc>
          <w:tcPr>
            <w:tcW w:w="1580" w:type="dxa"/>
            <w:tcBorders/>
            <w:shd w:fill="CCEEFF" w:val="clear"/>
            <w:vAlign w:val="center"/>
          </w:tcPr>
          <w:p>
            <w:pPr>
              <w:pStyle w:val="TableContents"/>
              <w:bidi w:val="0"/>
              <w:spacing w:before="0" w:after="283"/>
              <w:jc w:val="left"/>
              <w:rPr/>
            </w:pPr>
            <w:r>
              <w:rPr/>
              <w:t>Preferred stock dividends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jc w:val="left"/>
              <w:rPr/>
            </w:pPr>
            <w:r>
              <w:rPr/>
              <w:t>)</w:t>
            </w:r>
            <w:bookmarkStart w:id="235" w:name="xdx_407_eus-gaap--OtherComprehensiveInco"/>
            <w:bookmarkEnd w:id="235"/>
          </w:p>
        </w:tc>
      </w:tr>
      <w:tr>
        <w:trPr/>
        <w:tc>
          <w:tcPr>
            <w:tcW w:w="1580" w:type="dxa"/>
            <w:tcBorders/>
            <w:shd w:fill="FFFFFF" w:val="clear"/>
            <w:vAlign w:val="center"/>
          </w:tcPr>
          <w:p>
            <w:pPr>
              <w:pStyle w:val="TableContents"/>
              <w:bidi w:val="0"/>
              <w:spacing w:before="0" w:after="283"/>
              <w:jc w:val="left"/>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30</w:t>
            </w:r>
          </w:p>
        </w:tc>
        <w:tc>
          <w:tcPr>
            <w:tcW w:w="110" w:type="dxa"/>
            <w:tcBorders/>
            <w:shd w:fill="FFFFFF" w:val="clear"/>
            <w:vAlign w:val="center"/>
          </w:tcPr>
          <w:p>
            <w:pPr>
              <w:pStyle w:val="TableContents"/>
              <w:bidi w:val="0"/>
              <w:spacing w:before="0" w:after="283"/>
              <w:jc w:val="left"/>
              <w:rPr/>
            </w:pPr>
            <w:r>
              <w:rPr/>
              <w:t> </w:t>
            </w:r>
            <w:bookmarkStart w:id="236" w:name="xdx_40A_eus-gaap--NetIncomeLoss_zrNhLKJ8"/>
            <w:bookmarkEnd w:id="236"/>
          </w:p>
        </w:tc>
      </w:tr>
      <w:tr>
        <w:trPr/>
        <w:tc>
          <w:tcPr>
            <w:tcW w:w="1580" w:type="dxa"/>
            <w:tcBorders/>
            <w:shd w:fill="CCEEFF" w:val="clear"/>
            <w:vAlign w:val="center"/>
          </w:tcPr>
          <w:p>
            <w:pPr>
              <w:pStyle w:val="TableContents"/>
              <w:bidi w:val="0"/>
              <w:spacing w:before="0" w:after="283"/>
              <w:jc w:val="left"/>
              <w:rPr/>
            </w:pPr>
            <w:r>
              <w:rPr/>
              <w:t>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(405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CCEEFF" w:val="clear"/>
            <w:tcMar>
              <w:bottom w:w="28" w:type="dxa"/>
            </w:tcMar>
            <w:vAlign w:val="center"/>
          </w:tcPr>
          <w:p>
            <w:pPr>
              <w:pStyle w:val="TableContents"/>
              <w:bidi w:val="0"/>
              <w:spacing w:before="0" w:after="283"/>
              <w:jc w:val="right"/>
              <w:rPr/>
            </w:pPr>
            <w:r>
              <w:rPr/>
              <w:t>(405</w:t>
            </w:r>
          </w:p>
        </w:tc>
        <w:tc>
          <w:tcPr>
            <w:tcW w:w="110" w:type="dxa"/>
            <w:tcBorders/>
            <w:shd w:fill="CCEEFF" w:val="clear"/>
            <w:vAlign w:val="center"/>
          </w:tcPr>
          <w:p>
            <w:pPr>
              <w:pStyle w:val="TableContents"/>
              <w:bidi w:val="0"/>
              <w:spacing w:before="0" w:after="283"/>
              <w:jc w:val="left"/>
              <w:rPr/>
            </w:pPr>
            <w:r>
              <w:rPr/>
              <w:t>)</w:t>
            </w:r>
            <w:bookmarkStart w:id="237" w:name="xdx_43A_c20260401__20260630_eus-gaap--St"/>
            <w:bookmarkEnd w:id="237"/>
          </w:p>
        </w:tc>
      </w:tr>
      <w:tr>
        <w:trPr/>
        <w:tc>
          <w:tcPr>
            <w:tcW w:w="1580" w:type="dxa"/>
            <w:tcBorders/>
            <w:shd w:fill="FFFFFF" w:val="clear"/>
            <w:vAlign w:val="center"/>
          </w:tcPr>
          <w:p>
            <w:pPr>
              <w:pStyle w:val="TableContents"/>
              <w:bidi w:val="0"/>
              <w:spacing w:before="0" w:after="283"/>
              <w:jc w:val="left"/>
              <w:rPr>
                <w:b/>
              </w:rPr>
            </w:pPr>
            <w:r>
              <w:rPr>
                <w:b/>
              </w:rPr>
              <w:t>Balances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38" w:name="xdx_981_eus-gaap--SharesOutstanding_iE_p"/>
            <w:bookmarkEnd w:id="238"/>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39" w:name="xdx_98F_eus-gaap--SharesOutstanding_iE_p"/>
            <w:bookmarkEnd w:id="23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6,622,794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462,166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(455,013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1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7,160</w:t>
            </w:r>
          </w:p>
        </w:tc>
        <w:tc>
          <w:tcPr>
            <w:tcW w:w="110" w:type="dxa"/>
            <w:tcBorders/>
            <w:shd w:fill="FFFFFF" w:val="clear"/>
            <w:vAlign w:val="center"/>
          </w:tcPr>
          <w:p>
            <w:pPr>
              <w:pStyle w:val="TableContents"/>
              <w:bidi w:val="0"/>
              <w:spacing w:before="0" w:after="283"/>
              <w:jc w:val="left"/>
              <w:rPr/>
            </w:pPr>
            <w:r>
              <w:rPr/>
              <w:t> </w:t>
            </w:r>
            <w:bookmarkStart w:id="240" w:name="xdx_436_c20260401__20260630_eus-gaap--St"/>
            <w:bookmarkEnd w:id="240"/>
          </w:p>
        </w:tc>
      </w:tr>
      <w:tr>
        <w:trPr/>
        <w:tc>
          <w:tcPr>
            <w:tcW w:w="1580" w:type="dxa"/>
            <w:tcBorders/>
            <w:shd w:fill="FFFFFF" w:val="clear"/>
            <w:vAlign w:val="center"/>
          </w:tcPr>
          <w:p>
            <w:pPr>
              <w:pStyle w:val="TableContents"/>
              <w:bidi w:val="0"/>
              <w:spacing w:before="0" w:after="283"/>
              <w:jc w:val="left"/>
              <w:rPr>
                <w:b/>
              </w:rPr>
            </w:pPr>
            <w:r>
              <w:rPr>
                <w:b/>
              </w:rPr>
              <w:t>Balances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41" w:name="xdx_98D_eus-gaap--SharesOutstanding_iE_p"/>
            <w:bookmarkEnd w:id="241"/>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42" w:name="xdx_98E_eus-gaap--SharesOutstanding_iE_p"/>
            <w:bookmarkEnd w:id="242"/>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6,622,794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462,166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(455,013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1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7,160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3" w:name="ns_007"/>
      <w:bookmarkEnd w:id="243"/>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4" w:name="xdx_301_112_pn3n3_zfoKoYHFSFmb"/>
      <w:bookmarkStart w:id="245" w:name="xdx_301_112_pn3n3_zfoKoYHFSFmb"/>
      <w:bookmarkEnd w:id="245"/>
    </w:p>
    <w:tbl>
      <w:tblPr>
        <w:tblW w:w="10205" w:type="dxa"/>
        <w:jc w:val="left"/>
        <w:tblInd w:w="0" w:type="dxa"/>
        <w:tblLayout w:type="fixed"/>
        <w:tblCellMar>
          <w:top w:w="0" w:type="dxa"/>
          <w:left w:w="0" w:type="dxa"/>
          <w:bottom w:w="0" w:type="dxa"/>
          <w:right w:w="0" w:type="dxa"/>
        </w:tblCellMar>
      </w:tblPr>
      <w:tblGrid>
        <w:gridCol w:w="8134"/>
        <w:gridCol w:w="60"/>
        <w:gridCol w:w="151"/>
        <w:gridCol w:w="608"/>
        <w:gridCol w:w="102"/>
        <w:gridCol w:w="64"/>
        <w:gridCol w:w="151"/>
        <w:gridCol w:w="820"/>
        <w:gridCol w:w="115"/>
      </w:tblGrid>
      <w:tr>
        <w:trPr/>
        <w:tc>
          <w:tcPr>
            <w:tcW w:w="8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6" w:name="xdx_495_20260101__20260630_zTbKqh2CPRyi"/>
            <w:bookmarkEnd w:id="246"/>
          </w:p>
        </w:tc>
        <w:tc>
          <w:tcPr>
            <w:tcW w:w="7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bookmarkStart w:id="247" w:name="xdx_49F_20250101__20250630_zZQrqJGsNUwh"/>
            <w:bookmarkEnd w:id="247"/>
          </w:p>
        </w:tc>
        <w:tc>
          <w:tcPr>
            <w:tcW w:w="9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8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6" w:type="dxa"/>
            <w:gridSpan w:val="6"/>
            <w:tcBorders/>
            <w:vAlign w:val="center"/>
          </w:tcPr>
          <w:p>
            <w:pPr>
              <w:pStyle w:val="TableContents"/>
              <w:bidi w:val="0"/>
              <w:spacing w:before="0" w:after="283"/>
              <w:jc w:val="center"/>
              <w:rPr>
                <w:b/>
              </w:rPr>
            </w:pPr>
            <w:r>
              <w:rPr>
                <w:b/>
              </w:rPr>
              <w:t>Six Months Ended</w:t>
            </w:r>
          </w:p>
        </w:tc>
        <w:tc>
          <w:tcPr>
            <w:tcW w:w="115" w:type="dxa"/>
            <w:tcBorders/>
            <w:vAlign w:val="center"/>
          </w:tcPr>
          <w:p>
            <w:pPr>
              <w:pStyle w:val="TableContents"/>
              <w:bidi w:val="0"/>
              <w:spacing w:before="0" w:after="283"/>
              <w:jc w:val="left"/>
              <w:rPr/>
            </w:pPr>
            <w:r>
              <w:rPr/>
              <w:t> </w:t>
            </w:r>
          </w:p>
        </w:tc>
      </w:tr>
      <w:tr>
        <w:trPr/>
        <w:tc>
          <w:tcPr>
            <w:tcW w:w="8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5" w:type="dxa"/>
            <w:tcBorders/>
            <w:vAlign w:val="center"/>
          </w:tcPr>
          <w:p>
            <w:pPr>
              <w:pStyle w:val="TableContents"/>
              <w:bidi w:val="0"/>
              <w:spacing w:before="0" w:after="283"/>
              <w:jc w:val="left"/>
              <w:rPr/>
            </w:pPr>
            <w:r>
              <w:rPr/>
              <w:t> </w:t>
            </w:r>
          </w:p>
        </w:tc>
      </w:tr>
      <w:tr>
        <w:trPr/>
        <w:tc>
          <w:tcPr>
            <w:tcW w:w="8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bookmarkStart w:id="248" w:name="xdx_40B_eus-gaap--NetCashProvidedByUsedI"/>
            <w:bookmarkEnd w:id="248"/>
          </w:p>
        </w:tc>
      </w:tr>
      <w:tr>
        <w:trPr/>
        <w:tc>
          <w:tcPr>
            <w:tcW w:w="8134"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49" w:name="xdx_407_eus-gaap--NetIncomeLoss_i01_maNC"/>
            <w:bookmarkEnd w:id="249"/>
          </w:p>
        </w:tc>
      </w:tr>
      <w:tr>
        <w:trPr/>
        <w:tc>
          <w:tcPr>
            <w:tcW w:w="8134"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608" w:type="dxa"/>
            <w:tcBorders/>
            <w:shd w:fill="FFFFFF" w:val="clear"/>
            <w:vAlign w:val="center"/>
          </w:tcPr>
          <w:p>
            <w:pPr>
              <w:pStyle w:val="TableContents"/>
              <w:bidi w:val="0"/>
              <w:spacing w:before="0" w:after="283"/>
              <w:jc w:val="right"/>
              <w:rPr/>
            </w:pPr>
            <w:r>
              <w:rPr/>
              <w:t>(602</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820" w:type="dxa"/>
            <w:tcBorders/>
            <w:shd w:fill="FFFFFF" w:val="clear"/>
            <w:vAlign w:val="center"/>
          </w:tcPr>
          <w:p>
            <w:pPr>
              <w:pStyle w:val="TableContents"/>
              <w:bidi w:val="0"/>
              <w:spacing w:before="0" w:after="283"/>
              <w:jc w:val="right"/>
              <w:rPr/>
            </w:pPr>
            <w:r>
              <w:rPr/>
              <w:t>(1,399</w:t>
            </w:r>
          </w:p>
        </w:tc>
        <w:tc>
          <w:tcPr>
            <w:tcW w:w="115" w:type="dxa"/>
            <w:tcBorders/>
            <w:shd w:fill="FFFFFF" w:val="clear"/>
            <w:vAlign w:val="center"/>
          </w:tcPr>
          <w:p>
            <w:pPr>
              <w:pStyle w:val="TableContents"/>
              <w:bidi w:val="0"/>
              <w:spacing w:before="0" w:after="283"/>
              <w:jc w:val="left"/>
              <w:rPr/>
            </w:pPr>
            <w:r>
              <w:rPr/>
              <w:t>)</w:t>
            </w:r>
            <w:bookmarkStart w:id="250" w:name="xdx_401_eus-gaap--AdjustmentsToReconcile"/>
            <w:bookmarkEnd w:id="250"/>
          </w:p>
        </w:tc>
      </w:tr>
      <w:tr>
        <w:trPr/>
        <w:tc>
          <w:tcPr>
            <w:tcW w:w="8134"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51" w:name="xdx_405_eus-gaap--Depreciation_i02_maNCP"/>
            <w:bookmarkEnd w:id="251"/>
          </w:p>
        </w:tc>
      </w:tr>
      <w:tr>
        <w:trPr/>
        <w:tc>
          <w:tcPr>
            <w:tcW w:w="8134"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1</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w:t>
            </w:r>
          </w:p>
        </w:tc>
        <w:tc>
          <w:tcPr>
            <w:tcW w:w="115" w:type="dxa"/>
            <w:tcBorders/>
            <w:shd w:fill="FFFFFF" w:val="clear"/>
            <w:vAlign w:val="center"/>
          </w:tcPr>
          <w:p>
            <w:pPr>
              <w:pStyle w:val="TableContents"/>
              <w:bidi w:val="0"/>
              <w:spacing w:before="0" w:after="283"/>
              <w:jc w:val="left"/>
              <w:rPr/>
            </w:pPr>
            <w:r>
              <w:rPr/>
              <w:t> </w:t>
            </w:r>
            <w:bookmarkStart w:id="252" w:name="xdx_40B_eus-gaap--ShareBasedCompensation"/>
            <w:bookmarkEnd w:id="252"/>
          </w:p>
        </w:tc>
      </w:tr>
      <w:tr>
        <w:trPr/>
        <w:tc>
          <w:tcPr>
            <w:tcW w:w="8134"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1</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1,673</w:t>
            </w:r>
          </w:p>
        </w:tc>
        <w:tc>
          <w:tcPr>
            <w:tcW w:w="115" w:type="dxa"/>
            <w:tcBorders/>
            <w:shd w:fill="CCEEFF" w:val="clear"/>
            <w:vAlign w:val="center"/>
          </w:tcPr>
          <w:p>
            <w:pPr>
              <w:pStyle w:val="TableContents"/>
              <w:bidi w:val="0"/>
              <w:spacing w:before="0" w:after="283"/>
              <w:jc w:val="left"/>
              <w:rPr/>
            </w:pPr>
            <w:r>
              <w:rPr/>
              <w:t> </w:t>
            </w:r>
            <w:bookmarkStart w:id="253" w:name="xdx_40B_ecustom--DeconsolidationOfSubsid"/>
            <w:bookmarkEnd w:id="253"/>
          </w:p>
        </w:tc>
      </w:tr>
      <w:tr>
        <w:trPr/>
        <w:tc>
          <w:tcPr>
            <w:tcW w:w="8134" w:type="dxa"/>
            <w:tcBorders/>
            <w:shd w:fill="FFFFFF" w:val="clear"/>
            <w:vAlign w:val="center"/>
          </w:tcPr>
          <w:p>
            <w:pPr>
              <w:pStyle w:val="TableContents"/>
              <w:bidi w:val="0"/>
              <w:spacing w:before="0" w:after="283"/>
              <w:jc w:val="left"/>
              <w:rPr/>
            </w:pPr>
            <w:r>
              <w:rPr/>
              <w:t>Deconsolidation of subsidiary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4,947</w:t>
            </w:r>
          </w:p>
        </w:tc>
        <w:tc>
          <w:tcPr>
            <w:tcW w:w="115" w:type="dxa"/>
            <w:tcBorders/>
            <w:shd w:fill="FFFFFF" w:val="clear"/>
            <w:vAlign w:val="center"/>
          </w:tcPr>
          <w:p>
            <w:pPr>
              <w:pStyle w:val="TableContents"/>
              <w:bidi w:val="0"/>
              <w:spacing w:before="0" w:after="283"/>
              <w:jc w:val="left"/>
              <w:rPr/>
            </w:pPr>
            <w:r>
              <w:rPr/>
              <w:t> </w:t>
            </w:r>
            <w:bookmarkStart w:id="254" w:name="xdx_404_eus-gaap--IncreaseDecreaseInOper"/>
            <w:bookmarkEnd w:id="254"/>
          </w:p>
        </w:tc>
      </w:tr>
      <w:tr>
        <w:trPr/>
        <w:tc>
          <w:tcPr>
            <w:tcW w:w="8134" w:type="dxa"/>
            <w:tcBorders/>
            <w:shd w:fill="CCEEFF" w:val="clear"/>
            <w:vAlign w:val="center"/>
          </w:tcPr>
          <w:p>
            <w:pPr>
              <w:pStyle w:val="TableContents"/>
              <w:bidi w:val="0"/>
              <w:spacing w:before="0" w:after="283"/>
              <w:jc w:val="left"/>
              <w:rPr/>
            </w:pPr>
            <w:r>
              <w:rPr/>
              <w:t>Changes in lease liability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(2</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10</w:t>
            </w:r>
          </w:p>
        </w:tc>
        <w:tc>
          <w:tcPr>
            <w:tcW w:w="115" w:type="dxa"/>
            <w:tcBorders/>
            <w:shd w:fill="CCEEFF" w:val="clear"/>
            <w:vAlign w:val="center"/>
          </w:tcPr>
          <w:p>
            <w:pPr>
              <w:pStyle w:val="TableContents"/>
              <w:bidi w:val="0"/>
              <w:spacing w:before="0" w:after="283"/>
              <w:jc w:val="left"/>
              <w:rPr/>
            </w:pPr>
            <w:r>
              <w:rPr/>
              <w:t> </w:t>
            </w:r>
            <w:bookmarkStart w:id="255" w:name="xdx_40C_eus-gaap--IncreaseDecreaseInOper"/>
            <w:bookmarkEnd w:id="255"/>
          </w:p>
        </w:tc>
      </w:tr>
      <w:tr>
        <w:trPr/>
        <w:tc>
          <w:tcPr>
            <w:tcW w:w="8134"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256" w:name="xdx_409_eus-gaap--IncreaseDecreaseInAcco"/>
            <w:bookmarkEnd w:id="256"/>
          </w:p>
        </w:tc>
      </w:tr>
      <w:tr>
        <w:trPr/>
        <w:tc>
          <w:tcPr>
            <w:tcW w:w="8134"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183</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257" w:name="xdx_409_eus-gaap--IncreaseDecreaseInInve"/>
            <w:bookmarkEnd w:id="257"/>
          </w:p>
        </w:tc>
      </w:tr>
      <w:tr>
        <w:trPr/>
        <w:tc>
          <w:tcPr>
            <w:tcW w:w="8134"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412</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258" w:name="xdx_409_eus-gaap--IncreaseDecreaseInPrep"/>
            <w:bookmarkEnd w:id="258"/>
          </w:p>
        </w:tc>
      </w:tr>
      <w:tr>
        <w:trPr/>
        <w:tc>
          <w:tcPr>
            <w:tcW w:w="8134"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15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1,544</w:t>
            </w:r>
          </w:p>
        </w:tc>
        <w:tc>
          <w:tcPr>
            <w:tcW w:w="115" w:type="dxa"/>
            <w:tcBorders/>
            <w:shd w:fill="CCEEFF" w:val="clear"/>
            <w:vAlign w:val="center"/>
          </w:tcPr>
          <w:p>
            <w:pPr>
              <w:pStyle w:val="TableContents"/>
              <w:bidi w:val="0"/>
              <w:spacing w:before="0" w:after="283"/>
              <w:jc w:val="left"/>
              <w:rPr/>
            </w:pPr>
            <w:r>
              <w:rPr/>
              <w:t> </w:t>
            </w:r>
            <w:bookmarkStart w:id="259" w:name="xdx_409_eus-gaap--IncreaseDecreaseInAcco"/>
            <w:bookmarkEnd w:id="259"/>
          </w:p>
        </w:tc>
      </w:tr>
      <w:tr>
        <w:trPr/>
        <w:tc>
          <w:tcPr>
            <w:tcW w:w="8134" w:type="dxa"/>
            <w:tcBorders/>
            <w:shd w:fill="FFFFFF" w:val="clear"/>
            <w:vAlign w:val="center"/>
          </w:tcPr>
          <w:p>
            <w:pPr>
              <w:pStyle w:val="TableContents"/>
              <w:bidi w:val="0"/>
              <w:spacing w:before="0" w:after="283"/>
              <w:jc w:val="left"/>
              <w:rPr/>
            </w:pPr>
            <w:r>
              <w:rPr/>
              <w:t>Accounts payable, 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FFFFFF" w:val="clear"/>
            <w:tcMar>
              <w:bottom w:w="28" w:type="dxa"/>
            </w:tcMar>
            <w:vAlign w:val="center"/>
          </w:tcPr>
          <w:p>
            <w:pPr>
              <w:pStyle w:val="TableContents"/>
              <w:bidi w:val="0"/>
              <w:spacing w:before="0" w:after="283"/>
              <w:jc w:val="right"/>
              <w:rPr/>
            </w:pPr>
            <w:r>
              <w:rPr/>
              <w:t>(638</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(11,079</w:t>
            </w:r>
          </w:p>
        </w:tc>
        <w:tc>
          <w:tcPr>
            <w:tcW w:w="115" w:type="dxa"/>
            <w:tcBorders/>
            <w:shd w:fill="FFFFFF" w:val="clear"/>
            <w:vAlign w:val="center"/>
          </w:tcPr>
          <w:p>
            <w:pPr>
              <w:pStyle w:val="TableContents"/>
              <w:bidi w:val="0"/>
              <w:spacing w:before="0" w:after="283"/>
              <w:jc w:val="left"/>
              <w:rPr/>
            </w:pPr>
            <w:r>
              <w:rPr/>
              <w:t>)</w:t>
            </w:r>
            <w:bookmarkStart w:id="260" w:name="xdx_40F_eus-gaap--NetCashProvidedByUsedI"/>
            <w:bookmarkEnd w:id="260"/>
          </w:p>
        </w:tc>
      </w:tr>
      <w:tr>
        <w:trPr/>
        <w:tc>
          <w:tcPr>
            <w:tcW w:w="8134"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right"/>
              <w:rPr/>
            </w:pPr>
            <w:r>
              <w:rPr/>
              <w:t>(630</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(4,303</w:t>
            </w:r>
          </w:p>
        </w:tc>
        <w:tc>
          <w:tcPr>
            <w:tcW w:w="115" w:type="dxa"/>
            <w:tcBorders/>
            <w:shd w:fill="CCEEFF" w:val="clear"/>
            <w:vAlign w:val="center"/>
          </w:tcPr>
          <w:p>
            <w:pPr>
              <w:pStyle w:val="TableContents"/>
              <w:bidi w:val="0"/>
              <w:spacing w:before="0" w:after="283"/>
              <w:jc w:val="left"/>
              <w:rPr/>
            </w:pPr>
            <w:r>
              <w:rPr/>
              <w:t>)</w:t>
            </w:r>
            <w:bookmarkStart w:id="261" w:name="xdx_401_eus-gaap--NetCashProvidedByUsedI"/>
            <w:bookmarkEnd w:id="261"/>
          </w:p>
        </w:tc>
      </w:tr>
      <w:tr>
        <w:trPr/>
        <w:tc>
          <w:tcPr>
            <w:tcW w:w="8134"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262" w:name="xdx_405_eus-gaap--PaymentsToAcquirePrope"/>
            <w:bookmarkEnd w:id="262"/>
          </w:p>
        </w:tc>
      </w:tr>
      <w:tr>
        <w:trPr/>
        <w:tc>
          <w:tcPr>
            <w:tcW w:w="8134" w:type="dxa"/>
            <w:tcBorders/>
            <w:shd w:fill="CCEEFF" w:val="clear"/>
            <w:vAlign w:val="center"/>
          </w:tcPr>
          <w:p>
            <w:pPr>
              <w:pStyle w:val="TableContents"/>
              <w:bidi w:val="0"/>
              <w:spacing w:before="0" w:after="283"/>
              <w:jc w:val="left"/>
              <w:rPr/>
            </w:pPr>
            <w:r>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263" w:name="xdx_409_eus-gaap--NetCashProvidedByUsedI"/>
            <w:bookmarkEnd w:id="263"/>
          </w:p>
        </w:tc>
      </w:tr>
      <w:tr>
        <w:trPr/>
        <w:tc>
          <w:tcPr>
            <w:tcW w:w="8134"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264" w:name="xdx_401_eus-gaap--NetCashProvidedByUsedI"/>
            <w:bookmarkEnd w:id="264"/>
          </w:p>
        </w:tc>
      </w:tr>
      <w:tr>
        <w:trPr/>
        <w:tc>
          <w:tcPr>
            <w:tcW w:w="8134"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65" w:name="xdx_406_eus-gaap--ProceedsFromIssuanceOr"/>
            <w:bookmarkEnd w:id="265"/>
          </w:p>
        </w:tc>
      </w:tr>
      <w:tr>
        <w:trPr/>
        <w:tc>
          <w:tcPr>
            <w:tcW w:w="8134" w:type="dxa"/>
            <w:tcBorders/>
            <w:shd w:fill="FFFFFF" w:val="clear"/>
            <w:vAlign w:val="center"/>
          </w:tcPr>
          <w:p>
            <w:pPr>
              <w:pStyle w:val="TableContents"/>
              <w:bidi w:val="0"/>
              <w:spacing w:before="0" w:after="283"/>
              <w:jc w:val="left"/>
              <w:rPr/>
            </w:pPr>
            <w:r>
              <w:rPr/>
              <w:t>Proceeds, net of issuance costs, from issuing common stock and pre-funded warrants, net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919</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5,567</w:t>
            </w:r>
          </w:p>
        </w:tc>
        <w:tc>
          <w:tcPr>
            <w:tcW w:w="115" w:type="dxa"/>
            <w:tcBorders/>
            <w:shd w:fill="FFFFFF" w:val="clear"/>
            <w:vAlign w:val="center"/>
          </w:tcPr>
          <w:p>
            <w:pPr>
              <w:pStyle w:val="TableContents"/>
              <w:bidi w:val="0"/>
              <w:spacing w:before="0" w:after="283"/>
              <w:jc w:val="left"/>
              <w:rPr/>
            </w:pPr>
            <w:r>
              <w:rPr/>
              <w:t> </w:t>
            </w:r>
            <w:bookmarkStart w:id="266" w:name="xdx_40B_eus-gaap--PaymentsOfDividendsPre"/>
            <w:bookmarkEnd w:id="266"/>
          </w:p>
        </w:tc>
      </w:tr>
      <w:tr>
        <w:trPr/>
        <w:tc>
          <w:tcPr>
            <w:tcW w:w="8134" w:type="dxa"/>
            <w:tcBorders/>
            <w:shd w:fill="CCEEFF" w:val="clear"/>
            <w:vAlign w:val="center"/>
          </w:tcPr>
          <w:p>
            <w:pPr>
              <w:pStyle w:val="TableContents"/>
              <w:bidi w:val="0"/>
              <w:spacing w:before="0" w:after="283"/>
              <w:jc w:val="left"/>
              <w:rPr/>
            </w:pPr>
            <w:r>
              <w:rPr/>
              <w:t>Payment of preferred stock dividend</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right"/>
              <w:rPr/>
            </w:pPr>
            <w:r>
              <w:rPr/>
              <w:t>(41</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(41</w:t>
            </w:r>
          </w:p>
        </w:tc>
        <w:tc>
          <w:tcPr>
            <w:tcW w:w="115" w:type="dxa"/>
            <w:tcBorders/>
            <w:shd w:fill="CCEEFF" w:val="clear"/>
            <w:vAlign w:val="center"/>
          </w:tcPr>
          <w:p>
            <w:pPr>
              <w:pStyle w:val="TableContents"/>
              <w:bidi w:val="0"/>
              <w:spacing w:before="0" w:after="283"/>
              <w:jc w:val="left"/>
              <w:rPr/>
            </w:pPr>
            <w:r>
              <w:rPr/>
              <w:t>)</w:t>
            </w:r>
            <w:bookmarkStart w:id="267" w:name="xdx_408_eus-gaap--NetCashProvidedByUsedI"/>
            <w:bookmarkEnd w:id="267"/>
          </w:p>
        </w:tc>
      </w:tr>
      <w:tr>
        <w:trPr/>
        <w:tc>
          <w:tcPr>
            <w:tcW w:w="8134"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FFFFFF" w:val="clear"/>
            <w:tcMar>
              <w:bottom w:w="28" w:type="dxa"/>
            </w:tcMar>
            <w:vAlign w:val="center"/>
          </w:tcPr>
          <w:p>
            <w:pPr>
              <w:pStyle w:val="TableContents"/>
              <w:bidi w:val="0"/>
              <w:spacing w:before="0" w:after="283"/>
              <w:jc w:val="right"/>
              <w:rPr/>
            </w:pPr>
            <w:r>
              <w:rPr/>
              <w:t>878</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5,526</w:t>
            </w:r>
          </w:p>
        </w:tc>
        <w:tc>
          <w:tcPr>
            <w:tcW w:w="115" w:type="dxa"/>
            <w:tcBorders/>
            <w:shd w:fill="FFFFFF" w:val="clear"/>
            <w:vAlign w:val="center"/>
          </w:tcPr>
          <w:p>
            <w:pPr>
              <w:pStyle w:val="TableContents"/>
              <w:bidi w:val="0"/>
              <w:spacing w:before="0" w:after="283"/>
              <w:jc w:val="left"/>
              <w:rPr/>
            </w:pPr>
            <w:r>
              <w:rPr/>
              <w:t> </w:t>
            </w:r>
          </w:p>
        </w:tc>
      </w:tr>
      <w:tr>
        <w:trPr/>
        <w:tc>
          <w:tcPr>
            <w:tcW w:w="81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68" w:name="xdx_40E_eus-gaap--EffectOfExchangeRateOn"/>
            <w:bookmarkEnd w:id="268"/>
          </w:p>
        </w:tc>
      </w:tr>
      <w:tr>
        <w:trPr/>
        <w:tc>
          <w:tcPr>
            <w:tcW w:w="8134" w:type="dxa"/>
            <w:tcBorders/>
            <w:shd w:fill="FFFFFF" w:val="clear"/>
            <w:vAlign w:val="center"/>
          </w:tcPr>
          <w:p>
            <w:pPr>
              <w:pStyle w:val="TableContents"/>
              <w:bidi w:val="0"/>
              <w:spacing w:before="0" w:after="283"/>
              <w:jc w:val="left"/>
              <w:rPr/>
            </w:pPr>
            <w:r>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FFFFFF" w:val="clear"/>
            <w:tcMar>
              <w:bottom w:w="28" w:type="dxa"/>
            </w:tcMar>
            <w:vAlign w:val="center"/>
          </w:tcPr>
          <w:p>
            <w:pPr>
              <w:pStyle w:val="TableContents"/>
              <w:bidi w:val="0"/>
              <w:spacing w:before="0" w:after="283"/>
              <w:jc w:val="right"/>
              <w:rPr/>
            </w:pPr>
            <w:r>
              <w:rPr/>
              <w:t>38</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(85</w:t>
            </w:r>
          </w:p>
        </w:tc>
        <w:tc>
          <w:tcPr>
            <w:tcW w:w="115" w:type="dxa"/>
            <w:tcBorders/>
            <w:shd w:fill="FFFFFF" w:val="clear"/>
            <w:vAlign w:val="center"/>
          </w:tcPr>
          <w:p>
            <w:pPr>
              <w:pStyle w:val="TableContents"/>
              <w:bidi w:val="0"/>
              <w:spacing w:before="0" w:after="283"/>
              <w:jc w:val="left"/>
              <w:rPr/>
            </w:pPr>
            <w:r>
              <w:rPr/>
              <w:t>)</w:t>
            </w:r>
            <w:bookmarkStart w:id="269" w:name="xdx_407_eus-gaap--CashCashEquivalentsRes"/>
            <w:bookmarkEnd w:id="269"/>
          </w:p>
        </w:tc>
      </w:tr>
      <w:tr>
        <w:trPr/>
        <w:tc>
          <w:tcPr>
            <w:tcW w:w="8134" w:type="dxa"/>
            <w:tcBorders/>
            <w:shd w:fill="CCEEFF" w:val="clear"/>
            <w:vAlign w:val="center"/>
          </w:tcPr>
          <w:p>
            <w:pPr>
              <w:pStyle w:val="TableContents"/>
              <w:bidi w:val="0"/>
              <w:spacing w:before="0" w:after="283"/>
              <w:jc w:val="left"/>
              <w:rPr/>
            </w:pPr>
            <w:r>
              <w:rPr/>
              <w:t>Net (decrease)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285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1,138</w:t>
            </w:r>
          </w:p>
        </w:tc>
        <w:tc>
          <w:tcPr>
            <w:tcW w:w="115" w:type="dxa"/>
            <w:tcBorders/>
            <w:shd w:fill="CCEEFF" w:val="clear"/>
            <w:vAlign w:val="center"/>
          </w:tcPr>
          <w:p>
            <w:pPr>
              <w:pStyle w:val="TableContents"/>
              <w:bidi w:val="0"/>
              <w:spacing w:before="0" w:after="283"/>
              <w:jc w:val="left"/>
              <w:rPr/>
            </w:pPr>
            <w:r>
              <w:rPr/>
              <w:t> </w:t>
            </w:r>
            <w:bookmarkStart w:id="270" w:name="xdx_404_eus-gaap--CashCashEquivalentsRes"/>
            <w:bookmarkEnd w:id="270"/>
          </w:p>
        </w:tc>
      </w:tr>
      <w:tr>
        <w:trPr/>
        <w:tc>
          <w:tcPr>
            <w:tcW w:w="8134" w:type="dxa"/>
            <w:tcBorders/>
            <w:shd w:fill="FFFFFF" w:val="clear"/>
            <w:vAlign w:val="center"/>
          </w:tcPr>
          <w:p>
            <w:pPr>
              <w:pStyle w:val="TableContents"/>
              <w:bidi w:val="0"/>
              <w:spacing w:before="0" w:after="283"/>
              <w:jc w:val="left"/>
              <w:rPr/>
            </w:pPr>
            <w:r>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FFFFFF" w:val="clear"/>
            <w:tcMar>
              <w:bottom w:w="28" w:type="dxa"/>
            </w:tcMar>
            <w:vAlign w:val="center"/>
          </w:tcPr>
          <w:p>
            <w:pPr>
              <w:pStyle w:val="TableContents"/>
              <w:bidi w:val="0"/>
              <w:spacing w:before="0" w:after="283"/>
              <w:jc w:val="right"/>
              <w:rPr/>
            </w:pPr>
            <w:r>
              <w:rPr/>
              <w:t>3,505</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3,137</w:t>
            </w:r>
          </w:p>
        </w:tc>
        <w:tc>
          <w:tcPr>
            <w:tcW w:w="115" w:type="dxa"/>
            <w:tcBorders/>
            <w:shd w:fill="FFFFFF" w:val="clear"/>
            <w:vAlign w:val="center"/>
          </w:tcPr>
          <w:p>
            <w:pPr>
              <w:pStyle w:val="TableContents"/>
              <w:bidi w:val="0"/>
              <w:spacing w:before="0" w:after="283"/>
              <w:jc w:val="left"/>
              <w:rPr/>
            </w:pPr>
            <w:r>
              <w:rPr/>
              <w:t> </w:t>
            </w:r>
            <w:bookmarkStart w:id="271" w:name="xdx_409_eus-gaap--CashCashEquivalentsRes"/>
            <w:bookmarkEnd w:id="271"/>
          </w:p>
        </w:tc>
      </w:tr>
      <w:tr>
        <w:trPr/>
        <w:tc>
          <w:tcPr>
            <w:tcW w:w="8134" w:type="dxa"/>
            <w:tcBorders/>
            <w:shd w:fill="CCEEFF" w:val="clear"/>
            <w:vAlign w:val="center"/>
          </w:tcPr>
          <w:p>
            <w:pPr>
              <w:pStyle w:val="TableContents"/>
              <w:bidi w:val="0"/>
              <w:spacing w:before="0" w:after="283"/>
              <w:jc w:val="left"/>
              <w:rPr/>
            </w:pPr>
            <w:r>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8" w:type="dxa"/>
            <w:tcBorders>
              <w:bottom w:val="double" w:sz="6" w:space="0" w:color="000000"/>
            </w:tcBorders>
            <w:shd w:fill="CCEEFF" w:val="clear"/>
            <w:tcMar>
              <w:bottom w:w="28" w:type="dxa"/>
            </w:tcMar>
            <w:vAlign w:val="center"/>
          </w:tcPr>
          <w:p>
            <w:pPr>
              <w:pStyle w:val="TableContents"/>
              <w:bidi w:val="0"/>
              <w:spacing w:before="0" w:after="283"/>
              <w:jc w:val="right"/>
              <w:rPr/>
            </w:pPr>
            <w:r>
              <w:rPr/>
              <w:t>3,790</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pPr>
            <w:r>
              <w:rPr/>
              <w:t>4,275</w:t>
            </w:r>
          </w:p>
        </w:tc>
        <w:tc>
          <w:tcPr>
            <w:tcW w:w="115" w:type="dxa"/>
            <w:tcBorders/>
            <w:shd w:fill="CCEEFF" w:val="clear"/>
            <w:vAlign w:val="center"/>
          </w:tcPr>
          <w:p>
            <w:pPr>
              <w:pStyle w:val="TableContents"/>
              <w:bidi w:val="0"/>
              <w:spacing w:before="0" w:after="283"/>
              <w:jc w:val="left"/>
              <w:rPr/>
            </w:pPr>
            <w:r>
              <w:rPr/>
              <w:t> </w:t>
            </w:r>
            <w:bookmarkStart w:id="272" w:name="xdx_40B_eus-gaap--SupplementalCashFlowIn"/>
            <w:bookmarkEnd w:id="272"/>
          </w:p>
        </w:tc>
      </w:tr>
      <w:tr>
        <w:trPr/>
        <w:tc>
          <w:tcPr>
            <w:tcW w:w="8134"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81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73" w:name="xdx_400_eus-gaap--IncomeTaxesPaidNetAbst"/>
            <w:bookmarkEnd w:id="273"/>
          </w:p>
        </w:tc>
      </w:tr>
      <w:tr>
        <w:trPr/>
        <w:tc>
          <w:tcPr>
            <w:tcW w:w="8134" w:type="dxa"/>
            <w:tcBorders/>
            <w:shd w:fill="FFFFFF" w:val="clear"/>
            <w:vAlign w:val="center"/>
          </w:tcPr>
          <w:p>
            <w:pPr>
              <w:pStyle w:val="TableContents"/>
              <w:bidi w:val="0"/>
              <w:spacing w:before="0" w:after="283"/>
              <w:jc w:val="left"/>
              <w:rPr/>
            </w:pPr>
            <w:r>
              <w:rPr/>
              <w:t>Cash received during the period for:</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274" w:name="xdx_400_eus-gaap--ProceedsFromInterestRe"/>
            <w:bookmarkEnd w:id="274"/>
          </w:p>
        </w:tc>
      </w:tr>
      <w:tr>
        <w:trPr/>
        <w:tc>
          <w:tcPr>
            <w:tcW w:w="8134" w:type="dxa"/>
            <w:tcBorders/>
            <w:shd w:fill="CCEEFF" w:val="clear"/>
            <w:vAlign w:val="center"/>
          </w:tcPr>
          <w:p>
            <w:pPr>
              <w:pStyle w:val="TableContents"/>
              <w:bidi w:val="0"/>
              <w:spacing w:before="0" w:after="283"/>
              <w:jc w:val="left"/>
              <w:rPr/>
            </w:pPr>
            <w:r>
              <w:rPr/>
              <w:t>Interest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8" w:type="dxa"/>
            <w:tcBorders/>
            <w:shd w:fill="CCEEFF" w:val="clear"/>
            <w:vAlign w:val="center"/>
          </w:tcPr>
          <w:p>
            <w:pPr>
              <w:pStyle w:val="TableContents"/>
              <w:bidi w:val="0"/>
              <w:spacing w:before="0" w:after="283"/>
              <w:jc w:val="right"/>
              <w:rPr/>
            </w:pPr>
            <w:r>
              <w:rPr/>
              <w:t>18</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12</w:t>
            </w:r>
          </w:p>
        </w:tc>
        <w:tc>
          <w:tcPr>
            <w:tcW w:w="115" w:type="dxa"/>
            <w:tcBorders/>
            <w:shd w:fill="CCEEFF" w:val="clear"/>
            <w:vAlign w:val="center"/>
          </w:tcPr>
          <w:p>
            <w:pPr>
              <w:pStyle w:val="TableContents"/>
              <w:bidi w:val="0"/>
              <w:spacing w:before="0" w:after="283"/>
              <w:jc w:val="left"/>
              <w:rPr/>
            </w:pPr>
            <w:r>
              <w:rPr/>
              <w:t> </w:t>
            </w:r>
          </w:p>
        </w:tc>
      </w:tr>
      <w:tr>
        <w:trPr/>
        <w:tc>
          <w:tcPr>
            <w:tcW w:w="8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275" w:name="xdx_40A_eus-gaap--CashFlowNoncashInvesti"/>
            <w:bookmarkEnd w:id="275"/>
          </w:p>
        </w:tc>
      </w:tr>
      <w:tr>
        <w:trPr/>
        <w:tc>
          <w:tcPr>
            <w:tcW w:w="8134" w:type="dxa"/>
            <w:tcBorders/>
            <w:shd w:fill="CCEEFF" w:val="clear"/>
            <w:vAlign w:val="center"/>
          </w:tcPr>
          <w:p>
            <w:pPr>
              <w:pStyle w:val="TableContents"/>
              <w:bidi w:val="0"/>
              <w:spacing w:before="0" w:after="283"/>
              <w:jc w:val="left"/>
              <w:rPr/>
            </w:pPr>
            <w:r>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76" w:name="xdx_408_eus-gaap--InterestPaidNet_i01_z7"/>
            <w:bookmarkEnd w:id="276"/>
          </w:p>
        </w:tc>
      </w:tr>
      <w:tr>
        <w:trPr/>
        <w:tc>
          <w:tcPr>
            <w:tcW w:w="8134"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5</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7" w:name="ns_008"/>
      <w:bookmarkEnd w:id="277"/>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8" w:name="xdx_801_eus-gaap--OrganizationConsolidat"/>
      <w:bookmarkEnd w:id="278"/>
      <w:r>
        <w:rPr>
          <w:rFonts w:ascii="Times New Roman;Times;Serif" w:hAnsi="Times New Roman;Times;Serif"/>
          <w:b/>
          <w:i w:val="false"/>
          <w:caps w:val="false"/>
          <w:smallCaps w:val="false"/>
          <w:sz w:val="20"/>
        </w:rPr>
        <w:t xml:space="preserve">1. </w:t>
      </w:r>
      <w:bookmarkStart w:id="279" w:name="xdx_821_zlzCgH1yChA5"/>
      <w:bookmarkEnd w:id="279"/>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Operations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(the “Company”) (formerly Cyclacel Pharmaceuticals, Inc.) is a diversified company that was formerly engaged in the biopharmaceutical industry but as of September 2025 has shifted its operations to focus on provision of fire safety protection and distribution activities. Specifically, on September 12, 2025, the Company completed its acquisition of Fitters Sdn. Bhd., a Malaysia-based company specializing in fire protection products and services. Headquartered in Malaysia, the Company is now focused on advancing opportunities across these distinct sectors whilst maintaining its commitment to driving long-term value creation for stockholders. Since that time, substantially all efforts of the Company have been focused on the supply and trading of protective and fire safety equipment providing a wide range of fire safety products, including fire extinguishers, foam systems, fire-resistant doors, personal protective equipment, and fire safety apparel. Our mission is to deliver high-quality, certified safety solutions that enhance protection across commercial, industrial, healthcare, and residential sectors with a focus on trading and distribution to position us as a key player in Malaysia’s fire safety market, with a reputation for reliability and compliance with stringent regulatory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the Company’s previous wholly owned United Kingdom subsidiary, Cyclacel Limited, entered into a creditors voluntary liquidation. Upon the commencement of the liquidation of Cyclacel Limited, the Company lost operational and strategic control over Cyclacel Limited and the financial results of Cyclacel Limited have been deconsolidated from the Company as of January 24, 2025. The deconsolidation of the subsidiary resulted in a gain on deconsolidation of approximately $</w:t>
      </w:r>
      <w:bookmarkStart w:id="280" w:name="xdx_907_eus-gaap--DeconsolidationGainOrL"/>
      <w:bookmarkEnd w:id="280"/>
      <w:r>
        <w:rPr>
          <w:rFonts w:ascii="Times New Roman;Times;Serif" w:hAnsi="Times New Roman;Times;Serif"/>
          <w:b w:val="false"/>
          <w:i w:val="false"/>
          <w:caps w:val="false"/>
          <w:smallCaps w:val="false"/>
          <w:sz w:val="20"/>
        </w:rPr>
        <w:t>5.0 million shown as a component of gain from discontinued operations within the income statement for the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1" w:name="xdx_80C_eus-gaap--SignificantAccountingP"/>
      <w:bookmarkEnd w:id="281"/>
      <w:r>
        <w:rPr>
          <w:rFonts w:ascii="Times New Roman;Times;Serif" w:hAnsi="Times New Roman;Times;Serif"/>
          <w:b/>
          <w:i w:val="false"/>
          <w:caps w:val="false"/>
          <w:smallCaps w:val="false"/>
          <w:sz w:val="20"/>
        </w:rPr>
        <w:t xml:space="preserve">2. </w:t>
      </w:r>
      <w:bookmarkStart w:id="282" w:name="xdx_825_zLUm8Piz1Lpl"/>
      <w:bookmarkEnd w:id="282"/>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283" w:name="xdx_843_eus-gaap--BasisOfAccountingPolic"/>
      <w:bookmarkEnd w:id="283"/>
      <w:r>
        <w:rPr>
          <w:rFonts w:ascii="Times New Roman;Times;Serif" w:hAnsi="Times New Roman;Times;Serif"/>
          <w:b/>
          <w:i/>
          <w:caps w:val="false"/>
          <w:smallCaps w:val="false"/>
          <w:sz w:val="20"/>
        </w:rPr>
        <w:t>Basis of Presentation</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 as of June 30, 2026, the consolidated statements of operations, comprehensive loss, and stockholders’ equity for the six months ended June 30, 2026, and 2025 and the consolidated statements of cash flows for six months ended June 30, 2026, and 2025, and all related disclosures contained in the accompanying notes, are unaudited. The consolidated balance sheet as of December 31, 2025 is derived from the audited consolidated financial statements included in the Annual Report on Form 10-K for the fiscal year ended December 31, 2025 filed with the Securities and Exchange Commission (the “SEC”) on March 30, 2026. The consolidated financial statements are presented on the basis of accounting principles that are generally accepted in the United States (“GAAP”) for interim financial information and in accordance with the rules and regulations of the SEC. Accordingly, they do not include all the information and footnotes required by accounting principles generally accepted in the United States for a complete set of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adjustments, which include only normal recurring adjustments necessary to present fairly the consolidated balance sheet as of June 30, 2026, and the results of operations, comprehensive loss, and changes in stockholders’ equity for the six months ended June 30, 2026, and cash flows for the six months ended June 30, 2026, have been made. The interim results for six months ended June 30, 2026 are not necessarily indicative of the results to be expected for the year ending December 31, 2026 or for any other reporting period. The consolidated financial statements should be read in conjunction with the audited consolidated financial statements and the accompanying notes for the year ended December 31, 2025, that are included in the Company’s Annual Report on Form 10-K filed with the SEC on March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operations, comprehensive loss, and stockholders’ equity for the six months ended June 30, 2026 include Fitters Sdn. Bhd.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284" w:name="xdx_845_ecustom--ReverseStockSplitsPolic"/>
      <w:bookmarkEnd w:id="284"/>
      <w:r>
        <w:rPr>
          <w:rFonts w:ascii="Times New Roman;Times;Serif" w:hAnsi="Times New Roman;Times;Serif"/>
          <w:b/>
          <w:i/>
          <w:caps w:val="false"/>
          <w:smallCaps w:val="false"/>
          <w:sz w:val="20"/>
        </w:rPr>
        <w:t>Reverse Stock Splits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12, 2025, the Company completed a </w:t>
      </w:r>
      <w:bookmarkStart w:id="285" w:name="xdx_90E_eus-gaap--StockholdersEquityReve"/>
      <w:bookmarkEnd w:id="285"/>
      <w:r>
        <w:rPr>
          <w:rFonts w:ascii="Times New Roman;Times;Serif" w:hAnsi="Times New Roman;Times;Serif"/>
          <w:b w:val="false"/>
          <w:i w:val="false"/>
          <w:caps w:val="false"/>
          <w:smallCaps w:val="false"/>
          <w:sz w:val="20"/>
        </w:rPr>
        <w:t xml:space="preserve">one-for-sixteen reverse stock split, which reduced the number of shares of the Company’s common stock that were issued and outstanding immediately prior to the effectiveness of the reverse stock split. On July 7, 2025, the Company completed a </w:t>
      </w:r>
      <w:bookmarkStart w:id="286" w:name="xdx_909_eus-gaap--StockholdersEquityReve"/>
      <w:bookmarkEnd w:id="286"/>
      <w:r>
        <w:rPr>
          <w:rFonts w:ascii="Times New Roman;Times;Serif" w:hAnsi="Times New Roman;Times;Serif"/>
          <w:b w:val="false"/>
          <w:i w:val="false"/>
          <w:caps w:val="false"/>
          <w:smallCaps w:val="false"/>
          <w:sz w:val="20"/>
        </w:rPr>
        <w:t>one-for-fifteen reverse stock split, which reduced the number of shares of the Company’s common stock that were issued and outstanding immediately prior to the effectiveness of the reverse stock split. The number of shares of the Company’s authorized common stock was not affected by the reverse stock splits and the par value of the Company’s common stock remained unchanged at $</w:t>
      </w:r>
      <w:bookmarkStart w:id="287" w:name="xdx_90D_eus-gaap--CommonStockParOrStated"/>
      <w:bookmarkEnd w:id="287"/>
      <w:r>
        <w:rPr>
          <w:rFonts w:ascii="Times New Roman;Times;Serif" w:hAnsi="Times New Roman;Times;Serif"/>
          <w:b w:val="false"/>
          <w:i w:val="false"/>
          <w:caps w:val="false"/>
          <w:smallCaps w:val="false"/>
          <w:sz w:val="20"/>
        </w:rPr>
        <w:t>0.001 per share. In addition, the number of shares or other equity instruments issuable under the Company’s equity incentive plans were not adjusted in connection with the May or July 2025 reverse stock splits. No fractional shares were issued in connection with the reverse stock splits. Stockholders who otherwise held fractional shares of the Company’s common stock as a result of the reverse stock split received a cash payment in lieu of such fractional shares. All amounts related to number of shares and per share amounts have been retroactively restated in these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288" w:name="xdx_84E_ecustom--GoingConcernPolicyTextB"/>
      <w:bookmarkEnd w:id="288"/>
      <w:r>
        <w:rPr>
          <w:rFonts w:ascii="Times New Roman;Times;Serif" w:hAnsi="Times New Roman;Times;Serif"/>
          <w:b/>
          <w:i/>
          <w:caps w:val="false"/>
          <w:smallCaps w:val="false"/>
          <w:sz w:val="20"/>
        </w:rPr>
        <w:t>Going Concern</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Accounting Standard Codification (ASC) 205-40, </w:t>
      </w:r>
      <w:r>
        <w:rPr>
          <w:rFonts w:ascii="Times New Roman;Times;Serif" w:hAnsi="Times New Roman;Times;Serif"/>
          <w:b w:val="false"/>
          <w:i/>
          <w:caps w:val="false"/>
          <w:smallCaps w:val="false"/>
          <w:sz w:val="20"/>
        </w:rPr>
        <w:t>Presentation of Financial Statements-Going Concern</w:t>
      </w:r>
      <w:r>
        <w:rPr>
          <w:rFonts w:ascii="Times New Roman;Times;Serif" w:hAnsi="Times New Roman;Times;Serif"/>
          <w:b w:val="false"/>
          <w:i w:val="false"/>
          <w:caps w:val="false"/>
          <w:smallCaps w:val="false"/>
          <w:sz w:val="20"/>
        </w:rPr>
        <w:t>, management is required at each reporting period to evaluate whether there are conditions or events, considered in the aggregate, that raise substantial doubt about an entity’s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effects of its plans sufficiently alleviate the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for one year after the date that these financial statements are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its analysis, management excluded certain elements of its operating plan that cannot be considered probable. Under ASC 205-40, the future receipts of potential funding from future equity or debt issuances or by entering into partnership agreements cannot be considered probable at this time because these plans are not entirely within the Company’s control nor have they been approved by the Board of Directors as of the date of these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current operating plan, it is anticipated that cash and cash equivalents of $3.8 million as of June 30, 2026, will allow it to meet its liquidity requirements into the first quarter of 2027. The Company’s history of losses, negative cash flows from operations, liquidity resources currently on hand, and its dependence on the ability to obtain additional financing to fund its operations after the current resources are exhausted, about which there can be no certainty, have resulted in the assessment that there is substantial doubt about the Company’s ability to continue as a going concern for a period of at least twelve months from the issuance date of these financial statements. While the Company has plans in place to mitigate this risk, which primarily consist of raising additional capital through equity financing or by entering into a strategic transaction, there is no guarantee that it will be successful in these mitigation efforts. In the event that we are not able to secure funding, we may be forced to curtail operations, delay or stop ongoing development activities, cease operations altogether, and/or file for bankruptcy.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realization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289" w:name="xdx_844_eus-gaap--NewAccountingPronounce"/>
      <w:bookmarkEnd w:id="289"/>
      <w:r>
        <w:rPr>
          <w:rFonts w:ascii="Times New Roman;Times;Serif" w:hAnsi="Times New Roman;Times;Serif"/>
          <w:b/>
          <w:i/>
          <w:caps w:val="false"/>
          <w:smallCaps w:val="false"/>
          <w:sz w:val="20"/>
        </w:rPr>
        <w:t>Newly Adopted Accounting Pronouncements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2025, the Company adopted Accounting Standards Update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This standard requires all entities to include specified captions when reconciling the statutory income tax rate to the effective tax rate, on both a percentage and absolute dollar basis, in the annual financial statements. ASU 2023-09 also requires entities to disclose the amount of income taxes paid (net of refunds received) disaggregated by federal (national), state, and foreign for each annual reporting period, with separate disclosure of individual jurisdictions for which tax payments to, or receipts from, exceed a defined threshold. The Company does not anticipate the adoption of ASU 2023-09 will require significant adjustments to the presentation of that information in the Company’s annual financial statements.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290" w:name="xdx_842_ecustom--RecentlyIssuedAccountin"/>
      <w:bookmarkEnd w:id="290"/>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This standard will require all public entities to disclose additional information about specific expense categories in the notes to financial statements at interim and annual reporting periods. The amendments in ASU 2024-03 are effective for annual reporting periods beginning after December 15, 2026, and interim reporting periods beginning after December 15, 2027. ASU 2024-03 will not change the way in which expenses are recognized or measured. However, the Company is currently evaluating the effects of ASU 2024-03 on its financial statement presentation and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291" w:name="xdx_84B_eus-gaap--FairValueOfFinancialIn"/>
      <w:bookmarkEnd w:id="291"/>
      <w:r>
        <w:rPr>
          <w:rFonts w:ascii="Times New Roman;Times;Serif" w:hAnsi="Times New Roman;Times;Serif"/>
          <w:b/>
          <w:i/>
          <w:caps w:val="false"/>
          <w:smallCaps w:val="false"/>
          <w:sz w:val="20"/>
        </w:rPr>
        <w:t>Fair Value of Financial Instruments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consist of cash equivalents, accounts payable and accrued liabilities. The carrying amounts of cash equivalents, accounts payable and accrued liabilities approximate their respective fair values due to the nature of the accounts and their short maturities.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292" w:name="xdx_840_eus-gaap--SegmentReportingPolicy"/>
      <w:bookmarkEnd w:id="292"/>
      <w:r>
        <w:rPr>
          <w:rFonts w:ascii="Times New Roman;Times;Serif" w:hAnsi="Times New Roman;Times;Serif"/>
          <w:b/>
          <w:i/>
          <w:caps w:val="false"/>
          <w:smallCaps w:val="false"/>
          <w:sz w:val="20"/>
        </w:rPr>
        <w:t>Segments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managed and operated as </w:t>
      </w:r>
      <w:bookmarkStart w:id="293" w:name="xdx_900_eus-gaap--NumberOfOperatingSegme"/>
      <w:bookmarkEnd w:id="293"/>
      <w:r>
        <w:rPr>
          <w:rFonts w:ascii="Times New Roman;Times;Serif" w:hAnsi="Times New Roman;Times;Serif"/>
          <w:b w:val="false"/>
          <w:i w:val="false"/>
          <w:caps w:val="false"/>
          <w:smallCaps w:val="false"/>
          <w:sz w:val="20"/>
        </w:rPr>
        <w:t xml:space="preserve">one business which is currently focused on the sale and distribution of fire safety materials, equipment and fire prevention systems. The entire business is managed by a single management team that reports to the Chief Executive Officer. Similarly, the Company’s legacy operations within the biotechnology industry was also managed entirely by a single management team that reported into the Chief Executive Officer. The Company has not operated separate lines of business with respect to any of its operations and the Company did not prepare discrete financial information with respect to separate products or product candidates or by location through June 30, 2026. Accordingly, the Company views its current business as </w:t>
      </w:r>
      <w:bookmarkStart w:id="294" w:name="xdx_90A_eus-gaap--NumberOfReportableSegm"/>
      <w:bookmarkEnd w:id="294"/>
      <w:r>
        <w:rPr>
          <w:rFonts w:ascii="Times New Roman;Times;Serif" w:hAnsi="Times New Roman;Times;Serif"/>
          <w:b w:val="false"/>
          <w:i w:val="false"/>
          <w:caps w:val="false"/>
          <w:smallCaps w:val="false"/>
          <w:sz w:val="20"/>
        </w:rPr>
        <w:t>one reportable operating segment with operations in one geographic area, namely Malaysia.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295" w:name="xdx_844_eus-gaap--ComprehensiveIncomePol"/>
      <w:bookmarkEnd w:id="295"/>
      <w:r>
        <w:rPr>
          <w:rFonts w:ascii="Times New Roman;Times;Serif" w:hAnsi="Times New Roman;Times;Serif"/>
          <w:b/>
          <w:i/>
          <w:caps w:val="false"/>
          <w:smallCaps w:val="false"/>
          <w:sz w:val="20"/>
        </w:rPr>
        <w:t>Comprehensive Income (Loss)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components of comprehensive income (loss), including net income (loss), are reported in the financial statements in the period in which they are recognized. Comprehensive income (loss) is defined as the change in equity during a period from transactions and other events and circumstances from non-owner sources. Net income (loss) and other comprehensive income (loss), including foreign currency translation adjustments, are reported, net of any related tax effect, to arrive at comprehensive income (loss). </w:t>
      </w:r>
      <w:bookmarkStart w:id="296" w:name="xdx_90E_eus-gaap--OtherComprehensiveInco"/>
      <w:bookmarkEnd w:id="296"/>
      <w:r>
        <w:rPr>
          <w:rFonts w:ascii="Times New Roman;Times;Serif" w:hAnsi="Times New Roman;Times;Serif"/>
          <w:b w:val="false"/>
          <w:i w:val="false"/>
          <w:caps w:val="false"/>
          <w:smallCaps w:val="false"/>
          <w:sz w:val="20"/>
        </w:rPr>
        <w:t xml:space="preserve">No taxes were recorded on items of other comprehensive income (loss). There were </w:t>
      </w:r>
      <w:bookmarkStart w:id="297" w:name="xdx_90C_eus-gaap--ReclassificationFromAc"/>
      <w:bookmarkStart w:id="298" w:name="xdx_900_eus-gaap--ReclassificationFromAc"/>
      <w:bookmarkEnd w:id="297"/>
      <w:bookmarkEnd w:id="298"/>
      <w:r>
        <w:rPr>
          <w:rFonts w:ascii="Times New Roman;Times;Serif" w:hAnsi="Times New Roman;Times;Serif"/>
          <w:b w:val="false"/>
          <w:i w:val="false"/>
          <w:caps w:val="false"/>
          <w:smallCaps w:val="false"/>
          <w:sz w:val="20"/>
        </w:rPr>
        <w:t>no reclassifications out of other comprehensive income (loss) during the six months ended June 30, 2026, and 2025 except that upon deconsolidation of the Company’s formerly wholly-owned United Kingdom based subsidiary on January 24, 2025, $</w:t>
      </w:r>
      <w:bookmarkStart w:id="299" w:name="xdx_90D_eus-gaap--AccumulatedOtherCompre"/>
      <w:bookmarkEnd w:id="299"/>
      <w:r>
        <w:rPr>
          <w:rFonts w:ascii="Times New Roman;Times;Serif" w:hAnsi="Times New Roman;Times;Serif"/>
          <w:b w:val="false"/>
          <w:i w:val="false"/>
          <w:caps w:val="false"/>
          <w:smallCaps w:val="false"/>
          <w:sz w:val="20"/>
        </w:rPr>
        <w:t>0.9 million of accumulated comprehensive income (loss) was reclassified into earnings as part of the gain on deconsolidation, which is presented as a component of discontinued operations in the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00" w:name="xdx_848_eus-gaap--ForeignCurrencyTransac"/>
      <w:bookmarkEnd w:id="300"/>
      <w:r>
        <w:rPr>
          <w:rFonts w:ascii="Times New Roman;Times;Serif" w:hAnsi="Times New Roman;Times;Serif"/>
          <w:b/>
          <w:i/>
          <w:caps w:val="false"/>
          <w:smallCaps w:val="false"/>
          <w:sz w:val="20"/>
        </w:rPr>
        <w:t>Foreign Currency and Currency Translation</w:t>
      </w:r>
    </w:p>
    <w:p>
      <w:pPr>
        <w:pStyle w:val="TextBody"/>
        <w:bidi w:val="0"/>
        <w:spacing w:before="0" w:after="0"/>
        <w:ind w:left="16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that are denominated in a foreign currency are remeasured into the functional currency at the current exchange rate on the date of the transaction. Any foreign currency-denominated monetary assets and liabilities are subsequently remeasured at current exchange rates, with gains or losses recognized as foreign exchange (losses) gains in the statement of operations. This accounting policy is also applied to foreign currency denominated intercompany payables or receivables for which settlement is planned or anticipated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January 24, 2025, the assets and liabilities of the Company’s international subsidiary Cyclacel Limited were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of intercompany loans for which settlement is not planned or anticipated in the foreseeable future and that are of a long-term-investment nature, were recorded in other comprehensive loss.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Fitters Sdn. Bhd, the assets and liabilities this subsidiary have been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were recorded in other comprehensive loss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01" w:name="xdx_847_eus-gaap--LesseeLeasesPolicyText"/>
      <w:bookmarkEnd w:id="301"/>
      <w:r>
        <w:rPr>
          <w:rFonts w:ascii="Times New Roman;Times;Serif" w:hAnsi="Times New Roman;Times;Serif"/>
          <w:b/>
          <w:i/>
          <w:caps w:val="false"/>
          <w:smallCaps w:val="false"/>
          <w:sz w:val="20"/>
        </w:rPr>
        <w:t>Leases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lease contracts in accordance with ASC 842. As of June 30, 2026, the Company’s outstanding leases are classified as operating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the right to use an underlying leased asset for the lease term and records lease liabilities based on the present value of the Company’s obligation to make lease payments under the lease. As the Company’s leases do not indicate an implicit rate, the Company uses a best estimate of its incremental borrowing rate to discount the future lease payments. The Company estimates its incremental borrowing rate based on observable information about risk-free interest rates that are the same tenure as the lease term, adjusted for various factors, including the effects of assumed collateral, the nature of how the loan is repaid (e.g., amortizing versus bullet), and the Company’s 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lessee-controlled options included in its lease agreements to extend or terminate the lease. The Company will reflect the effects of exercising those options in the lease term when it is reasonably certain that the Company will exercise that option. In assessing whether it is reasonably certain that the Company will exercise an option, the Company considers factors such as:</w:t>
      </w:r>
    </w:p>
    <w:p>
      <w:pPr>
        <w:pStyle w:val="TextBody"/>
        <w:bidi w:val="0"/>
        <w:spacing w:before="0" w:after="0"/>
        <w:ind w:left="0" w:right="0" w:firstLine="72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payments due in any optional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Penalties for failure to exercise (or not exercise) the option;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factors, such as the availability of similar assets and current rental rates for such assets;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underlying leased asset and its importance to the Company’s operations;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useful lives of any related leasehold improvements.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for operating leases is recognized on a straight-line basis over the lease term. Variable lease payments, if any, are recognized in the period when the obligation to make those payments is incurred. Lease incentives received prior to lease commencement are recorded as a reduction in the right-of-use asset. Fixed lease incentives received after lease commencement reduce both the lease liability and the right-of-use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an accounting policy to account for the lease and non-lease components as a single lease component.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02" w:name="xdx_84B_eus-gaap--DiscontinuedOperations"/>
      <w:bookmarkEnd w:id="302"/>
      <w:r>
        <w:rPr>
          <w:rFonts w:ascii="Times New Roman;Times;Serif" w:hAnsi="Times New Roman;Times;Serif"/>
          <w:b/>
          <w:i/>
          <w:caps w:val="false"/>
          <w:smallCaps w:val="false"/>
          <w:sz w:val="20"/>
        </w:rPr>
        <w:t>Discontinued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losses for the three and six months ended June 30, 2025 from discontinued operations related wholly to research and development expenditures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cash flows for the six months ended June 30, 2025 from discontinued operations amounted to $</w:t>
      </w:r>
      <w:bookmarkStart w:id="303" w:name="xdx_904_eus-gaap--CashProvidedByUsedInOp"/>
      <w:bookmarkEnd w:id="303"/>
      <w:r>
        <w:rPr>
          <w:rFonts w:ascii="Times New Roman;Times;Serif" w:hAnsi="Times New Roman;Times;Serif"/>
          <w:b w:val="false"/>
          <w:i w:val="false"/>
          <w:caps w:val="false"/>
          <w:smallCaps w:val="false"/>
          <w:sz w:val="20"/>
        </w:rPr>
        <w:t>4.1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04" w:name="xdx_840_eus-gaap--RevenueRecognitionPoli"/>
      <w:bookmarkEnd w:id="304"/>
      <w:r>
        <w:rPr>
          <w:rFonts w:ascii="Times New Roman;Times;Serif" w:hAnsi="Times New Roman;Times;Serif"/>
          <w:b/>
          <w:i/>
          <w:caps w:val="false"/>
          <w:smallCaps w:val="false"/>
          <w:sz w:val="20"/>
        </w:rPr>
        <w:t>Revenue Recognition</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derives revenue primarily from the sale of various protective and fire safety equipment.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generated from the sale of tangible products, including:</w:t>
      </w:r>
    </w:p>
    <w:p>
      <w:pPr>
        <w:pStyle w:val="TextBody"/>
        <w:bidi w:val="0"/>
        <w:spacing w:before="0" w:after="0"/>
        <w:ind w:left="720" w:right="0" w:hanging="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safety equipment and extinguishers;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Foam system;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resistant doors;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Protective Equipment (PPE) and Fire Safety Apparel.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products are sold directly to customers (e.g., municipalities, fire contractors, distributors and individuals).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 by product category, which the Company believes best depicts how the nature, amount, timing, and uncertainty of revenue and cash flows are affected by economic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05" w:name="xdx_890_eus-gaap--DisaggregationOfRevenu"/>
      <w:bookmarkEnd w:id="305"/>
      <w:r>
        <w:rPr>
          <w:rFonts w:ascii="Times New Roman;Times;Serif" w:hAnsi="Times New Roman;Times;Serif"/>
          <w:b w:val="false"/>
          <w:i w:val="false"/>
          <w:caps w:val="false"/>
          <w:smallCaps w:val="false"/>
          <w:sz w:val="20"/>
        </w:rPr>
        <w:t>The following table summarizes total revenue by product for the six months ended June 30, 2026 and 2025 (in thousands):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06" w:name="xdx_8B3_zS0hqlxPD4qe"/>
      <w:bookmarkEnd w:id="306"/>
      <w:r>
        <w:rPr>
          <w:rFonts w:ascii="Times New Roman;Times;Serif" w:hAnsi="Times New Roman;Times;Serif"/>
          <w:b w:val="false"/>
          <w:i w:val="false"/>
          <w:caps w:val="false"/>
          <w:smallCaps w:val="false"/>
          <w:sz w:val="20"/>
        </w:rPr>
        <w:t>Schedule of Disaggregation of Revenue </w:t>
      </w:r>
    </w:p>
    <w:tbl>
      <w:tblPr>
        <w:tblW w:w="6441" w:type="dxa"/>
        <w:jc w:val="left"/>
        <w:tblInd w:w="0" w:type="dxa"/>
        <w:tblLayout w:type="fixed"/>
        <w:tblCellMar>
          <w:top w:w="0" w:type="dxa"/>
          <w:left w:w="0" w:type="dxa"/>
          <w:bottom w:w="28" w:type="dxa"/>
          <w:right w:w="0" w:type="dxa"/>
        </w:tblCellMar>
      </w:tblPr>
      <w:tblGrid>
        <w:gridCol w:w="2840"/>
        <w:gridCol w:w="60"/>
        <w:gridCol w:w="332"/>
        <w:gridCol w:w="1331"/>
        <w:gridCol w:w="70"/>
        <w:gridCol w:w="70"/>
        <w:gridCol w:w="988"/>
        <w:gridCol w:w="675"/>
        <w:gridCol w:w="75"/>
      </w:tblGrid>
      <w:tr>
        <w:trPr/>
        <w:tc>
          <w:tcPr>
            <w:tcW w:w="2840" w:type="dxa"/>
            <w:tcBorders>
              <w:bottom w:val="single" w:sz="8" w:space="0" w:color="000000"/>
            </w:tcBorders>
            <w:vAlign w:val="center"/>
          </w:tcPr>
          <w:p>
            <w:pPr>
              <w:pStyle w:val="TableContents"/>
              <w:bidi w:val="0"/>
              <w:spacing w:before="0" w:after="283"/>
              <w:jc w:val="center"/>
              <w:rPr>
                <w:b/>
              </w:rPr>
            </w:pPr>
            <w:r>
              <w:rPr>
                <w:b/>
              </w:rPr>
              <w:t>Product</w:t>
            </w:r>
          </w:p>
        </w:tc>
        <w:tc>
          <w:tcPr>
            <w:tcW w:w="60" w:type="dxa"/>
            <w:tcBorders/>
            <w:tcMar>
              <w:bottom w:w="0" w:type="dxa"/>
            </w:tcMar>
            <w:vAlign w:val="center"/>
          </w:tcPr>
          <w:p>
            <w:pPr>
              <w:pStyle w:val="TableContents"/>
              <w:bidi w:val="0"/>
              <w:spacing w:before="0" w:after="283"/>
              <w:jc w:val="left"/>
              <w:rPr/>
            </w:pPr>
            <w:r>
              <w:rPr/>
              <w:t> </w:t>
            </w:r>
            <w:bookmarkStart w:id="307" w:name="xdx_497_20260101__20260630_zNerjH5w0Ax2"/>
            <w:bookmarkEnd w:id="307"/>
          </w:p>
        </w:tc>
        <w:tc>
          <w:tcPr>
            <w:tcW w:w="1663"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70"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bookmarkStart w:id="308" w:name="xdx_499_20250101__20250630_zyvbkdHQWllh"/>
            <w:bookmarkEnd w:id="308"/>
          </w:p>
        </w:tc>
        <w:tc>
          <w:tcPr>
            <w:tcW w:w="1663" w:type="dxa"/>
            <w:gridSpan w:val="2"/>
            <w:tcBorders>
              <w:bottom w:val="single" w:sz="8" w:space="0" w:color="000000"/>
            </w:tcBorders>
            <w:vAlign w:val="center"/>
          </w:tcPr>
          <w:p>
            <w:pPr>
              <w:pStyle w:val="TableContents"/>
              <w:bidi w:val="0"/>
              <w:spacing w:before="0" w:after="283"/>
              <w:jc w:val="center"/>
              <w:rPr>
                <w:b/>
              </w:rPr>
            </w:pPr>
            <w:r>
              <w:rPr>
                <w:b/>
              </w:rPr>
              <w:t>June 30, 2025</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466" w:type="dxa"/>
            <w:gridSpan w:val="6"/>
            <w:tcBorders>
              <w:bottom w:val="single" w:sz="8" w:space="0" w:color="000000"/>
            </w:tcBorders>
            <w:vAlign w:val="center"/>
          </w:tcPr>
          <w:p>
            <w:pPr>
              <w:pStyle w:val="TableContents"/>
              <w:bidi w:val="0"/>
              <w:spacing w:before="0" w:after="283"/>
              <w:jc w:val="center"/>
              <w:rPr>
                <w:b/>
              </w:rPr>
            </w:pPr>
            <w:r>
              <w:rPr>
                <w:b/>
              </w:rPr>
              <w:t xml:space="preserve">Product revenue in $000’s for the </w:t>
              <w:br/>
              <w:t>six months ended:</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bottom w:val="single" w:sz="8" w:space="0" w:color="000000"/>
            </w:tcBorders>
            <w:vAlign w:val="center"/>
          </w:tcPr>
          <w:p>
            <w:pPr>
              <w:pStyle w:val="TableContents"/>
              <w:bidi w:val="0"/>
              <w:spacing w:before="0" w:after="283"/>
              <w:jc w:val="center"/>
              <w:rPr>
                <w:b/>
              </w:rPr>
            </w:pPr>
            <w:r>
              <w:rPr>
                <w:b/>
              </w:rPr>
              <w:t>Product</w:t>
            </w:r>
          </w:p>
        </w:tc>
        <w:tc>
          <w:tcPr>
            <w:tcW w:w="60" w:type="dxa"/>
            <w:tcBorders/>
            <w:tcMar>
              <w:bottom w:w="0" w:type="dxa"/>
            </w:tcMar>
            <w:vAlign w:val="center"/>
          </w:tcPr>
          <w:p>
            <w:pPr>
              <w:pStyle w:val="TableContents"/>
              <w:bidi w:val="0"/>
              <w:spacing w:before="0" w:after="283"/>
              <w:jc w:val="left"/>
              <w:rPr/>
            </w:pPr>
            <w:r>
              <w:rPr/>
              <w:t> </w:t>
            </w:r>
          </w:p>
        </w:tc>
        <w:tc>
          <w:tcPr>
            <w:tcW w:w="1663"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70"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1663" w:type="dxa"/>
            <w:gridSpan w:val="2"/>
            <w:tcBorders>
              <w:bottom w:val="single" w:sz="8" w:space="0" w:color="000000"/>
            </w:tcBorders>
            <w:vAlign w:val="center"/>
          </w:tcPr>
          <w:p>
            <w:pPr>
              <w:pStyle w:val="TableContents"/>
              <w:bidi w:val="0"/>
              <w:spacing w:before="0" w:after="283"/>
              <w:jc w:val="center"/>
              <w:rPr>
                <w:b/>
              </w:rPr>
            </w:pPr>
            <w:r>
              <w:rPr>
                <w:b/>
              </w:rPr>
              <w:t>June 30, 2025</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3" w:type="dxa"/>
            <w:gridSpan w:val="2"/>
            <w:tcBorders/>
            <w:tcMar>
              <w:bottom w:w="0" w:type="dxa"/>
            </w:tcMar>
            <w:vAlign w:val="center"/>
          </w:tcPr>
          <w:p>
            <w:pPr>
              <w:pStyle w:val="TableContents"/>
              <w:bidi w:val="0"/>
              <w:spacing w:before="0" w:after="283"/>
              <w:jc w:val="center"/>
              <w:rPr/>
            </w:pPr>
            <w:r>
              <w:rPr/>
              <w:t> </w:t>
            </w:r>
          </w:p>
        </w:tc>
        <w:tc>
          <w:tcPr>
            <w:tcW w:w="70"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1663"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bookmarkStart w:id="309" w:name="xdx_408_eus-gaap--RevenueFromContractWit"/>
            <w:bookmarkEnd w:id="309"/>
          </w:p>
        </w:tc>
      </w:tr>
      <w:tr>
        <w:trPr/>
        <w:tc>
          <w:tcPr>
            <w:tcW w:w="2840" w:type="dxa"/>
            <w:tcBorders/>
            <w:shd w:fill="CCEEFF" w:val="clear"/>
            <w:tcMar>
              <w:bottom w:w="0" w:type="dxa"/>
            </w:tcMar>
            <w:vAlign w:val="center"/>
          </w:tcPr>
          <w:p>
            <w:pPr>
              <w:pStyle w:val="TableContents"/>
              <w:bidi w:val="0"/>
              <w:spacing w:before="0" w:after="283"/>
              <w:jc w:val="both"/>
              <w:rPr/>
            </w:pPr>
            <w:r>
              <w:rPr/>
              <w:t>Fire safety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1,044</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left"/>
              <w:rPr/>
            </w:pPr>
            <w:r>
              <w:rPr/>
              <w:t> </w:t>
            </w:r>
          </w:p>
        </w:tc>
        <w:tc>
          <w:tcPr>
            <w:tcW w:w="675"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310" w:name="xdx_40A_eus-gaap--RevenueFromContractWit"/>
            <w:bookmarkEnd w:id="310"/>
          </w:p>
        </w:tc>
      </w:tr>
      <w:tr>
        <w:trPr/>
        <w:tc>
          <w:tcPr>
            <w:tcW w:w="2840" w:type="dxa"/>
            <w:tcBorders/>
            <w:shd w:fill="FFFFFF" w:val="clear"/>
            <w:tcMar>
              <w:bottom w:w="0" w:type="dxa"/>
            </w:tcMar>
            <w:vAlign w:val="center"/>
          </w:tcPr>
          <w:p>
            <w:pPr>
              <w:pStyle w:val="TableContents"/>
              <w:bidi w:val="0"/>
              <w:spacing w:before="0" w:after="283"/>
              <w:jc w:val="both"/>
              <w:rPr/>
            </w:pPr>
            <w:r>
              <w:rPr/>
              <w:t>Safety apparel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52</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988" w:type="dxa"/>
            <w:tcBorders/>
            <w:shd w:fill="FFFFFF" w:val="clear"/>
            <w:tcMar>
              <w:bottom w:w="0" w:type="dxa"/>
            </w:tcMar>
            <w:vAlign w:val="center"/>
          </w:tcPr>
          <w:p>
            <w:pPr>
              <w:pStyle w:val="TableContents"/>
              <w:bidi w:val="0"/>
              <w:spacing w:before="0" w:after="283"/>
              <w:jc w:val="left"/>
              <w:rPr/>
            </w:pPr>
            <w:r>
              <w:rPr/>
              <w:t> </w:t>
            </w:r>
          </w:p>
        </w:tc>
        <w:tc>
          <w:tcPr>
            <w:tcW w:w="675"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311" w:name="xdx_40C_eus-gaap--RevenueFromContractWit"/>
            <w:bookmarkEnd w:id="311"/>
          </w:p>
        </w:tc>
      </w:tr>
      <w:tr>
        <w:trPr/>
        <w:tc>
          <w:tcPr>
            <w:tcW w:w="2840" w:type="dxa"/>
            <w:tcBorders/>
            <w:shd w:fill="CCEEFF" w:val="clear"/>
            <w:tcMar>
              <w:bottom w:w="0" w:type="dxa"/>
            </w:tcMar>
            <w:vAlign w:val="center"/>
          </w:tcPr>
          <w:p>
            <w:pPr>
              <w:pStyle w:val="TableContents"/>
              <w:bidi w:val="0"/>
              <w:spacing w:before="0" w:after="283"/>
              <w:jc w:val="both"/>
              <w:rPr/>
            </w:pPr>
            <w:r>
              <w:rPr/>
              <w:t>Maintenance &amp; Servicing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8</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left"/>
              <w:rPr/>
            </w:pPr>
            <w:r>
              <w:rPr/>
              <w:t> </w:t>
            </w:r>
          </w:p>
        </w:tc>
        <w:tc>
          <w:tcPr>
            <w:tcW w:w="675"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312" w:name="xdx_40D_eus-gaap--RevenueFromContractWit"/>
            <w:bookmarkEnd w:id="312"/>
          </w:p>
        </w:tc>
      </w:tr>
      <w:tr>
        <w:trPr/>
        <w:tc>
          <w:tcPr>
            <w:tcW w:w="2840" w:type="dxa"/>
            <w:tcBorders/>
            <w:shd w:fill="FFFFFF" w:val="clear"/>
            <w:tcMar>
              <w:bottom w:w="0" w:type="dxa"/>
            </w:tcMar>
            <w:vAlign w:val="center"/>
          </w:tcPr>
          <w:p>
            <w:pPr>
              <w:pStyle w:val="TableContents"/>
              <w:bidi w:val="0"/>
              <w:spacing w:before="0" w:after="283"/>
              <w:jc w:val="both"/>
              <w:rPr/>
            </w:pPr>
            <w:r>
              <w:rPr/>
              <w:t>Project - supply &amp; installation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10</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988" w:type="dxa"/>
            <w:tcBorders/>
            <w:shd w:fill="FFFFFF" w:val="clear"/>
            <w:tcMar>
              <w:bottom w:w="0" w:type="dxa"/>
            </w:tcMar>
            <w:vAlign w:val="center"/>
          </w:tcPr>
          <w:p>
            <w:pPr>
              <w:pStyle w:val="TableContents"/>
              <w:bidi w:val="0"/>
              <w:spacing w:before="0" w:after="283"/>
              <w:jc w:val="left"/>
              <w:rPr/>
            </w:pPr>
            <w:r>
              <w:rPr/>
              <w:t> </w:t>
            </w:r>
          </w:p>
        </w:tc>
        <w:tc>
          <w:tcPr>
            <w:tcW w:w="675"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313" w:name="xdx_409_eus-gaap--RevenueFromContractWit"/>
            <w:bookmarkEnd w:id="313"/>
          </w:p>
        </w:tc>
      </w:tr>
      <w:tr>
        <w:trPr/>
        <w:tc>
          <w:tcPr>
            <w:tcW w:w="2840" w:type="dxa"/>
            <w:tcBorders/>
            <w:shd w:fill="CCEEFF" w:val="clear"/>
            <w:tcMar>
              <w:bottom w:w="0" w:type="dxa"/>
            </w:tcMar>
            <w:vAlign w:val="center"/>
          </w:tcPr>
          <w:p>
            <w:pPr>
              <w:pStyle w:val="TableContents"/>
              <w:bidi w:val="0"/>
              <w:spacing w:before="0" w:after="283"/>
              <w:jc w:val="both"/>
              <w:rPr>
                <w:b/>
              </w:rPr>
            </w:pPr>
            <w:r>
              <w:rPr>
                <w:b/>
              </w:rPr>
              <w:t>Total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b/>
              </w:rPr>
            </w:pPr>
            <w:r>
              <w:rPr>
                <w:b/>
              </w:rPr>
              <w:t>$</w:t>
            </w:r>
          </w:p>
        </w:tc>
        <w:tc>
          <w:tcPr>
            <w:tcW w:w="1331" w:type="dxa"/>
            <w:tcBorders/>
            <w:shd w:fill="CCEEFF" w:val="clear"/>
            <w:tcMar>
              <w:bottom w:w="0" w:type="dxa"/>
            </w:tcMar>
            <w:vAlign w:val="center"/>
          </w:tcPr>
          <w:p>
            <w:pPr>
              <w:pStyle w:val="TableContents"/>
              <w:bidi w:val="0"/>
              <w:spacing w:before="0" w:after="283"/>
              <w:jc w:val="right"/>
              <w:rPr>
                <w:b/>
              </w:rPr>
            </w:pPr>
            <w:r>
              <w:rPr>
                <w:b/>
              </w:rPr>
              <w:t>1,114</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left"/>
              <w:rPr>
                <w:b/>
              </w:rPr>
            </w:pPr>
            <w:r>
              <w:rPr>
                <w:b/>
              </w:rPr>
              <w:t>$</w:t>
            </w:r>
          </w:p>
        </w:tc>
        <w:tc>
          <w:tcPr>
            <w:tcW w:w="675" w:type="dxa"/>
            <w:tcBorders/>
            <w:shd w:fill="CCEEFF" w:val="clear"/>
            <w:tcMar>
              <w:bottom w:w="0" w:type="dxa"/>
            </w:tcMar>
            <w:vAlign w:val="center"/>
          </w:tcPr>
          <w:p>
            <w:pPr>
              <w:pStyle w:val="TableContents"/>
              <w:bidi w:val="0"/>
              <w:spacing w:before="0" w:after="283"/>
              <w:jc w:val="right"/>
              <w:rPr>
                <w:b/>
              </w:rPr>
            </w:pPr>
            <w:r>
              <w:rPr>
                <w:b/>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314" w:name="xdx_8A1_zAC4l2jP4Z68"/>
      <w:bookmarkEnd w:id="31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with customers generally include a single performance obligation, which is the promise to transfer the purchased products to the customer.</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satisfies its performance obligations at a point in time when control of the products transfers to the customer. Control typically transfers upon delivery, depending on the contractual delivery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5" w:name="xdx_841_eus-gaap--RevenueTransactionPric"/>
      <w:bookmarkEnd w:id="315"/>
      <w:r>
        <w:rPr>
          <w:rFonts w:ascii="Times New Roman;Times;Serif" w:hAnsi="Times New Roman;Times;Serif"/>
          <w:b/>
          <w:i w:val="false"/>
          <w:caps w:val="false"/>
          <w:smallCaps w:val="false"/>
          <w:sz w:val="20"/>
        </w:rPr>
        <w:t>Transaction Price and Variable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generally the stated contract price for the products sold. The Company’s contracts may include variable consideration in the form of discounts, price concessions, or other incentives.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consideration is estimated using the method that best predicts the amount of consideration to which the Company expects to be entitled and is included in revenue only to the extent that it is probable that a significant reversal of cumulative revenue recognized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6" w:name="xdx_846_eus-gaap--LongDurationContractsP"/>
      <w:bookmarkEnd w:id="316"/>
      <w:r>
        <w:rPr>
          <w:rFonts w:ascii="Times New Roman;Times;Serif" w:hAnsi="Times New Roman;Times;Serif"/>
          <w:b/>
          <w:i w:val="false"/>
          <w:caps w:val="false"/>
          <w:smallCaps w:val="false"/>
          <w:sz w:val="20"/>
        </w:rPr>
        <w:t>Contract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represent the Company’s right to consideration in exchange for goods transferred to customers when that right is conditioned on something other than the passage of time. Contract liabilities represent amounts billed or collected from customers in advance of satisfying performance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and contract liabilities are not material to the business. Accounts receivable, before allowance for doubtful debt was $</w:t>
      </w:r>
      <w:bookmarkStart w:id="317" w:name="xdx_90A_ecustom--AccountsReceivablesBefo"/>
      <w:bookmarkEnd w:id="317"/>
      <w:r>
        <w:rPr>
          <w:rFonts w:ascii="Times New Roman;Times;Serif" w:hAnsi="Times New Roman;Times;Serif"/>
          <w:b w:val="false"/>
          <w:i w:val="false"/>
          <w:caps w:val="false"/>
          <w:smallCaps w:val="false"/>
          <w:sz w:val="20"/>
        </w:rPr>
        <w:t>1,614,000 and $</w:t>
      </w:r>
      <w:bookmarkStart w:id="318" w:name="xdx_907_ecustom--AccountsReceivablesBefo"/>
      <w:bookmarkEnd w:id="318"/>
      <w:r>
        <w:rPr>
          <w:rFonts w:ascii="Times New Roman;Times;Serif" w:hAnsi="Times New Roman;Times;Serif"/>
          <w:b w:val="false"/>
          <w:i w:val="false"/>
          <w:caps w:val="false"/>
          <w:smallCaps w:val="false"/>
          <w:sz w:val="20"/>
        </w:rPr>
        <w:t>1,704,000, as of June 30, 2026 and December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9" w:name="xdx_841_ecustom--SignificantPaymentTerms"/>
      <w:bookmarkEnd w:id="319"/>
      <w:r>
        <w:rPr>
          <w:rFonts w:ascii="Times New Roman;Times;Serif" w:hAnsi="Times New Roman;Times;Serif"/>
          <w:b/>
          <w:i w:val="false"/>
          <w:caps w:val="false"/>
          <w:smallCaps w:val="false"/>
          <w:sz w:val="20"/>
        </w:rPr>
        <w:t>Significant Payment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payment terms vary by customer and contract but generally require payment within 30–60 days from the invoice date. The Company does not have significant financing components in its contracts, as the period between the transfer of goods and customer payment is typically less than one year.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0" w:name="xdx_845_ecustom--WarrantiesPolicyTextBlo"/>
      <w:bookmarkEnd w:id="320"/>
      <w:r>
        <w:rPr>
          <w:rFonts w:ascii="Times New Roman;Times;Serif" w:hAnsi="Times New Roman;Times;Serif"/>
          <w:b/>
          <w:i w:val="false"/>
          <w:caps w:val="false"/>
          <w:smallCaps w:val="false"/>
          <w:sz w:val="20"/>
        </w:rPr>
        <w:t>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assurance-type warranties that its products comply with agreed-upon specifications and are free from defects for a specified period. These warranties do not represent separate performance obligations Such warranty reserves are immaterial.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1" w:name="xdx_84F_ecustom--ReturnsAndRefundsPolicy"/>
      <w:bookmarkEnd w:id="321"/>
      <w:r>
        <w:rPr>
          <w:rFonts w:ascii="Times New Roman;Times;Serif" w:hAnsi="Times New Roman;Times;Serif"/>
          <w:b/>
          <w:i w:val="false"/>
          <w:caps w:val="false"/>
          <w:smallCaps w:val="false"/>
          <w:sz w:val="20"/>
        </w:rPr>
        <w:t>Returns and Refunds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allow customers to return products if they are deemed faulty or otherwise not fit for purpose. Expected returns are estimated and recorded as a reduction of revenue, with a corresponding refund liability and right-of-return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returns is of an immaterial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2" w:name="xdx_847_ecustom--PracticalExpedientsAndP"/>
      <w:bookmarkEnd w:id="322"/>
      <w:r>
        <w:rPr>
          <w:rFonts w:ascii="Times New Roman;Times;Serif" w:hAnsi="Times New Roman;Times;Serif"/>
          <w:b/>
          <w:i w:val="false"/>
          <w:caps w:val="false"/>
          <w:smallCaps w:val="false"/>
          <w:sz w:val="20"/>
        </w:rPr>
        <w:t>Practical Expedients and Policy Elections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practical expedient to expense incremental costs of obtaining a contract, such as commissions, when the amortization period would have been one year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3" w:name="xdx_849_eus-gaap--RevenueRemainingPerfor"/>
      <w:bookmarkEnd w:id="323"/>
      <w:r>
        <w:rPr>
          <w:rFonts w:ascii="Times New Roman;Times;Serif" w:hAnsi="Times New Roman;Times;Serif"/>
          <w:b/>
          <w:i w:val="false"/>
          <w:caps w:val="false"/>
          <w:smallCaps w:val="false"/>
          <w:sz w:val="20"/>
        </w:rPr>
        <w:t>Remaining Performance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obligations are generally satisfied within one year. As a result, the Company has elected the practical expedient not to disclose the value of remaining performance obligations.</w:t>
      </w:r>
    </w:p>
    <w:p>
      <w:pPr>
        <w:pStyle w:val="TextBody"/>
        <w:bidi w:val="0"/>
        <w:spacing w:before="0" w:after="0"/>
        <w:ind w:left="0" w:right="0" w:firstLine="720"/>
        <w:jc w:val="both"/>
        <w:rPr>
          <w:caps w:val="false"/>
          <w:smallCaps w:val="false"/>
        </w:rPr>
      </w:pPr>
      <w:bookmarkStart w:id="324" w:name="xdx_85B_zdyXE2FKdg4j"/>
      <w:bookmarkEnd w:id="32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5" w:name="xdx_808_eus-gaap--RevenueFromContractWit"/>
      <w:bookmarkEnd w:id="325"/>
      <w:r>
        <w:rPr>
          <w:rFonts w:ascii="Times New Roman;Times;Serif" w:hAnsi="Times New Roman;Times;Serif"/>
          <w:b/>
          <w:i w:val="false"/>
          <w:caps w:val="false"/>
          <w:smallCaps w:val="false"/>
          <w:sz w:val="20"/>
        </w:rPr>
        <w:t xml:space="preserve">3. </w:t>
      </w:r>
      <w:bookmarkStart w:id="326" w:name="xdx_82C_zhKYKibZVGg5"/>
      <w:bookmarkEnd w:id="326"/>
      <w:r>
        <w:rPr>
          <w:rFonts w:ascii="Times New Roman;Times;Serif" w:hAnsi="Times New Roman;Times;Serif"/>
          <w:b/>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w:t>
      </w:r>
      <w:bookmarkStart w:id="327" w:name="xdx_905_eus-gaap--Revenues_pn5n6_c202601"/>
      <w:bookmarkEnd w:id="327"/>
      <w:r>
        <w:rPr>
          <w:rFonts w:ascii="Times New Roman;Times;Serif" w:hAnsi="Times New Roman;Times;Serif"/>
          <w:b w:val="false"/>
          <w:i w:val="false"/>
          <w:caps w:val="false"/>
          <w:smallCaps w:val="false"/>
          <w:sz w:val="20"/>
        </w:rPr>
        <w:t>1.1 million of revenue for the six months ended June 30, 2026 and $</w:t>
      </w:r>
      <w:bookmarkStart w:id="328" w:name="xdx_90E_eus-gaap--Revenues_dxL_c20250101"/>
      <w:bookmarkEnd w:id="328"/>
      <w:r>
        <w:rPr>
          <w:rFonts w:ascii="Times New Roman;Times;Serif" w:hAnsi="Times New Roman;Times;Serif"/>
          <w:b w:val="false"/>
          <w:i w:val="false"/>
          <w:caps w:val="false"/>
          <w:smallCaps w:val="false"/>
          <w:sz w:val="20"/>
        </w:rPr>
        <w:t>0 of revenue for the six months ended June 30, 2025, respectively. Revenue relates to product revenues from sales of fire safety equipment and services within the newly acquired Malaysian based subsidiary, Fitters Sdn. Bhd.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9" w:name="xdx_80E_eus-gaap--EarningsPerShareTextBl"/>
      <w:bookmarkEnd w:id="329"/>
      <w:r>
        <w:rPr>
          <w:rFonts w:ascii="Times New Roman;Times;Serif" w:hAnsi="Times New Roman;Times;Serif"/>
          <w:b/>
          <w:i w:val="false"/>
          <w:caps w:val="false"/>
          <w:smallCaps w:val="false"/>
          <w:sz w:val="20"/>
        </w:rPr>
        <w:t xml:space="preserve">4. </w:t>
      </w:r>
      <w:bookmarkStart w:id="330" w:name="xdx_82D_zEECtBkpYgFa"/>
      <w:bookmarkEnd w:id="330"/>
      <w:r>
        <w:rPr>
          <w:rFonts w:ascii="Times New Roman;Times;Serif" w:hAnsi="Times New Roman;Times;Serif"/>
          <w:b/>
          <w:i w:val="false"/>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calculates net loss per common share in accordance with ASC 260 “Earnings Per Share” (“ASC 260”). Basic and diluted net loss per common share was determined by dividing net loss applicable to common stockholders by the weighted average number of shares of common stock outstanding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31" w:name="xdx_898_eus-gaap--ScheduleOfAntidilutive"/>
      <w:bookmarkEnd w:id="331"/>
      <w:r>
        <w:rPr>
          <w:rFonts w:ascii="Times New Roman;Times;Serif" w:hAnsi="Times New Roman;Times;Serif"/>
          <w:b w:val="false"/>
          <w:i w:val="false"/>
          <w:caps w:val="false"/>
          <w:smallCaps w:val="false"/>
          <w:sz w:val="20"/>
        </w:rPr>
        <w:t>The following potentially dilutive securities have not been included in the computation of diluted net loss per share for the six months ended June 30, 2026 and June 30, 2025, as the result would be anti-dilutive:</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32" w:name="xdx_8B2_zLOmCyAwYDta"/>
      <w:bookmarkEnd w:id="332"/>
      <w:r>
        <w:rPr>
          <w:rFonts w:ascii="Times New Roman;Times;Serif" w:hAnsi="Times New Roman;Times;Serif"/>
          <w:b w:val="false"/>
          <w:i w:val="false"/>
          <w:caps w:val="false"/>
          <w:smallCaps w:val="false"/>
          <w:sz w:val="20"/>
        </w:rPr>
        <w:t>Schedule of Earnings Per Share, Basic and Diluted </w:t>
      </w:r>
    </w:p>
    <w:tbl>
      <w:tblPr>
        <w:tblW w:w="5849" w:type="dxa"/>
        <w:jc w:val="left"/>
        <w:tblInd w:w="0" w:type="dxa"/>
        <w:tblLayout w:type="fixed"/>
        <w:tblCellMar>
          <w:top w:w="0" w:type="dxa"/>
          <w:left w:w="0" w:type="dxa"/>
          <w:bottom w:w="0" w:type="dxa"/>
          <w:right w:w="0" w:type="dxa"/>
        </w:tblCellMar>
      </w:tblPr>
      <w:tblGrid>
        <w:gridCol w:w="3680"/>
        <w:gridCol w:w="60"/>
        <w:gridCol w:w="70"/>
        <w:gridCol w:w="804"/>
        <w:gridCol w:w="60"/>
        <w:gridCol w:w="60"/>
        <w:gridCol w:w="60"/>
        <w:gridCol w:w="980"/>
        <w:gridCol w:w="75"/>
      </w:tblGrid>
      <w:tr>
        <w:trPr/>
        <w:tc>
          <w:tcPr>
            <w:tcW w:w="36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333" w:name="xdx_493_20260101__20260630_zwoZxhrR5iZa"/>
            <w:bookmarkEnd w:id="333"/>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4" w:name="xdx_498_20250101__20250630_zLixOgq9BFP4"/>
            <w:bookmarkEnd w:id="334"/>
          </w:p>
        </w:tc>
        <w:tc>
          <w:tcPr>
            <w:tcW w:w="1040" w:type="dxa"/>
            <w:gridSpan w:val="2"/>
            <w:tcBorders/>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335" w:name="xdx_40A_eus-gaap--AntidilutiveSecurities"/>
            <w:bookmarkEnd w:id="335"/>
          </w:p>
        </w:tc>
      </w:tr>
      <w:tr>
        <w:trPr/>
        <w:tc>
          <w:tcPr>
            <w:tcW w:w="3680" w:type="dxa"/>
            <w:tcBorders/>
            <w:shd w:fill="CCEEFF" w:val="clear"/>
            <w:vAlign w:val="center"/>
          </w:tcPr>
          <w:p>
            <w:pPr>
              <w:pStyle w:val="TableContents"/>
              <w:bidi w:val="0"/>
              <w:spacing w:before="0" w:after="283"/>
              <w:jc w:val="both"/>
              <w:rPr/>
            </w:pPr>
            <w:r>
              <w:rPr/>
              <w:t>Stock options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24,827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25,106</w:t>
            </w:r>
          </w:p>
        </w:tc>
        <w:tc>
          <w:tcPr>
            <w:tcW w:w="75" w:type="dxa"/>
            <w:tcBorders/>
            <w:shd w:fill="CCEEFF" w:val="clear"/>
            <w:vAlign w:val="center"/>
          </w:tcPr>
          <w:p>
            <w:pPr>
              <w:pStyle w:val="TableContents"/>
              <w:bidi w:val="0"/>
              <w:spacing w:before="0" w:after="283"/>
              <w:jc w:val="left"/>
              <w:rPr/>
            </w:pPr>
            <w:r>
              <w:rPr/>
              <w:t> </w:t>
            </w:r>
            <w:bookmarkStart w:id="336" w:name="xdx_402_eus-gaap--AntidilutiveSecurities"/>
            <w:bookmarkEnd w:id="336"/>
          </w:p>
        </w:tc>
      </w:tr>
      <w:tr>
        <w:trPr/>
        <w:tc>
          <w:tcPr>
            <w:tcW w:w="3680" w:type="dxa"/>
            <w:tcBorders/>
            <w:shd w:fill="FFFFFF" w:val="clear"/>
            <w:vAlign w:val="center"/>
          </w:tcPr>
          <w:p>
            <w:pPr>
              <w:pStyle w:val="TableContents"/>
              <w:bidi w:val="0"/>
              <w:spacing w:before="0" w:after="283"/>
              <w:jc w:val="both"/>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w:t>
            </w:r>
          </w:p>
        </w:tc>
        <w:tc>
          <w:tcPr>
            <w:tcW w:w="75" w:type="dxa"/>
            <w:tcBorders/>
            <w:shd w:fill="FFFFFF" w:val="clear"/>
            <w:vAlign w:val="center"/>
          </w:tcPr>
          <w:p>
            <w:pPr>
              <w:pStyle w:val="TableContents"/>
              <w:bidi w:val="0"/>
              <w:spacing w:before="0" w:after="283"/>
              <w:jc w:val="left"/>
              <w:rPr/>
            </w:pPr>
            <w:r>
              <w:rPr/>
              <w:t> </w:t>
            </w:r>
            <w:bookmarkStart w:id="337" w:name="xdx_40A_eus-gaap--AntidilutiveSecurities"/>
            <w:bookmarkEnd w:id="337"/>
          </w:p>
        </w:tc>
      </w:tr>
      <w:tr>
        <w:trPr/>
        <w:tc>
          <w:tcPr>
            <w:tcW w:w="3680" w:type="dxa"/>
            <w:tcBorders/>
            <w:shd w:fill="CCEEFF" w:val="clear"/>
            <w:vAlign w:val="center"/>
          </w:tcPr>
          <w:p>
            <w:pPr>
              <w:pStyle w:val="TableContents"/>
              <w:bidi w:val="0"/>
              <w:spacing w:before="0" w:after="283"/>
              <w:jc w:val="both"/>
              <w:rPr/>
            </w:pPr>
            <w:r>
              <w:rPr/>
              <w:t>Series A preferred stock</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bookmarkStart w:id="338" w:name="xdx_402_eus-gaap--AntidilutiveSecurities"/>
            <w:bookmarkEnd w:id="338"/>
          </w:p>
        </w:tc>
      </w:tr>
      <w:tr>
        <w:trPr/>
        <w:tc>
          <w:tcPr>
            <w:tcW w:w="3680" w:type="dxa"/>
            <w:tcBorders/>
            <w:shd w:fill="FFFFFF" w:val="clear"/>
            <w:vAlign w:val="center"/>
          </w:tcPr>
          <w:p>
            <w:pPr>
              <w:pStyle w:val="TableContents"/>
              <w:bidi w:val="0"/>
              <w:spacing w:before="0" w:after="283"/>
              <w:jc w:val="both"/>
              <w:rPr/>
            </w:pPr>
            <w:r>
              <w:rPr/>
              <w:t>Series F preferred stock</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654,000</w:t>
            </w:r>
          </w:p>
        </w:tc>
        <w:tc>
          <w:tcPr>
            <w:tcW w:w="75" w:type="dxa"/>
            <w:tcBorders/>
            <w:shd w:fill="FFFFFF" w:val="clear"/>
            <w:vAlign w:val="center"/>
          </w:tcPr>
          <w:p>
            <w:pPr>
              <w:pStyle w:val="TableContents"/>
              <w:bidi w:val="0"/>
              <w:spacing w:before="0" w:after="283"/>
              <w:jc w:val="left"/>
              <w:rPr/>
            </w:pPr>
            <w:r>
              <w:rPr/>
              <w:t> </w:t>
            </w:r>
            <w:bookmarkStart w:id="339" w:name="xdx_408_eus-gaap--AntidilutiveSecurities"/>
            <w:bookmarkEnd w:id="339"/>
          </w:p>
        </w:tc>
      </w:tr>
      <w:tr>
        <w:trPr/>
        <w:tc>
          <w:tcPr>
            <w:tcW w:w="3680" w:type="dxa"/>
            <w:tcBorders/>
            <w:shd w:fill="CCEEFF" w:val="clear"/>
            <w:vAlign w:val="center"/>
          </w:tcPr>
          <w:p>
            <w:pPr>
              <w:pStyle w:val="TableContents"/>
              <w:bidi w:val="0"/>
              <w:spacing w:before="0" w:after="283"/>
              <w:jc w:val="both"/>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CCEEFF" w:val="clear"/>
            <w:tcMar>
              <w:bottom w:w="28" w:type="dxa"/>
            </w:tcMar>
            <w:vAlign w:val="center"/>
          </w:tcPr>
          <w:p>
            <w:pPr>
              <w:pStyle w:val="TableContents"/>
              <w:bidi w:val="0"/>
              <w:spacing w:before="0" w:after="283"/>
              <w:jc w:val="right"/>
              <w:rPr/>
            </w:pPr>
            <w:r>
              <w:rPr/>
              <w:t>2,992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1,965,178</w:t>
            </w:r>
          </w:p>
        </w:tc>
        <w:tc>
          <w:tcPr>
            <w:tcW w:w="75" w:type="dxa"/>
            <w:tcBorders/>
            <w:shd w:fill="CCEEFF" w:val="clear"/>
            <w:vAlign w:val="center"/>
          </w:tcPr>
          <w:p>
            <w:pPr>
              <w:pStyle w:val="TableContents"/>
              <w:bidi w:val="0"/>
              <w:spacing w:before="0" w:after="283"/>
              <w:jc w:val="left"/>
              <w:rPr/>
            </w:pPr>
            <w:r>
              <w:rPr/>
              <w:t> </w:t>
            </w:r>
            <w:bookmarkStart w:id="340" w:name="xdx_401_eus-gaap--AntidilutiveSecurities"/>
            <w:bookmarkEnd w:id="340"/>
          </w:p>
        </w:tc>
      </w:tr>
      <w:tr>
        <w:trPr/>
        <w:tc>
          <w:tcPr>
            <w:tcW w:w="3680" w:type="dxa"/>
            <w:tcBorders/>
            <w:shd w:fill="FFFFFF" w:val="clear"/>
            <w:vAlign w:val="center"/>
          </w:tcPr>
          <w:p>
            <w:pPr>
              <w:pStyle w:val="TableContents"/>
              <w:bidi w:val="0"/>
              <w:spacing w:before="0" w:after="283"/>
              <w:jc w:val="both"/>
              <w:rPr/>
            </w:pPr>
            <w:r>
              <w:rPr/>
              <w:t>Total shares excluded from calculation</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double" w:sz="6" w:space="0" w:color="000000"/>
            </w:tcBorders>
            <w:shd w:fill="FFFFFF" w:val="clear"/>
            <w:tcMar>
              <w:bottom w:w="28" w:type="dxa"/>
            </w:tcMar>
            <w:vAlign w:val="center"/>
          </w:tcPr>
          <w:p>
            <w:pPr>
              <w:pStyle w:val="TableContents"/>
              <w:bidi w:val="0"/>
              <w:spacing w:before="0" w:after="283"/>
              <w:jc w:val="right"/>
              <w:rPr/>
            </w:pPr>
            <w:r>
              <w:rPr/>
              <w:t>27,821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2,644,296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41" w:name="xdx_8A6_zdtHjY6nFgh5"/>
      <w:bookmarkEnd w:id="34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2" w:name="xdx_809_eus-gaap--InventoryDisclosureTex"/>
      <w:bookmarkEnd w:id="342"/>
      <w:r>
        <w:rPr>
          <w:rFonts w:ascii="Times New Roman;Times;Serif" w:hAnsi="Times New Roman;Times;Serif"/>
          <w:b/>
          <w:i w:val="false"/>
          <w:caps w:val="false"/>
          <w:smallCaps w:val="false"/>
          <w:sz w:val="20"/>
        </w:rPr>
        <w:t xml:space="preserve">5. </w:t>
      </w:r>
      <w:bookmarkStart w:id="343" w:name="xdx_820_zIiSXqwzvmn8"/>
      <w:bookmarkEnd w:id="343"/>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44" w:name="xdx_894_eus-gaap--ScheduleOfInventoryCur"/>
      <w:bookmarkEnd w:id="344"/>
      <w:r>
        <w:rPr>
          <w:rFonts w:ascii="Times New Roman;Times;Serif" w:hAnsi="Times New Roman;Times;Serif"/>
          <w:b w:val="false"/>
          <w:i w:val="false"/>
          <w:caps w:val="false"/>
          <w:smallCaps w:val="false"/>
          <w:sz w:val="20"/>
        </w:rPr>
        <w:t>Inventory consisted of the following (in $000s):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45" w:name="xdx_8B6_zhAWvEBxm16e"/>
      <w:bookmarkEnd w:id="345"/>
      <w:r>
        <w:rPr>
          <w:rFonts w:ascii="Times New Roman;Times;Serif" w:hAnsi="Times New Roman;Times;Serif"/>
          <w:b w:val="false"/>
          <w:i w:val="false"/>
          <w:caps w:val="false"/>
          <w:smallCaps w:val="false"/>
          <w:sz w:val="20"/>
        </w:rPr>
        <w:t>Schedule of Inventory </w:t>
      </w:r>
    </w:p>
    <w:tbl>
      <w:tblPr>
        <w:tblW w:w="4214" w:type="dxa"/>
        <w:jc w:val="left"/>
        <w:tblInd w:w="0" w:type="dxa"/>
        <w:tblLayout w:type="fixed"/>
        <w:tblCellMar>
          <w:top w:w="0" w:type="dxa"/>
          <w:left w:w="0" w:type="dxa"/>
          <w:bottom w:w="0" w:type="dxa"/>
          <w:right w:w="0" w:type="dxa"/>
        </w:tblCellMar>
      </w:tblPr>
      <w:tblGrid>
        <w:gridCol w:w="1670"/>
        <w:gridCol w:w="60"/>
        <w:gridCol w:w="235"/>
        <w:gridCol w:w="639"/>
        <w:gridCol w:w="60"/>
        <w:gridCol w:w="60"/>
        <w:gridCol w:w="283"/>
        <w:gridCol w:w="1132"/>
        <w:gridCol w:w="75"/>
      </w:tblGrid>
      <w:tr>
        <w:trPr/>
        <w:tc>
          <w:tcPr>
            <w:tcW w:w="16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346" w:name="xdx_49B_20260630_zZrrXJQ7IQPb"/>
            <w:bookmarkEnd w:id="346"/>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7" w:name="xdx_494_20251231_znCumkJtX4q9"/>
            <w:bookmarkEnd w:id="347"/>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348" w:name="xdx_408_eus-gaap--InventoryRawMaterialsA"/>
            <w:bookmarkEnd w:id="348"/>
          </w:p>
        </w:tc>
      </w:tr>
      <w:tr>
        <w:trPr/>
        <w:tc>
          <w:tcPr>
            <w:tcW w:w="1670" w:type="dxa"/>
            <w:tcBorders/>
            <w:shd w:fill="CCEEFF" w:val="clear"/>
            <w:vAlign w:val="center"/>
          </w:tcPr>
          <w:p>
            <w:pPr>
              <w:pStyle w:val="TableContents"/>
              <w:bidi w:val="0"/>
              <w:spacing w:before="0" w:after="283"/>
              <w:jc w:val="both"/>
              <w:rPr/>
            </w:pPr>
            <w:r>
              <w:rPr/>
              <w:t>Raw materials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242</w:t>
            </w:r>
          </w:p>
        </w:tc>
        <w:tc>
          <w:tcPr>
            <w:tcW w:w="75" w:type="dxa"/>
            <w:tcBorders/>
            <w:shd w:fill="CCEEFF" w:val="clear"/>
            <w:vAlign w:val="center"/>
          </w:tcPr>
          <w:p>
            <w:pPr>
              <w:pStyle w:val="TableContents"/>
              <w:bidi w:val="0"/>
              <w:spacing w:before="0" w:after="283"/>
              <w:jc w:val="left"/>
              <w:rPr/>
            </w:pPr>
            <w:r>
              <w:rPr/>
              <w:t> </w:t>
            </w:r>
            <w:bookmarkStart w:id="349" w:name="xdx_40B_eus-gaap--InventoryWorkInProcess"/>
            <w:bookmarkEnd w:id="349"/>
          </w:p>
        </w:tc>
      </w:tr>
      <w:tr>
        <w:trPr/>
        <w:tc>
          <w:tcPr>
            <w:tcW w:w="1670" w:type="dxa"/>
            <w:tcBorders/>
            <w:shd w:fill="FFFFFF" w:val="clear"/>
            <w:vAlign w:val="center"/>
          </w:tcPr>
          <w:p>
            <w:pPr>
              <w:pStyle w:val="TableContents"/>
              <w:bidi w:val="0"/>
              <w:spacing w:before="0" w:after="283"/>
              <w:jc w:val="both"/>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134</w:t>
            </w:r>
          </w:p>
        </w:tc>
        <w:tc>
          <w:tcPr>
            <w:tcW w:w="75" w:type="dxa"/>
            <w:tcBorders/>
            <w:shd w:fill="FFFFFF" w:val="clear"/>
            <w:vAlign w:val="center"/>
          </w:tcPr>
          <w:p>
            <w:pPr>
              <w:pStyle w:val="TableContents"/>
              <w:bidi w:val="0"/>
              <w:spacing w:before="0" w:after="283"/>
              <w:jc w:val="left"/>
              <w:rPr/>
            </w:pPr>
            <w:r>
              <w:rPr/>
              <w:t> </w:t>
            </w:r>
            <w:bookmarkStart w:id="350" w:name="xdx_400_eus-gaap--InventoryFinishedGoods"/>
            <w:bookmarkEnd w:id="350"/>
          </w:p>
        </w:tc>
      </w:tr>
      <w:tr>
        <w:trPr/>
        <w:tc>
          <w:tcPr>
            <w:tcW w:w="1670" w:type="dxa"/>
            <w:tcBorders/>
            <w:shd w:fill="CCEEFF" w:val="clear"/>
            <w:vAlign w:val="center"/>
          </w:tcPr>
          <w:p>
            <w:pPr>
              <w:pStyle w:val="TableContents"/>
              <w:bidi w:val="0"/>
              <w:spacing w:before="0" w:after="283"/>
              <w:jc w:val="both"/>
              <w:rPr/>
            </w:pPr>
            <w:r>
              <w:rPr/>
              <w:t>Finished goods</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9" w:type="dxa"/>
            <w:tcBorders>
              <w:bottom w:val="single" w:sz="8" w:space="0" w:color="000000"/>
            </w:tcBorders>
            <w:shd w:fill="CCEEFF" w:val="clear"/>
            <w:tcMar>
              <w:bottom w:w="28" w:type="dxa"/>
            </w:tcMar>
            <w:vAlign w:val="center"/>
          </w:tcPr>
          <w:p>
            <w:pPr>
              <w:pStyle w:val="TableContents"/>
              <w:bidi w:val="0"/>
              <w:spacing w:before="0" w:after="283"/>
              <w:jc w:val="right"/>
              <w:rPr/>
            </w:pPr>
            <w:r>
              <w:rPr/>
              <w:t>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1,008</w:t>
            </w:r>
          </w:p>
        </w:tc>
        <w:tc>
          <w:tcPr>
            <w:tcW w:w="75" w:type="dxa"/>
            <w:tcBorders/>
            <w:shd w:fill="CCEEFF" w:val="clear"/>
            <w:vAlign w:val="center"/>
          </w:tcPr>
          <w:p>
            <w:pPr>
              <w:pStyle w:val="TableContents"/>
              <w:bidi w:val="0"/>
              <w:spacing w:before="0" w:after="283"/>
              <w:jc w:val="left"/>
              <w:rPr/>
            </w:pPr>
            <w:r>
              <w:rPr/>
              <w:t> </w:t>
            </w:r>
            <w:bookmarkStart w:id="351" w:name="xdx_403_eus-gaap--InventoryNet_iTI_pn3n3"/>
            <w:bookmarkEnd w:id="351"/>
          </w:p>
        </w:tc>
      </w:tr>
      <w:tr>
        <w:trPr/>
        <w:tc>
          <w:tcPr>
            <w:tcW w:w="1670" w:type="dxa"/>
            <w:tcBorders/>
            <w:shd w:fill="FFFFFF" w:val="clear"/>
            <w:vAlign w:val="center"/>
          </w:tcPr>
          <w:p>
            <w:pPr>
              <w:pStyle w:val="TableContents"/>
              <w:bidi w:val="0"/>
              <w:spacing w:before="0" w:after="283"/>
              <w:jc w:val="both"/>
              <w:rPr/>
            </w:pPr>
            <w:r>
              <w:rPr/>
              <w:t>Total inventory</w:t>
            </w:r>
          </w:p>
        </w:tc>
        <w:tc>
          <w:tcPr>
            <w:tcW w:w="60"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9" w:type="dxa"/>
            <w:tcBorders>
              <w:bottom w:val="double" w:sz="6" w:space="0" w:color="000000"/>
            </w:tcBorders>
            <w:shd w:fill="FFFFFF" w:val="clear"/>
            <w:tcMar>
              <w:bottom w:w="28" w:type="dxa"/>
            </w:tcMar>
            <w:vAlign w:val="center"/>
          </w:tcPr>
          <w:p>
            <w:pPr>
              <w:pStyle w:val="TableContents"/>
              <w:bidi w:val="0"/>
              <w:spacing w:before="0" w:after="283"/>
              <w:jc w:val="right"/>
              <w:rPr/>
            </w:pPr>
            <w:r>
              <w:rPr/>
              <w:t>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1,384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2" w:name="xdx_8A6_zozcfGSDSJVa"/>
      <w:bookmarkEnd w:id="352"/>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recorded at the lower of cost or net realizable value, where cost is measured on a first-in, first-out basis.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3" w:name="xdx_806_eus-gaap--AccountsAndNontradeRec"/>
      <w:bookmarkEnd w:id="353"/>
      <w:r>
        <w:rPr>
          <w:rFonts w:ascii="Times New Roman;Times;Serif" w:hAnsi="Times New Roman;Times;Serif"/>
          <w:b/>
          <w:i w:val="false"/>
          <w:caps w:val="false"/>
          <w:smallCaps w:val="false"/>
          <w:sz w:val="20"/>
        </w:rPr>
        <w:t xml:space="preserve">6. </w:t>
      </w:r>
      <w:bookmarkStart w:id="354" w:name="xdx_824_zCMBv0VOcVz9"/>
      <w:bookmarkEnd w:id="354"/>
      <w:r>
        <w:rPr>
          <w:rFonts w:ascii="Times New Roman;Times;Serif" w:hAnsi="Times New Roman;Times;Serif"/>
          <w:b/>
          <w:i w:val="false"/>
          <w:caps w:val="false"/>
          <w:smallCaps w:val="false"/>
          <w:sz w:val="20"/>
        </w:rPr>
        <w:t>Accounts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55" w:name="xdx_892_eus-gaap--ScheduleOfAccountsNote"/>
      <w:bookmarkEnd w:id="355"/>
      <w:r>
        <w:rPr>
          <w:rFonts w:ascii="Times New Roman;Times;Serif" w:hAnsi="Times New Roman;Times;Serif"/>
          <w:b w:val="false"/>
          <w:i w:val="false"/>
          <w:caps w:val="false"/>
          <w:smallCaps w:val="false"/>
          <w:sz w:val="20"/>
        </w:rPr>
        <w:t>Accounts receivables consisted of the following (in $000s):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56" w:name="xdx_8B1_z3gZDQtJP2u6"/>
      <w:bookmarkEnd w:id="356"/>
      <w:r>
        <w:rPr>
          <w:rFonts w:ascii="Times New Roman;Times;Serif" w:hAnsi="Times New Roman;Times;Serif"/>
          <w:b w:val="false"/>
          <w:i w:val="false"/>
          <w:caps w:val="false"/>
          <w:smallCaps w:val="false"/>
          <w:sz w:val="20"/>
        </w:rPr>
        <w:t>Schedule of Accounts Receivables </w:t>
      </w:r>
    </w:p>
    <w:tbl>
      <w:tblPr>
        <w:tblW w:w="5455" w:type="dxa"/>
        <w:jc w:val="left"/>
        <w:tblInd w:w="0" w:type="dxa"/>
        <w:tblLayout w:type="fixed"/>
        <w:tblCellMar>
          <w:top w:w="0" w:type="dxa"/>
          <w:left w:w="0" w:type="dxa"/>
          <w:bottom w:w="0" w:type="dxa"/>
          <w:right w:w="0" w:type="dxa"/>
        </w:tblCellMar>
      </w:tblPr>
      <w:tblGrid>
        <w:gridCol w:w="2840"/>
        <w:gridCol w:w="60"/>
        <w:gridCol w:w="175"/>
        <w:gridCol w:w="700"/>
        <w:gridCol w:w="95"/>
        <w:gridCol w:w="60"/>
        <w:gridCol w:w="283"/>
        <w:gridCol w:w="1132"/>
        <w:gridCol w:w="11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7" w:name="xdx_499_20260630_zDAHNzDDEqQh"/>
            <w:bookmarkEnd w:id="357"/>
          </w:p>
        </w:tc>
        <w:tc>
          <w:tcPr>
            <w:tcW w:w="87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8" w:name="xdx_49B_20251231_zmYbc8Wf8sQ1"/>
            <w:bookmarkEnd w:id="358"/>
          </w:p>
        </w:tc>
        <w:tc>
          <w:tcPr>
            <w:tcW w:w="1415"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359" w:name="xdx_40A_eus-gaap--AccountsReceivableGros"/>
            <w:bookmarkEnd w:id="359"/>
          </w:p>
        </w:tc>
      </w:tr>
      <w:tr>
        <w:trPr/>
        <w:tc>
          <w:tcPr>
            <w:tcW w:w="2840" w:type="dxa"/>
            <w:tcBorders/>
            <w:shd w:fill="CCEEFF" w:val="clear"/>
            <w:vAlign w:val="center"/>
          </w:tcPr>
          <w:p>
            <w:pPr>
              <w:pStyle w:val="TableContents"/>
              <w:bidi w:val="0"/>
              <w:spacing w:before="0" w:after="283"/>
              <w:jc w:val="left"/>
              <w:rPr/>
            </w:pPr>
            <w:r>
              <w:rPr/>
              <w:t>Accounts receivables, gross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1,614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1,704</w:t>
            </w:r>
          </w:p>
        </w:tc>
        <w:tc>
          <w:tcPr>
            <w:tcW w:w="110" w:type="dxa"/>
            <w:tcBorders/>
            <w:shd w:fill="CCEEFF" w:val="clear"/>
            <w:vAlign w:val="center"/>
          </w:tcPr>
          <w:p>
            <w:pPr>
              <w:pStyle w:val="TableContents"/>
              <w:bidi w:val="0"/>
              <w:spacing w:before="0" w:after="283"/>
              <w:jc w:val="left"/>
              <w:rPr/>
            </w:pPr>
            <w:r>
              <w:rPr/>
              <w:t> </w:t>
            </w:r>
            <w:bookmarkStart w:id="360" w:name="xdx_400_eus-gaap--AllowanceForDoubtfulAc"/>
            <w:bookmarkEnd w:id="360"/>
          </w:p>
        </w:tc>
      </w:tr>
      <w:tr>
        <w:trPr/>
        <w:tc>
          <w:tcPr>
            <w:tcW w:w="2840" w:type="dxa"/>
            <w:tcBorders/>
            <w:shd w:fill="FFFFFF" w:val="clear"/>
            <w:vAlign w:val="center"/>
          </w:tcPr>
          <w:p>
            <w:pPr>
              <w:pStyle w:val="TableContents"/>
              <w:bidi w:val="0"/>
              <w:spacing w:before="0" w:after="283"/>
              <w:jc w:val="left"/>
              <w:rPr/>
            </w:pPr>
            <w:r>
              <w:rPr/>
              <w:t>Allowance for doubtful debt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double" w:sz="6" w:space="0" w:color="000000"/>
            </w:tcBorders>
            <w:shd w:fill="FFFFFF" w:val="clear"/>
            <w:tcMar>
              <w:bottom w:w="28" w:type="dxa"/>
            </w:tcMar>
            <w:vAlign w:val="center"/>
          </w:tcPr>
          <w:p>
            <w:pPr>
              <w:pStyle w:val="TableContents"/>
              <w:bidi w:val="0"/>
              <w:spacing w:before="0" w:after="283"/>
              <w:jc w:val="right"/>
              <w:rPr/>
            </w:pPr>
            <w:r>
              <w:rPr/>
              <w:t>(540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(447</w:t>
            </w:r>
          </w:p>
        </w:tc>
        <w:tc>
          <w:tcPr>
            <w:tcW w:w="110" w:type="dxa"/>
            <w:tcBorders/>
            <w:shd w:fill="FFFFFF" w:val="clear"/>
            <w:vAlign w:val="center"/>
          </w:tcPr>
          <w:p>
            <w:pPr>
              <w:pStyle w:val="TableContents"/>
              <w:bidi w:val="0"/>
              <w:spacing w:before="0" w:after="283"/>
              <w:jc w:val="left"/>
              <w:rPr/>
            </w:pPr>
            <w:r>
              <w:rPr/>
              <w:t>)</w:t>
            </w:r>
            <w:bookmarkStart w:id="361" w:name="xdx_40E_eus-gaap--AccountsReceivableNetC"/>
            <w:bookmarkEnd w:id="361"/>
          </w:p>
        </w:tc>
      </w:tr>
      <w:tr>
        <w:trPr/>
        <w:tc>
          <w:tcPr>
            <w:tcW w:w="2840" w:type="dxa"/>
            <w:tcBorders/>
            <w:shd w:fill="CCEEFF" w:val="clear"/>
            <w:vAlign w:val="center"/>
          </w:tcPr>
          <w:p>
            <w:pPr>
              <w:pStyle w:val="TableContents"/>
              <w:bidi w:val="0"/>
              <w:spacing w:before="0" w:after="283"/>
              <w:jc w:val="left"/>
              <w:rPr/>
            </w:pPr>
            <w:r>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1,074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1,257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2" w:name="xdx_8A6_zfv2nLZq8aSe"/>
      <w:bookmarkEnd w:id="362"/>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doubtful debt, which stood at $</w:t>
      </w:r>
      <w:bookmarkStart w:id="363" w:name="xdx_908_eus-gaap--ProvisionForDoubtfulAc"/>
      <w:bookmarkEnd w:id="363"/>
      <w:r>
        <w:rPr>
          <w:rFonts w:ascii="Times New Roman;Times;Serif" w:hAnsi="Times New Roman;Times;Serif"/>
          <w:b w:val="false"/>
          <w:i w:val="false"/>
          <w:caps w:val="false"/>
          <w:smallCaps w:val="false"/>
          <w:sz w:val="20"/>
        </w:rPr>
        <w:t>540,000 as at June 30, 2026 and $</w:t>
      </w:r>
      <w:bookmarkStart w:id="364" w:name="xdx_905_eus-gaap--ProvisionForDoubtfulAc"/>
      <w:bookmarkEnd w:id="364"/>
      <w:r>
        <w:rPr>
          <w:rFonts w:ascii="Times New Roman;Times;Serif" w:hAnsi="Times New Roman;Times;Serif"/>
          <w:b w:val="false"/>
          <w:i w:val="false"/>
          <w:caps w:val="false"/>
          <w:smallCaps w:val="false"/>
          <w:sz w:val="20"/>
        </w:rPr>
        <w:t xml:space="preserve">447,000 as at December 31, 2025 is determined based on expected credit losses. Losses are provided at </w:t>
      </w:r>
      <w:bookmarkStart w:id="365" w:name="xdx_90F_eus-gaap--IntercompanyLoansDescr"/>
      <w:bookmarkEnd w:id="365"/>
      <w:r>
        <w:rPr>
          <w:rFonts w:ascii="Times New Roman;Times;Serif" w:hAnsi="Times New Roman;Times;Serif"/>
          <w:b w:val="false"/>
          <w:i w:val="false"/>
          <w:caps w:val="false"/>
          <w:smallCaps w:val="false"/>
          <w:sz w:val="20"/>
        </w:rPr>
        <w:t>the rate of 10% against balances greater than 120-149 days, 25% against balances greater than 150-179 days, 35% against balances greater than 180-364 days, and 50% against balances greater than 365 days.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66" w:name="xdx_8BD_zSWp050Te9Xh"/>
      <w:bookmarkStart w:id="367" w:name="xdx_892_ecustom--ScheduleOfMovementInPro"/>
      <w:bookmarkEnd w:id="366"/>
      <w:bookmarkEnd w:id="367"/>
      <w:r>
        <w:rPr>
          <w:rFonts w:ascii="Times New Roman;Times;Serif" w:hAnsi="Times New Roman;Times;Serif"/>
          <w:b w:val="false"/>
          <w:i w:val="false"/>
          <w:caps w:val="false"/>
          <w:smallCaps w:val="false"/>
          <w:sz w:val="20"/>
        </w:rPr>
        <w:t>Schedule of Movement in Provision For Doubtful Debt </w:t>
      </w:r>
    </w:p>
    <w:tbl>
      <w:tblPr>
        <w:tblW w:w="6890" w:type="dxa"/>
        <w:jc w:val="left"/>
        <w:tblInd w:w="0" w:type="dxa"/>
        <w:tblLayout w:type="fixed"/>
        <w:tblCellMar>
          <w:top w:w="0" w:type="dxa"/>
          <w:left w:w="0" w:type="dxa"/>
          <w:bottom w:w="28" w:type="dxa"/>
          <w:right w:w="0" w:type="dxa"/>
        </w:tblCellMar>
      </w:tblPr>
      <w:tblGrid>
        <w:gridCol w:w="6125"/>
        <w:gridCol w:w="60"/>
        <w:gridCol w:w="140"/>
        <w:gridCol w:w="455"/>
        <w:gridCol w:w="110"/>
      </w:tblGrid>
      <w:tr>
        <w:trPr/>
        <w:tc>
          <w:tcPr>
            <w:tcW w:w="6125" w:type="dxa"/>
            <w:tcBorders>
              <w:bottom w:val="single" w:sz="8" w:space="0" w:color="000000"/>
            </w:tcBorders>
            <w:vAlign w:val="center"/>
          </w:tcPr>
          <w:p>
            <w:pPr>
              <w:pStyle w:val="TableContents"/>
              <w:bidi w:val="0"/>
              <w:spacing w:before="0" w:after="283"/>
              <w:jc w:val="left"/>
              <w:rPr>
                <w:b/>
              </w:rPr>
            </w:pPr>
            <w:r>
              <w:rPr>
                <w:b/>
              </w:rPr>
              <w:t>Movement in provision for doubtful debt</w:t>
            </w:r>
          </w:p>
        </w:tc>
        <w:tc>
          <w:tcPr>
            <w:tcW w:w="60" w:type="dxa"/>
            <w:tcBorders/>
            <w:tcMar>
              <w:bottom w:w="0" w:type="dxa"/>
            </w:tcMar>
            <w:vAlign w:val="center"/>
          </w:tcPr>
          <w:p>
            <w:pPr>
              <w:pStyle w:val="TableContents"/>
              <w:bidi w:val="0"/>
              <w:spacing w:before="0" w:after="283"/>
              <w:jc w:val="left"/>
              <w:rPr/>
            </w:pPr>
            <w:r>
              <w:rPr/>
              <w:t> </w:t>
            </w:r>
          </w:p>
        </w:tc>
        <w:tc>
          <w:tcPr>
            <w:tcW w:w="595"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125" w:type="dxa"/>
            <w:tcBorders/>
            <w:shd w:fill="CCEEFF" w:val="clear"/>
            <w:tcMar>
              <w:bottom w:w="0" w:type="dxa"/>
            </w:tcMar>
            <w:vAlign w:val="center"/>
          </w:tcPr>
          <w:p>
            <w:pPr>
              <w:pStyle w:val="TableContents"/>
              <w:bidi w:val="0"/>
              <w:spacing w:before="0" w:after="283"/>
              <w:jc w:val="both"/>
              <w:rPr/>
            </w:pPr>
            <w:r>
              <w:rPr/>
              <w:t>Provision for doubtful debt as of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368" w:name="xdx_986_eus-gaap--AllowanceForDoubtfulAc"/>
            <w:bookmarkEnd w:id="368"/>
          </w:p>
        </w:tc>
        <w:tc>
          <w:tcPr>
            <w:tcW w:w="455" w:type="dxa"/>
            <w:tcBorders/>
            <w:shd w:fill="CCEEFF" w:val="clear"/>
            <w:tcMar>
              <w:bottom w:w="0" w:type="dxa"/>
            </w:tcMar>
            <w:vAlign w:val="center"/>
          </w:tcPr>
          <w:p>
            <w:pPr>
              <w:pStyle w:val="TableContents"/>
              <w:bidi w:val="0"/>
              <w:spacing w:before="0" w:after="283"/>
              <w:jc w:val="right"/>
              <w:rPr/>
            </w:pPr>
            <w:r>
              <w:rPr/>
              <w:t>(447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125" w:type="dxa"/>
            <w:tcBorders/>
            <w:shd w:fill="FFFFFF" w:val="clear"/>
            <w:tcMar>
              <w:bottom w:w="0" w:type="dxa"/>
            </w:tcMar>
            <w:vAlign w:val="center"/>
          </w:tcPr>
          <w:p>
            <w:pPr>
              <w:pStyle w:val="TableContents"/>
              <w:bidi w:val="0"/>
              <w:spacing w:before="0" w:after="283"/>
              <w:jc w:val="both"/>
              <w:rPr/>
            </w:pPr>
            <w:r>
              <w:rPr/>
              <w:t>Increase in provision during the six months ended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369" w:name="xdx_98C_ecustom--ReductionInAllowanceFor"/>
            <w:bookmarkEnd w:id="369"/>
          </w:p>
        </w:tc>
        <w:tc>
          <w:tcPr>
            <w:tcW w:w="455" w:type="dxa"/>
            <w:tcBorders/>
            <w:shd w:fill="FFFFFF" w:val="clear"/>
            <w:tcMar>
              <w:bottom w:w="0" w:type="dxa"/>
            </w:tcMar>
            <w:vAlign w:val="center"/>
          </w:tcPr>
          <w:p>
            <w:pPr>
              <w:pStyle w:val="TableContents"/>
              <w:bidi w:val="0"/>
              <w:spacing w:before="0" w:after="283"/>
              <w:jc w:val="right"/>
              <w:rPr/>
            </w:pPr>
            <w:r>
              <w:rPr/>
              <w:t>(95</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6125" w:type="dxa"/>
            <w:tcBorders/>
            <w:shd w:fill="CCEEFF" w:val="clear"/>
            <w:tcMar>
              <w:bottom w:w="0" w:type="dxa"/>
            </w:tcMar>
            <w:vAlign w:val="center"/>
          </w:tcPr>
          <w:p>
            <w:pPr>
              <w:pStyle w:val="TableContents"/>
              <w:bidi w:val="0"/>
              <w:spacing w:before="0" w:after="283"/>
              <w:jc w:val="both"/>
              <w:rPr/>
            </w:pPr>
            <w:r>
              <w:rPr/>
              <w:t>Foreign exchange translation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bookmarkStart w:id="370" w:name="xdx_98F_ecustom--ForeignExchangeTranslat"/>
            <w:bookmarkEnd w:id="370"/>
          </w:p>
        </w:tc>
        <w:tc>
          <w:tcPr>
            <w:tcW w:w="455" w:type="dxa"/>
            <w:tcBorders>
              <w:bottom w:val="single" w:sz="8" w:space="0" w:color="000000"/>
            </w:tcBorders>
            <w:shd w:fill="CCEEFF" w:val="clear"/>
            <w:vAlign w:val="center"/>
          </w:tcPr>
          <w:p>
            <w:pPr>
              <w:pStyle w:val="TableContents"/>
              <w:bidi w:val="0"/>
              <w:spacing w:before="0" w:after="283"/>
              <w:jc w:val="right"/>
              <w:rPr/>
            </w:pPr>
            <w:r>
              <w:rPr/>
              <w:t>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283"/>
              <w:jc w:val="both"/>
              <w:rPr/>
            </w:pPr>
            <w:r>
              <w:rPr/>
              <w:t>Provision for doubtful debt as of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bookmarkStart w:id="371" w:name="xdx_986_eus-gaap--AllowanceForDoubtfulAc"/>
            <w:bookmarkEnd w:id="371"/>
          </w:p>
        </w:tc>
        <w:tc>
          <w:tcPr>
            <w:tcW w:w="455" w:type="dxa"/>
            <w:tcBorders>
              <w:bottom w:val="double" w:sz="6" w:space="0" w:color="000000"/>
            </w:tcBorders>
            <w:shd w:fill="FFFFFF" w:val="clear"/>
            <w:vAlign w:val="center"/>
          </w:tcPr>
          <w:p>
            <w:pPr>
              <w:pStyle w:val="TableContents"/>
              <w:bidi w:val="0"/>
              <w:spacing w:before="0" w:after="283"/>
              <w:jc w:val="right"/>
              <w:rPr/>
            </w:pPr>
            <w:r>
              <w:rPr/>
              <w:t>(540</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72" w:name="xdx_8A3_z4cLJC8G3vEi"/>
      <w:bookmarkEnd w:id="37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3" w:name="xdx_80A_ecustom--PrepaidExpensesAndOther"/>
      <w:bookmarkEnd w:id="373"/>
      <w:r>
        <w:rPr>
          <w:rFonts w:ascii="Times New Roman;Times;Serif" w:hAnsi="Times New Roman;Times;Serif"/>
          <w:b/>
          <w:i w:val="false"/>
          <w:caps w:val="false"/>
          <w:smallCaps w:val="false"/>
          <w:sz w:val="20"/>
        </w:rPr>
        <w:t xml:space="preserve">7. </w:t>
      </w:r>
      <w:bookmarkStart w:id="374" w:name="xdx_824_zfpeBSzZUXO3"/>
      <w:bookmarkEnd w:id="374"/>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75" w:name="xdx_898_eus-gaap--DeferredCostsCapitaliz"/>
      <w:bookmarkEnd w:id="375"/>
      <w:r>
        <w:rPr>
          <w:rFonts w:ascii="Times New Roman;Times;Serif" w:hAnsi="Times New Roman;Times;Serif"/>
          <w:b w:val="false"/>
          <w:i w:val="false"/>
          <w:caps w:val="false"/>
          <w:smallCaps w:val="false"/>
          <w:sz w:val="20"/>
        </w:rPr>
        <w:t>Prepaid expenses and other current assets consisted of the following (in $000s):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76" w:name="xdx_8B6_zDyhxcaobWZf"/>
      <w:bookmarkEnd w:id="376"/>
      <w:r>
        <w:rPr>
          <w:rFonts w:ascii="Times New Roman;Times;Serif" w:hAnsi="Times New Roman;Times;Serif"/>
          <w:b w:val="false"/>
          <w:i w:val="false"/>
          <w:caps w:val="false"/>
          <w:smallCaps w:val="false"/>
          <w:sz w:val="20"/>
        </w:rPr>
        <w:t>Schedule of Prepaid Expenses and Other Current Assets </w:t>
      </w:r>
    </w:p>
    <w:tbl>
      <w:tblPr>
        <w:tblW w:w="5518" w:type="dxa"/>
        <w:jc w:val="left"/>
        <w:tblInd w:w="0" w:type="dxa"/>
        <w:tblLayout w:type="fixed"/>
        <w:tblCellMar>
          <w:top w:w="0" w:type="dxa"/>
          <w:left w:w="0" w:type="dxa"/>
          <w:bottom w:w="0" w:type="dxa"/>
          <w:right w:w="0" w:type="dxa"/>
        </w:tblCellMar>
      </w:tblPr>
      <w:tblGrid>
        <w:gridCol w:w="3365"/>
        <w:gridCol w:w="60"/>
        <w:gridCol w:w="197"/>
        <w:gridCol w:w="527"/>
        <w:gridCol w:w="60"/>
        <w:gridCol w:w="60"/>
        <w:gridCol w:w="318"/>
        <w:gridCol w:w="856"/>
        <w:gridCol w:w="75"/>
      </w:tblGrid>
      <w:tr>
        <w:trPr/>
        <w:tc>
          <w:tcPr>
            <w:tcW w:w="33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77" w:name="xdx_49A_20260630_zxbrYA9N9GT2"/>
            <w:bookmarkEnd w:id="377"/>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78" w:name="xdx_49B_20251231_zu6voowPUnoh"/>
            <w:bookmarkEnd w:id="378"/>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379" w:name="xdx_40B_eus-gaap--DeferredIncomeTaxesAnd"/>
            <w:bookmarkEnd w:id="379"/>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80" w:name="xdx_40A_eus-gaap--OtherPrepaidExpenseCur"/>
            <w:bookmarkEnd w:id="380"/>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81" w:name="xdx_40C_eus-gaap--PrepaidExpenseCurrent_"/>
            <w:bookmarkEnd w:id="381"/>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382" w:name="xdx_8A1_zxFb6nbR3dBa"/>
      <w:bookmarkEnd w:id="382"/>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83" w:name="xdx_801_ecustom--NonCurrentAssetsTextBlo"/>
      <w:bookmarkEnd w:id="383"/>
      <w:r>
        <w:rPr>
          <w:rFonts w:ascii="Times New Roman;Times;Serif" w:hAnsi="Times New Roman;Times;Serif"/>
          <w:b/>
          <w:i w:val="false"/>
          <w:caps w:val="false"/>
          <w:smallCaps w:val="false"/>
          <w:sz w:val="20"/>
        </w:rPr>
        <w:t xml:space="preserve">8. </w:t>
      </w:r>
      <w:bookmarkStart w:id="384" w:name="xdx_825_z9vn1tQ6rIfh"/>
      <w:bookmarkEnd w:id="384"/>
      <w:r>
        <w:rPr>
          <w:rFonts w:ascii="Times New Roman;Times;Serif" w:hAnsi="Times New Roman;Times;Serif"/>
          <w:b/>
          <w:i w:val="false"/>
          <w:caps w:val="false"/>
          <w:smallCaps w:val="false"/>
          <w:sz w:val="20"/>
        </w:rPr>
        <w:t>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w:t>
      </w:r>
      <w:bookmarkStart w:id="385" w:name="xdx_906_eus-gaap--NoncurrentAssets_iI_pn"/>
      <w:bookmarkEnd w:id="385"/>
      <w:r>
        <w:rPr>
          <w:rFonts w:ascii="Times New Roman;Times;Serif" w:hAnsi="Times New Roman;Times;Serif"/>
          <w:b w:val="false"/>
          <w:i w:val="false"/>
          <w:caps w:val="false"/>
          <w:smallCaps w:val="false"/>
          <w:sz w:val="20"/>
        </w:rPr>
        <w:t>0.2 million non-current assets as of June 30, 2026 and $</w:t>
      </w:r>
      <w:bookmarkStart w:id="386" w:name="xdx_90F_eus-gaap--NoncurrentAssets_iI_pn"/>
      <w:bookmarkEnd w:id="386"/>
      <w:r>
        <w:rPr>
          <w:rFonts w:ascii="Times New Roman;Times;Serif" w:hAnsi="Times New Roman;Times;Serif"/>
          <w:b w:val="false"/>
          <w:i w:val="false"/>
          <w:caps w:val="false"/>
          <w:smallCaps w:val="false"/>
          <w:sz w:val="20"/>
        </w:rPr>
        <w:t xml:space="preserve">0.2 million as of December 31, 2025. The movement of the non-current assets is related to a </w:t>
      </w:r>
      <w:bookmarkStart w:id="387" w:name="xdx_909_eus-gaap--NoncurrentAssets_iI_pn"/>
      <w:bookmarkEnd w:id="387"/>
      <w:r>
        <w:rPr>
          <w:rFonts w:ascii="Times New Roman;Times;Serif" w:hAnsi="Times New Roman;Times;Serif"/>
          <w:b w:val="false"/>
          <w:i w:val="false"/>
          <w:caps w:val="false"/>
          <w:smallCaps w:val="false"/>
          <w:sz w:val="20"/>
        </w:rPr>
        <w:t>1.7 million Malaysian Ringgit (approximately $</w:t>
      </w:r>
      <w:bookmarkStart w:id="388" w:name="xdx_90F_eus-gaap--NoncurrentAssets_iI_pn"/>
      <w:bookmarkEnd w:id="388"/>
      <w:r>
        <w:rPr>
          <w:rFonts w:ascii="Times New Roman;Times;Serif" w:hAnsi="Times New Roman;Times;Serif"/>
          <w:b w:val="false"/>
          <w:i w:val="false"/>
          <w:caps w:val="false"/>
          <w:smallCaps w:val="false"/>
          <w:sz w:val="20"/>
        </w:rPr>
        <w:t xml:space="preserve">0.4 million) loan to an unrelated customer. The loan is interest bearing at a rate of </w:t>
      </w:r>
      <w:bookmarkStart w:id="389" w:name="xdx_902_eus-gaap--DebtInstrumentInterest"/>
      <w:bookmarkEnd w:id="389"/>
      <w:r>
        <w:rPr>
          <w:rFonts w:ascii="Times New Roman;Times;Serif" w:hAnsi="Times New Roman;Times;Serif"/>
          <w:b w:val="false"/>
          <w:i w:val="false"/>
          <w:caps w:val="false"/>
          <w:smallCaps w:val="false"/>
          <w:sz w:val="20"/>
        </w:rPr>
        <w:t>8% per annum, and is recorded as a component of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0" w:name="xdx_80E_eus-gaap--AccountsPayableAccrued"/>
      <w:bookmarkEnd w:id="390"/>
      <w:r>
        <w:rPr>
          <w:rFonts w:ascii="Times New Roman;Times;Serif" w:hAnsi="Times New Roman;Times;Serif"/>
          <w:b/>
          <w:i w:val="false"/>
          <w:caps w:val="false"/>
          <w:smallCaps w:val="false"/>
          <w:sz w:val="20"/>
        </w:rPr>
        <w:t xml:space="preserve">9. </w:t>
      </w:r>
      <w:bookmarkStart w:id="391" w:name="xdx_822_zefB1AKbZfBc"/>
      <w:bookmarkEnd w:id="391"/>
      <w:r>
        <w:rPr>
          <w:rFonts w:ascii="Times New Roman;Times;Serif" w:hAnsi="Times New Roman;Times;Serif"/>
          <w:b/>
          <w:i w:val="false"/>
          <w:caps w:val="false"/>
          <w:smallCaps w:val="false"/>
          <w:sz w:val="20"/>
        </w:rPr>
        <w:t>Accrued and Other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92" w:name="xdx_897_eus-gaap--ScheduleOfAccruedLiabi"/>
      <w:bookmarkEnd w:id="392"/>
      <w:r>
        <w:rPr>
          <w:rFonts w:ascii="Times New Roman;Times;Serif" w:hAnsi="Times New Roman;Times;Serif"/>
          <w:b w:val="false"/>
          <w:i w:val="false"/>
          <w:caps w:val="false"/>
          <w:smallCaps w:val="false"/>
          <w:sz w:val="20"/>
        </w:rPr>
        <w:t>Accrued and other current liabilities consisted of the following (in $000s):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93" w:name="xdx_8B4_zY9keapgGIcc"/>
      <w:bookmarkEnd w:id="393"/>
      <w:r>
        <w:rPr>
          <w:rFonts w:ascii="Times New Roman;Times;Serif" w:hAnsi="Times New Roman;Times;Serif"/>
          <w:b w:val="false"/>
          <w:i w:val="false"/>
          <w:caps w:val="false"/>
          <w:smallCaps w:val="false"/>
          <w:sz w:val="20"/>
        </w:rPr>
        <w:t>Schedule of Accrued and Other Current Liabilities </w:t>
      </w:r>
    </w:p>
    <w:tbl>
      <w:tblPr>
        <w:tblW w:w="5938" w:type="dxa"/>
        <w:jc w:val="left"/>
        <w:tblInd w:w="0" w:type="dxa"/>
        <w:tblLayout w:type="fixed"/>
        <w:tblCellMar>
          <w:top w:w="0" w:type="dxa"/>
          <w:left w:w="0" w:type="dxa"/>
          <w:bottom w:w="0" w:type="dxa"/>
          <w:right w:w="0" w:type="dxa"/>
        </w:tblCellMar>
      </w:tblPr>
      <w:tblGrid>
        <w:gridCol w:w="3395"/>
        <w:gridCol w:w="60"/>
        <w:gridCol w:w="235"/>
        <w:gridCol w:w="639"/>
        <w:gridCol w:w="60"/>
        <w:gridCol w:w="60"/>
        <w:gridCol w:w="380"/>
        <w:gridCol w:w="1034"/>
        <w:gridCol w:w="75"/>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4" w:name="xdx_496_20260630_zPmSHG7PvQV1"/>
            <w:bookmarkEnd w:id="394"/>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5" w:name="xdx_491_20251231_zxgIdni6IX74"/>
            <w:bookmarkEnd w:id="395"/>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396" w:name="xdx_409_eus-gaap--AccruedProfessionalFee"/>
            <w:bookmarkEnd w:id="396"/>
          </w:p>
        </w:tc>
      </w:tr>
      <w:tr>
        <w:trPr/>
        <w:tc>
          <w:tcPr>
            <w:tcW w:w="3395" w:type="dxa"/>
            <w:tcBorders/>
            <w:shd w:fill="CCEEFF" w:val="clear"/>
            <w:vAlign w:val="center"/>
          </w:tcPr>
          <w:p>
            <w:pPr>
              <w:pStyle w:val="TableContents"/>
              <w:bidi w:val="0"/>
              <w:spacing w:before="0" w:after="283"/>
              <w:jc w:val="left"/>
              <w:rPr/>
            </w:pPr>
            <w:r>
              <w:rPr/>
              <w:t>Accrued legal and professional fees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639" w:type="dxa"/>
            <w:tcBorders/>
            <w:shd w:fill="CCEEFF" w:val="clear"/>
            <w:vAlign w:val="center"/>
          </w:tcPr>
          <w:p>
            <w:pPr>
              <w:pStyle w:val="TableContents"/>
              <w:bidi w:val="0"/>
              <w:spacing w:before="0" w:after="283"/>
              <w:jc w:val="right"/>
              <w:rPr/>
            </w:pPr>
            <w:r>
              <w:rPr/>
              <w:t>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500</w:t>
            </w:r>
          </w:p>
        </w:tc>
        <w:tc>
          <w:tcPr>
            <w:tcW w:w="75" w:type="dxa"/>
            <w:tcBorders/>
            <w:shd w:fill="CCEEFF" w:val="clear"/>
            <w:vAlign w:val="center"/>
          </w:tcPr>
          <w:p>
            <w:pPr>
              <w:pStyle w:val="TableContents"/>
              <w:bidi w:val="0"/>
              <w:spacing w:before="0" w:after="283"/>
              <w:jc w:val="left"/>
              <w:rPr/>
            </w:pPr>
            <w:r>
              <w:rPr/>
              <w:t> </w:t>
            </w:r>
            <w:bookmarkStart w:id="397" w:name="xdx_40A_eus-gaap--OtherAccruedLiabilitie"/>
            <w:bookmarkEnd w:id="397"/>
          </w:p>
        </w:tc>
      </w:tr>
      <w:tr>
        <w:trPr/>
        <w:tc>
          <w:tcPr>
            <w:tcW w:w="3395"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9" w:type="dxa"/>
            <w:tcBorders>
              <w:bottom w:val="single" w:sz="8" w:space="0" w:color="000000"/>
            </w:tcBorders>
            <w:shd w:fill="FFFFFF" w:val="clear"/>
            <w:tcMar>
              <w:bottom w:w="28" w:type="dxa"/>
            </w:tcMar>
            <w:vAlign w:val="center"/>
          </w:tcPr>
          <w:p>
            <w:pPr>
              <w:pStyle w:val="TableContents"/>
              <w:bidi w:val="0"/>
              <w:spacing w:before="0" w:after="283"/>
              <w:jc w:val="right"/>
              <w:rPr/>
            </w:pPr>
            <w:r>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215</w:t>
            </w:r>
          </w:p>
        </w:tc>
        <w:tc>
          <w:tcPr>
            <w:tcW w:w="75" w:type="dxa"/>
            <w:tcBorders/>
            <w:shd w:fill="FFFFFF" w:val="clear"/>
            <w:vAlign w:val="center"/>
          </w:tcPr>
          <w:p>
            <w:pPr>
              <w:pStyle w:val="TableContents"/>
              <w:bidi w:val="0"/>
              <w:spacing w:before="0" w:after="283"/>
              <w:jc w:val="left"/>
              <w:rPr/>
            </w:pPr>
            <w:r>
              <w:rPr/>
              <w:t> </w:t>
            </w:r>
            <w:bookmarkStart w:id="398" w:name="xdx_406_eus-gaap--AccruedLiabilitiesCurr"/>
            <w:bookmarkEnd w:id="398"/>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9" w:type="dxa"/>
            <w:tcBorders>
              <w:bottom w:val="double" w:sz="6" w:space="0" w:color="000000"/>
            </w:tcBorders>
            <w:shd w:fill="CCEEFF" w:val="clear"/>
            <w:tcMar>
              <w:bottom w:w="28" w:type="dxa"/>
            </w:tcMar>
            <w:vAlign w:val="center"/>
          </w:tcPr>
          <w:p>
            <w:pPr>
              <w:pStyle w:val="TableContents"/>
              <w:bidi w:val="0"/>
              <w:spacing w:before="0" w:after="283"/>
              <w:jc w:val="right"/>
              <w:rPr/>
            </w:pPr>
            <w:r>
              <w:rPr/>
              <w:t>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715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399" w:name="xdx_8A3_zcPdVkBTcNMb"/>
      <w:bookmarkEnd w:id="39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0" w:name="xdx_806_eus-gaap--LesseeOperatingLeasesT"/>
      <w:bookmarkEnd w:id="400"/>
      <w:r>
        <w:rPr>
          <w:rFonts w:ascii="Times New Roman;Times;Serif" w:hAnsi="Times New Roman;Times;Serif"/>
          <w:b/>
          <w:i w:val="false"/>
          <w:caps w:val="false"/>
          <w:smallCaps w:val="false"/>
          <w:sz w:val="20"/>
        </w:rPr>
        <w:t xml:space="preserve">10. </w:t>
      </w:r>
      <w:bookmarkStart w:id="401" w:name="xdx_820_zhftsiGuE5t4"/>
      <w:bookmarkEnd w:id="401"/>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Fitters Sub on September 12, 2025, the Company utilizes three facilities in Malaysia, all on short term lease agreements. The Company terminated its lease agreement for its previous headquarters in Berkeley Heights, New Jersey, effective January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Company recognized operating lease expenses of $</w:t>
      </w:r>
      <w:bookmarkStart w:id="402" w:name="xdx_901_eus-gaap--OperatingLeaseExpense_"/>
      <w:bookmarkEnd w:id="402"/>
      <w:r>
        <w:rPr>
          <w:rFonts w:ascii="Times New Roman;Times;Serif" w:hAnsi="Times New Roman;Times;Serif"/>
          <w:b w:val="false"/>
          <w:i w:val="false"/>
          <w:caps w:val="false"/>
          <w:smallCaps w:val="false"/>
          <w:sz w:val="20"/>
        </w:rPr>
        <w:t>27,821 and $</w:t>
      </w:r>
      <w:bookmarkStart w:id="403" w:name="xdx_902_eus-gaap--OperatingLeaseExpense_"/>
      <w:bookmarkEnd w:id="403"/>
      <w:r>
        <w:rPr>
          <w:rFonts w:ascii="Times New Roman;Times;Serif" w:hAnsi="Times New Roman;Times;Serif"/>
          <w:b w:val="false"/>
          <w:i w:val="false"/>
          <w:caps w:val="false"/>
          <w:smallCaps w:val="false"/>
          <w:sz w:val="20"/>
        </w:rPr>
        <w:t>3,790 respectively. Cash payments made during the six months ended June 30, 2026, and 2025 totaled $</w:t>
      </w:r>
      <w:bookmarkStart w:id="404" w:name="xdx_903_eus-gaap--OperatingLeasePayments"/>
      <w:bookmarkEnd w:id="404"/>
      <w:r>
        <w:rPr>
          <w:rFonts w:ascii="Times New Roman;Times;Serif" w:hAnsi="Times New Roman;Times;Serif"/>
          <w:b w:val="false"/>
          <w:i w:val="false"/>
          <w:caps w:val="false"/>
          <w:smallCaps w:val="false"/>
          <w:sz w:val="20"/>
        </w:rPr>
        <w:t>27,821 and $</w:t>
      </w:r>
      <w:bookmarkStart w:id="405" w:name="xdx_909_eus-gaap--OperatingLeasePayments"/>
      <w:bookmarkEnd w:id="405"/>
      <w:r>
        <w:rPr>
          <w:rFonts w:ascii="Times New Roman;Times;Serif" w:hAnsi="Times New Roman;Times;Serif"/>
          <w:b w:val="false"/>
          <w:i w:val="false"/>
          <w:caps w:val="false"/>
          <w:smallCaps w:val="false"/>
          <w:sz w:val="20"/>
        </w:rPr>
        <w:t xml:space="preserve">3,790, respectively, and were presented within cash outflows from operating activities. The remaining lease term of the Company’s longest lease as of June 30, 2026, is approximately </w:t>
      </w:r>
      <w:bookmarkStart w:id="406" w:name="xdx_90C_eus-gaap--OperatingLeaseWeighted"/>
      <w:bookmarkEnd w:id="406"/>
      <w:r>
        <w:rPr>
          <w:rFonts w:ascii="Times New Roman;Times;Serif" w:hAnsi="Times New Roman;Times;Serif"/>
          <w:b w:val="false"/>
          <w:i w:val="false"/>
          <w:caps w:val="false"/>
          <w:smallCaps w:val="false"/>
          <w:sz w:val="20"/>
        </w:rPr>
        <w:t xml:space="preserve">0.7 years. The discount rate used by the Company in determining the lease liability was </w:t>
      </w:r>
      <w:bookmarkStart w:id="407" w:name="xdx_90A_eus-gaap--LesseeOperatingLeaseDi"/>
      <w:bookmarkEnd w:id="407"/>
      <w:r>
        <w:rPr>
          <w:rFonts w:ascii="Times New Roman;Times;Serif" w:hAnsi="Times New Roman;Times;Serif"/>
          <w:b w:val="false"/>
          <w:i w:val="false"/>
          <w:caps w:val="false"/>
          <w:smallCaps w:val="false"/>
          <w:sz w:val="20"/>
        </w:rPr>
        <w:t>12%.</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08" w:name="xdx_89A_eus-gaap--LesseeOperatingLeaseLi"/>
      <w:bookmarkEnd w:id="408"/>
      <w:r>
        <w:rPr>
          <w:rFonts w:ascii="Times New Roman;Times;Serif" w:hAnsi="Times New Roman;Times;Serif"/>
          <w:b w:val="false"/>
          <w:i w:val="false"/>
          <w:caps w:val="false"/>
          <w:smallCaps w:val="false"/>
          <w:sz w:val="20"/>
          <w:u w:val="single"/>
        </w:rPr>
        <w:t>Remaining lease payments</w:t>
      </w:r>
      <w:r>
        <w:rPr>
          <w:rFonts w:ascii="Times New Roman;Times;Serif" w:hAnsi="Times New Roman;Times;Serif"/>
          <w:b w:val="false"/>
          <w:i w:val="false"/>
          <w:caps w:val="false"/>
          <w:smallCaps w:val="false"/>
          <w:sz w:val="20"/>
        </w:rPr>
        <w:t xml:space="preserve"> for the facilities are as follows (in $000s):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09" w:name="xdx_8BE_zVdeLBBCtB6g"/>
      <w:bookmarkEnd w:id="409"/>
      <w:r>
        <w:rPr>
          <w:rFonts w:ascii="Times New Roman;Times;Serif" w:hAnsi="Times New Roman;Times;Serif"/>
          <w:b w:val="false"/>
          <w:i w:val="false"/>
          <w:caps w:val="false"/>
          <w:smallCaps w:val="false"/>
          <w:sz w:val="20"/>
        </w:rPr>
        <w:t>Schedule of Remaining Lease Payments </w:t>
      </w:r>
    </w:p>
    <w:tbl>
      <w:tblPr>
        <w:tblW w:w="4050" w:type="dxa"/>
        <w:jc w:val="left"/>
        <w:tblInd w:w="0" w:type="dxa"/>
        <w:tblLayout w:type="fixed"/>
        <w:tblCellMar>
          <w:top w:w="0" w:type="dxa"/>
          <w:left w:w="0" w:type="dxa"/>
          <w:bottom w:w="0" w:type="dxa"/>
          <w:right w:w="0" w:type="dxa"/>
        </w:tblCellMar>
      </w:tblPr>
      <w:tblGrid>
        <w:gridCol w:w="3635"/>
        <w:gridCol w:w="60"/>
        <w:gridCol w:w="140"/>
        <w:gridCol w:w="140"/>
        <w:gridCol w:w="75"/>
      </w:tblGrid>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10" w:name="xdx_499_20260630_zDjDzwPsLaG9"/>
            <w:bookmarkEnd w:id="410"/>
          </w:p>
        </w:tc>
        <w:tc>
          <w:tcPr>
            <w:tcW w:w="1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11" w:name="xdx_40F_eus-gaap--LesseeOperatingLeaseLi"/>
            <w:bookmarkEnd w:id="411"/>
          </w:p>
        </w:tc>
      </w:tr>
      <w:tr>
        <w:trPr/>
        <w:tc>
          <w:tcPr>
            <w:tcW w:w="363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75" w:type="dxa"/>
            <w:tcBorders/>
            <w:shd w:fill="CCEEFF" w:val="clear"/>
            <w:vAlign w:val="center"/>
          </w:tcPr>
          <w:p>
            <w:pPr>
              <w:pStyle w:val="TableContents"/>
              <w:bidi w:val="0"/>
              <w:spacing w:before="0" w:after="283"/>
              <w:jc w:val="left"/>
              <w:rPr/>
            </w:pPr>
            <w:r>
              <w:rPr/>
              <w:t> </w:t>
            </w:r>
            <w:bookmarkStart w:id="412" w:name="xdx_403_eus-gaap--LesseeOperatingLeaseLi"/>
            <w:bookmarkEnd w:id="412"/>
          </w:p>
        </w:tc>
      </w:tr>
      <w:tr>
        <w:trPr/>
        <w:tc>
          <w:tcPr>
            <w:tcW w:w="363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right"/>
              <w:rPr/>
            </w:pPr>
            <w:r>
              <w:rPr/>
              <w:t>2</w:t>
            </w:r>
          </w:p>
        </w:tc>
        <w:tc>
          <w:tcPr>
            <w:tcW w:w="75" w:type="dxa"/>
            <w:tcBorders/>
            <w:shd w:fill="FFFFFF" w:val="clear"/>
            <w:vAlign w:val="center"/>
          </w:tcPr>
          <w:p>
            <w:pPr>
              <w:pStyle w:val="TableContents"/>
              <w:bidi w:val="0"/>
              <w:spacing w:before="0" w:after="283"/>
              <w:jc w:val="left"/>
              <w:rPr/>
            </w:pPr>
            <w:r>
              <w:rPr/>
              <w:t> </w:t>
            </w:r>
            <w:bookmarkStart w:id="413" w:name="xdx_401_ecustom--LesseeOperatingLeaseLia"/>
            <w:bookmarkEnd w:id="413"/>
          </w:p>
        </w:tc>
      </w:tr>
      <w:tr>
        <w:trPr/>
        <w:tc>
          <w:tcPr>
            <w:tcW w:w="3635" w:type="dxa"/>
            <w:tcBorders/>
            <w:shd w:fill="CCEEFF" w:val="clear"/>
            <w:vAlign w:val="center"/>
          </w:tcPr>
          <w:p>
            <w:pPr>
              <w:pStyle w:val="TableContents"/>
              <w:bidi w:val="0"/>
              <w:spacing w:before="0" w:after="283"/>
              <w:jc w:val="left"/>
              <w:rPr/>
            </w:pPr>
            <w:r>
              <w:rPr/>
              <w:t>Thereafter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14" w:name="xdx_405_eus-gaap--LesseeOperatingLeaseLi"/>
            <w:bookmarkEnd w:id="414"/>
          </w:p>
        </w:tc>
      </w:tr>
      <w:tr>
        <w:trPr/>
        <w:tc>
          <w:tcPr>
            <w:tcW w:w="3635" w:type="dxa"/>
            <w:tcBorders/>
            <w:shd w:fill="FFFFFF" w:val="clear"/>
            <w:vAlign w:val="center"/>
          </w:tcPr>
          <w:p>
            <w:pPr>
              <w:pStyle w:val="TableContents"/>
              <w:bidi w:val="0"/>
              <w:spacing w:before="0" w:after="283"/>
              <w:jc w:val="left"/>
              <w:rPr/>
            </w:pPr>
            <w:r>
              <w:rPr/>
              <w:t>Total future minimum lease obligation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right"/>
              <w:rPr/>
            </w:pPr>
            <w:r>
              <w:rPr/>
              <w:t>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15" w:name="xdx_8A8_zl6mKjZzEkO1"/>
      <w:bookmarkEnd w:id="41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6" w:name="xdx_80D_eus-gaap--DisclosureOfCompensati"/>
      <w:bookmarkEnd w:id="416"/>
      <w:r>
        <w:rPr>
          <w:rFonts w:ascii="Times New Roman;Times;Serif" w:hAnsi="Times New Roman;Times;Serif"/>
          <w:b/>
          <w:i w:val="false"/>
          <w:caps w:val="false"/>
          <w:smallCaps w:val="false"/>
          <w:sz w:val="20"/>
        </w:rPr>
        <w:t xml:space="preserve">11. </w:t>
      </w:r>
      <w:bookmarkStart w:id="417" w:name="xdx_822_zV7uYbnqKzue"/>
      <w:bookmarkEnd w:id="417"/>
      <w:r>
        <w:rPr>
          <w:rFonts w:ascii="Times New Roman;Times;Serif" w:hAnsi="Times New Roman;Times;Serif"/>
          <w:b/>
          <w:i w:val="false"/>
          <w:caps w:val="false"/>
          <w:smallCaps w:val="false"/>
          <w:sz w:val="20"/>
        </w:rPr>
        <w:t>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718 requires compensation expense associated with share-based awards to be recognized over the requisite service period which, for the Company, is the period between the grant date and the date the award vests or becomes exercisable. The Company recognizes all share-based awards under the straight-line attribution method, assuming that all granted awards will vest. Forfeitures are recognized in the periods when they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18" w:name="xdx_896_eus-gaap--ScheduleOfEmployeeServ"/>
      <w:bookmarkEnd w:id="418"/>
      <w:r>
        <w:rPr>
          <w:rFonts w:ascii="Times New Roman;Times;Serif" w:hAnsi="Times New Roman;Times;Serif"/>
          <w:b w:val="false"/>
          <w:i w:val="false"/>
          <w:caps w:val="false"/>
          <w:smallCaps w:val="false"/>
          <w:sz w:val="20"/>
        </w:rPr>
        <w:t>Stock based compensation has been reported within expense line items on the consolidated statement of operations for the six months ended June 30, 2026 and 2025 as shown in the following table (in $000s):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19" w:name="xdx_8B8_zswX9NotmGJh"/>
      <w:bookmarkEnd w:id="419"/>
      <w:r>
        <w:rPr>
          <w:rFonts w:ascii="Times New Roman;Times;Serif" w:hAnsi="Times New Roman;Times;Serif"/>
          <w:b w:val="false"/>
          <w:i w:val="false"/>
          <w:caps w:val="false"/>
          <w:smallCaps w:val="false"/>
          <w:sz w:val="20"/>
        </w:rPr>
        <w:t>Schedule of Stock Based Compensation Expense </w:t>
      </w:r>
    </w:p>
    <w:tbl>
      <w:tblPr>
        <w:tblW w:w="7449" w:type="dxa"/>
        <w:jc w:val="left"/>
        <w:tblInd w:w="0" w:type="dxa"/>
        <w:tblLayout w:type="fixed"/>
        <w:tblCellMar>
          <w:top w:w="0" w:type="dxa"/>
          <w:left w:w="0" w:type="dxa"/>
          <w:bottom w:w="0" w:type="dxa"/>
          <w:right w:w="0" w:type="dxa"/>
        </w:tblCellMar>
      </w:tblPr>
      <w:tblGrid>
        <w:gridCol w:w="3080"/>
        <w:gridCol w:w="60"/>
        <w:gridCol w:w="493"/>
        <w:gridCol w:w="493"/>
        <w:gridCol w:w="118"/>
        <w:gridCol w:w="118"/>
        <w:gridCol w:w="493"/>
        <w:gridCol w:w="493"/>
        <w:gridCol w:w="60"/>
        <w:gridCol w:w="60"/>
        <w:gridCol w:w="361"/>
        <w:gridCol w:w="361"/>
        <w:gridCol w:w="86"/>
        <w:gridCol w:w="86"/>
        <w:gridCol w:w="202"/>
        <w:gridCol w:w="810"/>
        <w:gridCol w:w="75"/>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0" w:name="xdx_499_20260401__20260630_zvz2y1vp57o2"/>
            <w:bookmarkEnd w:id="420"/>
          </w:p>
        </w:tc>
        <w:tc>
          <w:tcPr>
            <w:tcW w:w="9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bookmarkStart w:id="421" w:name="xdx_49E_20250401__20250630_zT3YF4fyP7vf"/>
            <w:bookmarkEnd w:id="421"/>
          </w:p>
        </w:tc>
        <w:tc>
          <w:tcPr>
            <w:tcW w:w="9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2" w:name="xdx_49D_20260101__20260630_zt2ACZw8xqwg"/>
            <w:bookmarkEnd w:id="422"/>
          </w:p>
        </w:tc>
        <w:tc>
          <w:tcPr>
            <w:tcW w:w="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bookmarkStart w:id="423" w:name="xdx_491_20250101__20250630_zKlJjudmroXb"/>
            <w:bookmarkEnd w:id="423"/>
          </w:p>
        </w:tc>
        <w:tc>
          <w:tcPr>
            <w:tcW w:w="10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9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424" w:name="xdx_40C_eus-gaap--AllocatedShareBasedCom"/>
            <w:bookmarkEnd w:id="424"/>
          </w:p>
        </w:tc>
      </w:tr>
      <w:tr>
        <w:trPr/>
        <w:tc>
          <w:tcPr>
            <w:tcW w:w="308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w:t>
            </w:r>
          </w:p>
        </w:tc>
        <w:tc>
          <w:tcPr>
            <w:tcW w:w="493" w:type="dxa"/>
            <w:tcBorders/>
            <w:shd w:fill="CCEEFF" w:val="clear"/>
            <w:vAlign w:val="center"/>
          </w:tcPr>
          <w:p>
            <w:pPr>
              <w:pStyle w:val="TableContents"/>
              <w:bidi w:val="0"/>
              <w:spacing w:before="0" w:after="283"/>
              <w:jc w:val="right"/>
              <w:rPr/>
            </w:pPr>
            <w:r>
              <w:rPr/>
              <w:t>1</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w:t>
            </w:r>
          </w:p>
        </w:tc>
        <w:tc>
          <w:tcPr>
            <w:tcW w:w="493"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361" w:type="dxa"/>
            <w:tcBorders/>
            <w:shd w:fill="CCEEFF" w:val="clear"/>
            <w:vAlign w:val="center"/>
          </w:tcPr>
          <w:p>
            <w:pPr>
              <w:pStyle w:val="TableContents"/>
              <w:bidi w:val="0"/>
              <w:spacing w:before="0" w:after="283"/>
              <w:jc w:val="right"/>
              <w:rPr/>
            </w:pPr>
            <w:r>
              <w:rPr/>
              <w:t>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283"/>
              <w:jc w:val="right"/>
              <w:rPr/>
            </w:pPr>
            <w:r>
              <w:rPr/>
              <w:t>1,595</w:t>
            </w:r>
          </w:p>
        </w:tc>
        <w:tc>
          <w:tcPr>
            <w:tcW w:w="75" w:type="dxa"/>
            <w:tcBorders/>
            <w:shd w:fill="CCEEFF" w:val="clear"/>
            <w:vAlign w:val="center"/>
          </w:tcPr>
          <w:p>
            <w:pPr>
              <w:pStyle w:val="TableContents"/>
              <w:bidi w:val="0"/>
              <w:spacing w:before="0" w:after="283"/>
              <w:jc w:val="left"/>
              <w:rPr/>
            </w:pPr>
            <w:r>
              <w:rPr/>
              <w:t> </w:t>
            </w:r>
            <w:bookmarkStart w:id="425" w:name="xdx_40E_eus-gaap--AllocatedShareBasedCom"/>
            <w:bookmarkEnd w:id="425"/>
          </w:p>
        </w:tc>
      </w:tr>
      <w:tr>
        <w:trPr/>
        <w:tc>
          <w:tcPr>
            <w:tcW w:w="308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4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49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493" w:type="dxa"/>
            <w:tcBorders>
              <w:bottom w:val="single" w:sz="8" w:space="0" w:color="000000"/>
            </w:tcBorders>
            <w:shd w:fill="FFFFFF" w:val="clear"/>
            <w:tcMar>
              <w:bottom w:w="28" w:type="dxa"/>
            </w:tcM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6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0" w:type="dxa"/>
            <w:tcBorders>
              <w:bottom w:val="single" w:sz="8" w:space="0" w:color="000000"/>
            </w:tcBorders>
            <w:shd w:fill="FFFFFF" w:val="clear"/>
            <w:tcMar>
              <w:bottom w:w="28" w:type="dxa"/>
            </w:tcMar>
            <w:vAlign w:val="center"/>
          </w:tcPr>
          <w:p>
            <w:pPr>
              <w:pStyle w:val="TableContents"/>
              <w:bidi w:val="0"/>
              <w:spacing w:before="0" w:after="283"/>
              <w:jc w:val="right"/>
              <w:rPr/>
            </w:pPr>
            <w:r>
              <w:rPr/>
              <w:t>78</w:t>
            </w:r>
          </w:p>
        </w:tc>
        <w:tc>
          <w:tcPr>
            <w:tcW w:w="75" w:type="dxa"/>
            <w:tcBorders/>
            <w:shd w:fill="FFFFFF" w:val="clear"/>
            <w:vAlign w:val="center"/>
          </w:tcPr>
          <w:p>
            <w:pPr>
              <w:pStyle w:val="TableContents"/>
              <w:bidi w:val="0"/>
              <w:spacing w:before="0" w:after="283"/>
              <w:jc w:val="left"/>
              <w:rPr/>
            </w:pPr>
            <w:r>
              <w:rPr/>
              <w:t> </w:t>
            </w:r>
            <w:bookmarkStart w:id="426" w:name="xdx_406_eus-gaap--AllocatedShareBasedCom"/>
            <w:bookmarkEnd w:id="426"/>
          </w:p>
        </w:tc>
      </w:tr>
      <w:tr>
        <w:trPr/>
        <w:tc>
          <w:tcPr>
            <w:tcW w:w="3080" w:type="dxa"/>
            <w:tcBorders/>
            <w:shd w:fill="CCEEFF" w:val="clear"/>
            <w:vAlign w:val="center"/>
          </w:tcPr>
          <w:p>
            <w:pPr>
              <w:pStyle w:val="TableContents"/>
              <w:bidi w:val="0"/>
              <w:spacing w:before="0" w:after="283"/>
              <w:jc w:val="left"/>
              <w:rPr/>
            </w:pPr>
            <w:r>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4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3"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4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3" w:type="dxa"/>
            <w:tcBorders>
              <w:bottom w:val="double" w:sz="6" w:space="0" w:color="000000"/>
            </w:tcBorders>
            <w:shd w:fill="CCEEFF" w:val="clear"/>
            <w:tcMar>
              <w:bottom w:w="28" w:type="dxa"/>
            </w:tcM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0" w:type="dxa"/>
            <w:tcBorders>
              <w:bottom w:val="double" w:sz="6" w:space="0" w:color="000000"/>
            </w:tcBorders>
            <w:shd w:fill="CCEEFF" w:val="clear"/>
            <w:tcMar>
              <w:bottom w:w="28" w:type="dxa"/>
            </w:tcMar>
            <w:vAlign w:val="center"/>
          </w:tcPr>
          <w:p>
            <w:pPr>
              <w:pStyle w:val="TableContents"/>
              <w:bidi w:val="0"/>
              <w:spacing w:before="0" w:after="283"/>
              <w:jc w:val="right"/>
              <w:rPr/>
            </w:pPr>
            <w:r>
              <w:rPr/>
              <w:t>1,673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720"/>
        <w:jc w:val="left"/>
        <w:rPr>
          <w:caps w:val="false"/>
          <w:smallCaps w:val="false"/>
        </w:rPr>
      </w:pPr>
      <w:bookmarkStart w:id="427" w:name="xdx_8AA_zqwpiobHhpI8"/>
      <w:bookmarkEnd w:id="42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428" w:name="xdx_90A_eus-gaap--ShareBasedCompensation"/>
      <w:bookmarkEnd w:id="428"/>
      <w:r>
        <w:rPr>
          <w:rFonts w:ascii="Times New Roman;Times;Serif" w:hAnsi="Times New Roman;Times;Serif"/>
          <w:b w:val="false"/>
          <w:i w:val="false"/>
          <w:caps w:val="false"/>
          <w:smallCaps w:val="false"/>
          <w:sz w:val="20"/>
        </w:rPr>
        <w:t xml:space="preserve">no stock options or restricted stock units granted during the six months ended June 30, 2026. During the six months ended June 30, 2025, a total of </w:t>
      </w:r>
      <w:bookmarkStart w:id="429" w:name="xdx_909_eus-gaap--ShareBasedCompensation"/>
      <w:bookmarkEnd w:id="429"/>
      <w:r>
        <w:rPr>
          <w:rFonts w:ascii="Times New Roman;Times;Serif" w:hAnsi="Times New Roman;Times;Serif"/>
          <w:b w:val="false"/>
          <w:i w:val="false"/>
          <w:caps w:val="false"/>
          <w:smallCaps w:val="false"/>
          <w:sz w:val="20"/>
        </w:rPr>
        <w:t xml:space="preserve">24,812 stock options and </w:t>
      </w:r>
      <w:bookmarkStart w:id="430" w:name="xdx_90B_eus-gaap--ShareBasedCompensation"/>
      <w:bookmarkEnd w:id="430"/>
      <w:r>
        <w:rPr>
          <w:rFonts w:ascii="Times New Roman;Times;Serif" w:hAnsi="Times New Roman;Times;Serif"/>
          <w:b w:val="false"/>
          <w:i w:val="false"/>
          <w:caps w:val="false"/>
          <w:smallCaps w:val="false"/>
          <w:sz w:val="20"/>
        </w:rPr>
        <w:t>0 restricted stock units were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1" w:name="xdx_806_eus-gaap--StockholdersEquityNote"/>
      <w:bookmarkEnd w:id="431"/>
      <w:r>
        <w:rPr>
          <w:rFonts w:ascii="Times New Roman;Times;Serif" w:hAnsi="Times New Roman;Times;Serif"/>
          <w:b/>
          <w:i w:val="false"/>
          <w:caps w:val="false"/>
          <w:smallCaps w:val="false"/>
          <w:sz w:val="20"/>
        </w:rPr>
        <w:t xml:space="preserve">12. </w:t>
      </w:r>
      <w:bookmarkStart w:id="432" w:name="xdx_82C_zvZ3NMi6PFi4"/>
      <w:bookmarkEnd w:id="432"/>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Stock Equity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10, 2026, the Company entered into a Securities Purchase Agreement (the “Purchase Agreement”) with certain foreign accredited investors (the “Investors”), pursuant to which the Investors agreed to purchase from the Company an aggregate of </w:t>
      </w:r>
      <w:bookmarkStart w:id="433" w:name="xdx_90E_eus-gaap--SaleOfStockNumberOfSha"/>
      <w:bookmarkEnd w:id="433"/>
      <w:r>
        <w:rPr>
          <w:rFonts w:ascii="Times New Roman;Times;Serif" w:hAnsi="Times New Roman;Times;Serif"/>
          <w:b w:val="false"/>
          <w:i w:val="false"/>
          <w:caps w:val="false"/>
          <w:smallCaps w:val="false"/>
          <w:sz w:val="20"/>
        </w:rPr>
        <w:t>1,103,338 shares of Common Stock, par value $</w:t>
      </w:r>
      <w:bookmarkStart w:id="434" w:name="xdx_905_eus-gaap--CommonStockParOrStated"/>
      <w:bookmarkEnd w:id="434"/>
      <w:r>
        <w:rPr>
          <w:rFonts w:ascii="Times New Roman;Times;Serif" w:hAnsi="Times New Roman;Times;Serif"/>
          <w:b w:val="false"/>
          <w:i w:val="false"/>
          <w:caps w:val="false"/>
          <w:smallCaps w:val="false"/>
          <w:sz w:val="20"/>
        </w:rPr>
        <w:t>0.001 (the “Shares”) of the Company at a purchase price of $</w:t>
      </w:r>
      <w:bookmarkStart w:id="435" w:name="xdx_900_eus-gaap--SharePrice_iI_pid_c202"/>
      <w:bookmarkEnd w:id="435"/>
      <w:r>
        <w:rPr>
          <w:rFonts w:ascii="Times New Roman;Times;Serif" w:hAnsi="Times New Roman;Times;Serif"/>
          <w:b w:val="false"/>
          <w:i w:val="false"/>
          <w:caps w:val="false"/>
          <w:smallCaps w:val="false"/>
          <w:sz w:val="20"/>
        </w:rPr>
        <w:t>0.72 per share for aggregate gross proceeds of $</w:t>
      </w:r>
      <w:bookmarkStart w:id="436" w:name="xdx_903_eus-gaap--ProceedsFromIssuanceOf"/>
      <w:bookmarkEnd w:id="436"/>
      <w:r>
        <w:rPr>
          <w:rFonts w:ascii="Times New Roman;Times;Serif" w:hAnsi="Times New Roman;Times;Serif"/>
          <w:b w:val="false"/>
          <w:i w:val="false"/>
          <w:caps w:val="false"/>
          <w:smallCaps w:val="false"/>
          <w:sz w:val="20"/>
        </w:rPr>
        <w:t>794,403, subject to the terms and conditions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entry into the Purchase Agreement, the Company entered into a Registration Rights Agreement (the “Registration Rights Agreement”) with the Investors for the registration for resale of the Shares pursuant to a registration statement (the “Registration Statement”) to be filed with the Securities and Exchange Commission (the “SEC”). Following the effectiveness of the resale Registration Statement, the Company is obligated to keep Registration Statement continuously effective from the date on which the SEC declares the Registration Statement effective until such date that all Registrable Securities (as such term is defined in the Registration Rights Agreement) covered by such Registration Statement have been sold pursuant to a registration statement under the Securities Act of 1933, as amended (the “Securities Act”), or under Rule 144 as promulgated by the SEC under the Securities Act, or otherwise shall have ceased to be Registrable Securities. The Company will be responsible for the registration expenses incurred in connection with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Preferred Stock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E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437" w:name="xdx_904_eus-gaap--SaleOfStockNumberOfSha"/>
      <w:bookmarkEnd w:id="437"/>
      <w:r>
        <w:rPr>
          <w:rFonts w:ascii="Times New Roman;Times;Serif" w:hAnsi="Times New Roman;Times;Serif"/>
          <w:b w:val="false"/>
          <w:i w:val="false"/>
          <w:caps w:val="false"/>
          <w:smallCaps w:val="false"/>
          <w:sz w:val="20"/>
        </w:rPr>
        <w:t>1,000,000 shares of the Company’s Series E Preferred Stock were issued pursuant to a March 2025 Securities Purchase Agreement with certain accredited investors (the “Investors”). The Company received proceeds of $</w:t>
      </w:r>
      <w:bookmarkStart w:id="438" w:name="xdx_900_ecustom--ProceedsFromIssuanceOfP"/>
      <w:bookmarkEnd w:id="438"/>
      <w:r>
        <w:rPr>
          <w:rFonts w:ascii="Times New Roman;Times;Serif" w:hAnsi="Times New Roman;Times;Serif"/>
          <w:b w:val="false"/>
          <w:i w:val="false"/>
          <w:caps w:val="false"/>
          <w:smallCaps w:val="false"/>
          <w:sz w:val="20"/>
        </w:rPr>
        <w:t xml:space="preserve">1.0 million, net of issuance costs. All of the Series E preferred shares were converted into </w:t>
      </w:r>
      <w:bookmarkStart w:id="439" w:name="xdx_90C_eus-gaap--ConvertiblePreferredSt"/>
      <w:bookmarkEnd w:id="439"/>
      <w:r>
        <w:rPr>
          <w:rFonts w:ascii="Times New Roman;Times;Serif" w:hAnsi="Times New Roman;Times;Serif"/>
          <w:b w:val="false"/>
          <w:i w:val="false"/>
          <w:caps w:val="false"/>
          <w:smallCaps w:val="false"/>
          <w:sz w:val="20"/>
        </w:rPr>
        <w:t>458,333 shares of Common Stock and as of June 30, 2026, there were no remaining shares of the Series E Preferred Stock outstanding.</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C and Series D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440" w:name="xdx_90B_eus-gaap--SaleOfStockNumberOfSha"/>
      <w:bookmarkEnd w:id="440"/>
      <w:r>
        <w:rPr>
          <w:rFonts w:ascii="Times New Roman;Times;Serif" w:hAnsi="Times New Roman;Times;Serif"/>
          <w:b w:val="false"/>
          <w:i w:val="false"/>
          <w:caps w:val="false"/>
          <w:smallCaps w:val="false"/>
          <w:sz w:val="20"/>
        </w:rPr>
        <w:t xml:space="preserve">1,000,000 shares of the Company’s Series C Preferred Stock and </w:t>
      </w:r>
      <w:bookmarkStart w:id="441" w:name="xdx_905_eus-gaap--SaleOfStockNumberOfSha"/>
      <w:bookmarkEnd w:id="441"/>
      <w:r>
        <w:rPr>
          <w:rFonts w:ascii="Times New Roman;Times;Serif" w:hAnsi="Times New Roman;Times;Serif"/>
          <w:b w:val="false"/>
          <w:i w:val="false"/>
          <w:caps w:val="false"/>
          <w:smallCaps w:val="false"/>
          <w:sz w:val="20"/>
        </w:rPr>
        <w:t xml:space="preserve">2,100,000 shares of the Company’s Series D Preferred Stock were issued pursuant to a January 2025 Securities Purchase Agreement with David E. Lazar, pursuant to which he agreed to purchase from the Company </w:t>
      </w:r>
      <w:bookmarkStart w:id="442" w:name="xdx_90F_eus-gaap--SaleOfStockNumberOfSha"/>
      <w:bookmarkEnd w:id="442"/>
      <w:r>
        <w:rPr>
          <w:rFonts w:ascii="Times New Roman;Times;Serif" w:hAnsi="Times New Roman;Times;Serif"/>
          <w:b w:val="false"/>
          <w:i w:val="false"/>
          <w:caps w:val="false"/>
          <w:smallCaps w:val="false"/>
          <w:sz w:val="20"/>
        </w:rPr>
        <w:t xml:space="preserve">1,000,000 shares of Series C Convertible Preferred Stock (the “Series C Preferred Stock”) and </w:t>
      </w:r>
      <w:bookmarkStart w:id="443" w:name="xdx_903_eus-gaap--SaleOfStockNumberOfSha"/>
      <w:bookmarkEnd w:id="443"/>
      <w:r>
        <w:rPr>
          <w:rFonts w:ascii="Times New Roman;Times;Serif" w:hAnsi="Times New Roman;Times;Serif"/>
          <w:b w:val="false"/>
          <w:i w:val="false"/>
          <w:caps w:val="false"/>
          <w:smallCaps w:val="false"/>
          <w:sz w:val="20"/>
        </w:rPr>
        <w:t>2,100,000 shares of Series D Convertible Preferred Stock (the “Series D Preferred Stock” and, together with the Series C Preferred Stock, the “Preferred Stock”) of the Company at a purchase price of $</w:t>
      </w:r>
      <w:bookmarkStart w:id="444" w:name="xdx_904_eus-gaap--SharePrice_iI_c2026063"/>
      <w:bookmarkEnd w:id="444"/>
      <w:r>
        <w:rPr>
          <w:rFonts w:ascii="Times New Roman;Times;Serif" w:hAnsi="Times New Roman;Times;Serif"/>
          <w:b w:val="false"/>
          <w:i w:val="false"/>
          <w:caps w:val="false"/>
          <w:smallCaps w:val="false"/>
          <w:sz w:val="20"/>
        </w:rPr>
        <w:t>1.0 per share for aggregate gross proceeds of $</w:t>
      </w:r>
      <w:bookmarkStart w:id="445" w:name="xdx_903_eus-gaap--ProceedsFromIssuanceOf"/>
      <w:bookmarkEnd w:id="445"/>
      <w:r>
        <w:rPr>
          <w:rFonts w:ascii="Times New Roman;Times;Serif" w:hAnsi="Times New Roman;Times;Serif"/>
          <w:b w:val="false"/>
          <w:i w:val="false"/>
          <w:caps w:val="false"/>
          <w:smallCaps w:val="false"/>
          <w:sz w:val="20"/>
        </w:rPr>
        <w:t>3.1 million, subject to the terms and conditions of the January 2025 Securities Purchase Agreement. The proceeds of the transaction were used to repay and settle outstanding liabilities of the Company and for other general corporate and operating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share of Series C Preferred Stock was convertible into </w:t>
      </w:r>
      <w:bookmarkStart w:id="446" w:name="xdx_90B_eus-gaap--SharesIssuedPricePerSh"/>
      <w:bookmarkEnd w:id="446"/>
      <w:r>
        <w:rPr>
          <w:rFonts w:ascii="Times New Roman;Times;Serif" w:hAnsi="Times New Roman;Times;Serif"/>
          <w:b w:val="false"/>
          <w:i w:val="false"/>
          <w:caps w:val="false"/>
          <w:smallCaps w:val="false"/>
          <w:sz w:val="20"/>
        </w:rPr>
        <w:t>0.011042 shares of the Company’s common stock, par value $</w:t>
      </w:r>
      <w:bookmarkStart w:id="447" w:name="xdx_90B_eus-gaap--CommonStockParOrStated"/>
      <w:bookmarkEnd w:id="447"/>
      <w:r>
        <w:rPr>
          <w:rFonts w:ascii="Times New Roman;Times;Serif" w:hAnsi="Times New Roman;Times;Serif"/>
          <w:b w:val="false"/>
          <w:i w:val="false"/>
          <w:caps w:val="false"/>
          <w:smallCaps w:val="false"/>
          <w:sz w:val="20"/>
        </w:rPr>
        <w:t xml:space="preserve">0.001 per share (“Common Stock”), and each share of Series D Preferred Stock was convertible into </w:t>
      </w:r>
      <w:bookmarkStart w:id="448" w:name="xdx_90E_eus-gaap--StockIssuedDuringPerio"/>
      <w:bookmarkEnd w:id="448"/>
      <w:r>
        <w:rPr>
          <w:rFonts w:ascii="Times New Roman;Times;Serif" w:hAnsi="Times New Roman;Times;Serif"/>
          <w:b w:val="false"/>
          <w:i w:val="false"/>
          <w:caps w:val="false"/>
          <w:smallCaps w:val="false"/>
          <w:sz w:val="20"/>
        </w:rPr>
        <w:t>0.4583 shares of Common Stock. On February 24, 2025, all of the Series C preferred shares were converted in conjunction with the March 2025 Securities Purchase Agreement. As of June 30, 2026, there were no remaining shares of the Series C Preferred Stock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Series D preferred shares were converted in conjunction with the Purchase Agreement and as of June 30, 2026, there were no remaining shares of the Series D Preferred Stock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warrants to purchase a total of </w:t>
      </w:r>
      <w:bookmarkStart w:id="449" w:name="xdx_906_eus-gaap--ClassOfWarrantOrRightN"/>
      <w:bookmarkEnd w:id="449"/>
      <w:r>
        <w:rPr>
          <w:rFonts w:ascii="Times New Roman;Times;Serif" w:hAnsi="Times New Roman;Times;Serif"/>
          <w:b w:val="false"/>
          <w:i w:val="false"/>
          <w:caps w:val="false"/>
          <w:smallCaps w:val="false"/>
          <w:sz w:val="20"/>
        </w:rPr>
        <w:t xml:space="preserve">1,242 shares of common stock issued pursuant to a securities purchase agreement in an April 2024 financing transaction (the “April 2024 Securities Purchase Agreement”) remained outstanding. A total of </w:t>
      </w:r>
      <w:bookmarkStart w:id="450" w:name="xdx_903_ecustom--WarrantsIssued_iI_c2026"/>
      <w:bookmarkEnd w:id="450"/>
      <w:r>
        <w:rPr>
          <w:rFonts w:ascii="Times New Roman;Times;Serif" w:hAnsi="Times New Roman;Times;Serif"/>
          <w:b w:val="false"/>
          <w:i w:val="false"/>
          <w:caps w:val="false"/>
          <w:smallCaps w:val="false"/>
          <w:sz w:val="20"/>
        </w:rPr>
        <w:t xml:space="preserve">62,750 warrants were issued pursuant to the April 2024 Securities Purchase Agreement. This consisted of i) pre-funded warrants to purchase </w:t>
      </w:r>
      <w:bookmarkStart w:id="451" w:name="xdx_903_eus-gaap--ClassOfWarrantOrRightN"/>
      <w:bookmarkEnd w:id="451"/>
      <w:r>
        <w:rPr>
          <w:rFonts w:ascii="Times New Roman;Times;Serif" w:hAnsi="Times New Roman;Times;Serif"/>
          <w:b w:val="false"/>
          <w:i w:val="false"/>
          <w:caps w:val="false"/>
          <w:smallCaps w:val="false"/>
          <w:sz w:val="20"/>
        </w:rPr>
        <w:t>20,100 of common stock, exercisable immediately from the date of issuance, and with no expiry date, at an exercise price of $</w:t>
      </w:r>
      <w:bookmarkStart w:id="452" w:name="xdx_90A_eus-gaap--ClassOfWarrantOrRightE"/>
      <w:bookmarkEnd w:id="452"/>
      <w:r>
        <w:rPr>
          <w:rFonts w:ascii="Times New Roman;Times;Serif" w:hAnsi="Times New Roman;Times;Serif"/>
          <w:b w:val="false"/>
          <w:i w:val="false"/>
          <w:caps w:val="false"/>
          <w:smallCaps w:val="false"/>
          <w:sz w:val="20"/>
        </w:rPr>
        <w:t xml:space="preserve">0.24 per warrant share, ii) series A warrants to purchase up to </w:t>
      </w:r>
      <w:bookmarkStart w:id="453" w:name="xdx_905_eus-gaap--ClassOfWarrantOrRightN"/>
      <w:bookmarkEnd w:id="453"/>
      <w:r>
        <w:rPr>
          <w:rFonts w:ascii="Times New Roman;Times;Serif" w:hAnsi="Times New Roman;Times;Serif"/>
          <w:b w:val="false"/>
          <w:i w:val="false"/>
          <w:caps w:val="false"/>
          <w:smallCaps w:val="false"/>
          <w:sz w:val="20"/>
        </w:rPr>
        <w:t>20,704 shares of common stock, exercisable immediately from the date of issuance for a period of five and a half (</w:t>
      </w:r>
      <w:bookmarkStart w:id="454" w:name="xdx_90E_eus-gaap--WarrantsAndRightsOutst"/>
      <w:bookmarkEnd w:id="454"/>
      <w:r>
        <w:rPr>
          <w:rFonts w:ascii="Times New Roman;Times;Serif" w:hAnsi="Times New Roman;Times;Serif"/>
          <w:b w:val="false"/>
          <w:i w:val="false"/>
          <w:caps w:val="false"/>
          <w:smallCaps w:val="false"/>
          <w:sz w:val="20"/>
        </w:rPr>
        <w:t>5.5) years after the date of issuance, at an exercise price of $</w:t>
      </w:r>
      <w:bookmarkStart w:id="455" w:name="xdx_900_eus-gaap--ClassOfWarrantOrRightE"/>
      <w:bookmarkEnd w:id="455"/>
      <w:r>
        <w:rPr>
          <w:rFonts w:ascii="Times New Roman;Times;Serif" w:hAnsi="Times New Roman;Times;Serif"/>
          <w:b w:val="false"/>
          <w:i w:val="false"/>
          <w:caps w:val="false"/>
          <w:smallCaps w:val="false"/>
          <w:sz w:val="20"/>
        </w:rPr>
        <w:t xml:space="preserve">326.40 per warrant share, iii) series B warrants to purchase up to </w:t>
      </w:r>
      <w:bookmarkStart w:id="456" w:name="xdx_901_eus-gaap--ClassOfWarrantOrRightN"/>
      <w:bookmarkEnd w:id="456"/>
      <w:r>
        <w:rPr>
          <w:rFonts w:ascii="Times New Roman;Times;Serif" w:hAnsi="Times New Roman;Times;Serif"/>
          <w:b w:val="false"/>
          <w:i w:val="false"/>
          <w:caps w:val="false"/>
          <w:smallCaps w:val="false"/>
          <w:sz w:val="20"/>
        </w:rPr>
        <w:t>20,704 shares of common stock, exercisable immediately from the date of issuance for a period of eighteen months after the date of issuance, at an exercise price of $</w:t>
      </w:r>
      <w:bookmarkStart w:id="457" w:name="xdx_90B_eus-gaap--ClassOfWarrantOrRightE"/>
      <w:bookmarkEnd w:id="457"/>
      <w:r>
        <w:rPr>
          <w:rFonts w:ascii="Times New Roman;Times;Serif" w:hAnsi="Times New Roman;Times;Serif"/>
          <w:b w:val="false"/>
          <w:i w:val="false"/>
          <w:caps w:val="false"/>
          <w:smallCaps w:val="false"/>
          <w:sz w:val="20"/>
        </w:rPr>
        <w:t xml:space="preserve">326.40 per warrant share. The </w:t>
      </w:r>
      <w:bookmarkStart w:id="458" w:name="xdx_90C_eus-gaap--ClassOfWarrantOrRightN"/>
      <w:bookmarkEnd w:id="458"/>
      <w:r>
        <w:rPr>
          <w:rFonts w:ascii="Times New Roman;Times;Serif" w:hAnsi="Times New Roman;Times;Serif"/>
          <w:b w:val="false"/>
          <w:i w:val="false"/>
          <w:caps w:val="false"/>
          <w:smallCaps w:val="false"/>
          <w:sz w:val="20"/>
        </w:rPr>
        <w:t>1,242 Placement Agent Warrants issued pursuant to the Engagement Letter with the placement agent, are exercisable immediately from the date of issuance for a period of five and a half (</w:t>
      </w:r>
      <w:bookmarkStart w:id="459" w:name="xdx_90D_eus-gaap--WarrantsAndRightsOutst"/>
      <w:bookmarkEnd w:id="459"/>
      <w:r>
        <w:rPr>
          <w:rFonts w:ascii="Times New Roman;Times;Serif" w:hAnsi="Times New Roman;Times;Serif"/>
          <w:b w:val="false"/>
          <w:i w:val="false"/>
          <w:caps w:val="false"/>
          <w:smallCaps w:val="false"/>
          <w:sz w:val="20"/>
        </w:rPr>
        <w:t>5.5) years after the date of issuance, at an exercise price of $</w:t>
      </w:r>
      <w:bookmarkStart w:id="460" w:name="xdx_90E_eus-gaap--ClassOfWarrantOrRightE"/>
      <w:bookmarkEnd w:id="460"/>
      <w:r>
        <w:rPr>
          <w:rFonts w:ascii="Times New Roman;Times;Serif" w:hAnsi="Times New Roman;Times;Serif"/>
          <w:b w:val="false"/>
          <w:i w:val="false"/>
          <w:caps w:val="false"/>
          <w:smallCaps w:val="false"/>
          <w:sz w:val="20"/>
        </w:rPr>
        <w:t>124.512 per warrant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461" w:name="xdx_909_eus-gaap--ClassOfWarrantOrRightO"/>
      <w:bookmarkStart w:id="462" w:name="xdx_904_eus-gaap--ClassOfWarrantOrRightO"/>
      <w:bookmarkEnd w:id="461"/>
      <w:bookmarkEnd w:id="462"/>
      <w:r>
        <w:rPr>
          <w:rFonts w:ascii="Times New Roman;Times;Serif" w:hAnsi="Times New Roman;Times;Serif"/>
          <w:b w:val="false"/>
          <w:i w:val="false"/>
          <w:caps w:val="false"/>
          <w:smallCaps w:val="false"/>
          <w:sz w:val="20"/>
        </w:rPr>
        <w:t>no exercises of these warrants during the six months ended June 30, 2026 or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2023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warrants to purchase a total of </w:t>
      </w:r>
      <w:bookmarkStart w:id="463" w:name="xdx_90F_eus-gaap--ClassOfWarrantOrRightN"/>
      <w:bookmarkEnd w:id="463"/>
      <w:r>
        <w:rPr>
          <w:rFonts w:ascii="Times New Roman;Times;Serif" w:hAnsi="Times New Roman;Times;Serif"/>
          <w:b w:val="false"/>
          <w:i w:val="false"/>
          <w:caps w:val="false"/>
          <w:smallCaps w:val="false"/>
          <w:sz w:val="20"/>
        </w:rPr>
        <w:t xml:space="preserve">1,750 shares of common stock issued pursuant to a securities purchase agreement in a December 2023 financing transaction remained outstanding. A total of </w:t>
      </w:r>
      <w:bookmarkStart w:id="464" w:name="xdx_90C_ecustom--ClassOfWarrantOrRightsE"/>
      <w:bookmarkEnd w:id="464"/>
      <w:r>
        <w:rPr>
          <w:rFonts w:ascii="Times New Roman;Times;Serif" w:hAnsi="Times New Roman;Times;Serif"/>
          <w:b w:val="false"/>
          <w:i w:val="false"/>
          <w:caps w:val="false"/>
          <w:smallCaps w:val="false"/>
          <w:sz w:val="20"/>
        </w:rPr>
        <w:t xml:space="preserve">1,651 warrants, including </w:t>
      </w:r>
      <w:bookmarkStart w:id="465" w:name="xdx_907_ecustom--ClassOfWarrantOrRightsE"/>
      <w:bookmarkEnd w:id="465"/>
      <w:r>
        <w:rPr>
          <w:rFonts w:ascii="Times New Roman;Times;Serif" w:hAnsi="Times New Roman;Times;Serif"/>
          <w:b w:val="false"/>
          <w:i w:val="false"/>
          <w:caps w:val="false"/>
          <w:smallCaps w:val="false"/>
          <w:sz w:val="20"/>
        </w:rPr>
        <w:t>33 warrants issued in a concurrent private placement, are exercisable for a period of seven years after the date of issuance, at an exercise price of $</w:t>
      </w:r>
      <w:bookmarkStart w:id="466" w:name="xdx_90D_eus-gaap--ClassOfWarrantOrRightE"/>
      <w:bookmarkEnd w:id="466"/>
      <w:r>
        <w:rPr>
          <w:rFonts w:ascii="Times New Roman;Times;Serif" w:hAnsi="Times New Roman;Times;Serif"/>
          <w:b w:val="false"/>
          <w:i w:val="false"/>
          <w:caps w:val="false"/>
          <w:smallCaps w:val="false"/>
          <w:sz w:val="20"/>
        </w:rPr>
        <w:t xml:space="preserve">765.60 per warrant share. A further </w:t>
      </w:r>
      <w:bookmarkStart w:id="467" w:name="xdx_90E_ecustom--ClassOfWarrantOrRightsE"/>
      <w:bookmarkEnd w:id="467"/>
      <w:r>
        <w:rPr>
          <w:rFonts w:ascii="Times New Roman;Times;Serif" w:hAnsi="Times New Roman;Times;Serif"/>
          <w:b w:val="false"/>
          <w:i w:val="false"/>
          <w:caps w:val="false"/>
          <w:smallCaps w:val="false"/>
          <w:sz w:val="20"/>
        </w:rPr>
        <w:t xml:space="preserve">99 warrants issued in a concurrent placement agency agreement, are exercisable for a period of </w:t>
      </w:r>
      <w:bookmarkStart w:id="468" w:name="xdx_908_eus-gaap--WarrantsAndRightsOutst"/>
      <w:bookmarkEnd w:id="468"/>
      <w:r>
        <w:rPr>
          <w:rFonts w:ascii="Times New Roman;Times;Serif" w:hAnsi="Times New Roman;Times;Serif"/>
          <w:b w:val="false"/>
          <w:i w:val="false"/>
          <w:caps w:val="false"/>
          <w:smallCaps w:val="false"/>
          <w:sz w:val="20"/>
        </w:rPr>
        <w:t>five years after the date of issuance, at an exercise price of $</w:t>
      </w:r>
      <w:bookmarkStart w:id="469" w:name="xdx_90B_eus-gaap--ClassOfWarrantOrRightE"/>
      <w:bookmarkEnd w:id="469"/>
      <w:r>
        <w:rPr>
          <w:rFonts w:ascii="Times New Roman;Times;Serif" w:hAnsi="Times New Roman;Times;Serif"/>
          <w:b w:val="false"/>
          <w:i w:val="false"/>
          <w:caps w:val="false"/>
          <w:smallCaps w:val="false"/>
          <w:sz w:val="20"/>
        </w:rPr>
        <w:t>994.50 per warrant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470" w:name="xdx_90B_eus-gaap--ClassOfWarrantOrRightO"/>
      <w:bookmarkStart w:id="471" w:name="xdx_90F_eus-gaap--ClassOfWarrantOrRightO"/>
      <w:bookmarkEnd w:id="470"/>
      <w:bookmarkEnd w:id="471"/>
      <w:r>
        <w:rPr>
          <w:rFonts w:ascii="Times New Roman;Times;Serif" w:hAnsi="Times New Roman;Times;Serif"/>
          <w:b w:val="false"/>
          <w:i w:val="false"/>
          <w:caps w:val="false"/>
          <w:smallCaps w:val="false"/>
          <w:sz w:val="20"/>
        </w:rPr>
        <w:t>no exercises of these warrants during the six months ended June 30, 2026 or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Outstanding Preferred Stock</w:t>
      </w:r>
    </w:p>
    <w:p>
      <w:pPr>
        <w:pStyle w:val="TextBody"/>
        <w:bidi w:val="0"/>
        <w:spacing w:before="0" w:after="0"/>
        <w:ind w:left="0" w:right="0" w:firstLine="35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472" w:name="xdx_90B_eus-gaap--SaleOfStockNumberOfSha"/>
      <w:bookmarkEnd w:id="472"/>
      <w:r>
        <w:rPr>
          <w:rFonts w:ascii="Times New Roman;Times;Serif" w:hAnsi="Times New Roman;Times;Serif"/>
          <w:b w:val="false"/>
          <w:i w:val="false"/>
          <w:caps w:val="false"/>
          <w:smallCaps w:val="false"/>
          <w:sz w:val="20"/>
        </w:rPr>
        <w:t>8,872 shares of the Company’s Series A Preferred Stock were issued in a July 2017 Underwritten Public Offering. Each share of Series A Preferred Stock is convertible at any time at the option of the holder thereof, into a number of shares of common stock determined by dividing $</w:t>
      </w:r>
      <w:bookmarkStart w:id="473" w:name="xdx_90D_eus-gaap--SaleOfStockConsiderati"/>
      <w:bookmarkEnd w:id="473"/>
      <w:r>
        <w:rPr>
          <w:rFonts w:ascii="Times New Roman;Times;Serif" w:hAnsi="Times New Roman;Times;Serif"/>
          <w:b w:val="false"/>
          <w:i w:val="false"/>
          <w:caps w:val="false"/>
          <w:smallCaps w:val="false"/>
          <w:sz w:val="20"/>
        </w:rPr>
        <w:t>1,000 by the initial conversion price of $</w:t>
      </w:r>
      <w:bookmarkStart w:id="474" w:name="xdx_902_eus-gaap--PreferredStockConverti"/>
      <w:bookmarkEnd w:id="474"/>
      <w:r>
        <w:rPr>
          <w:rFonts w:ascii="Times New Roman;Times;Serif" w:hAnsi="Times New Roman;Times;Serif"/>
          <w:b w:val="false"/>
          <w:i w:val="false"/>
          <w:caps w:val="false"/>
          <w:smallCaps w:val="false"/>
          <w:sz w:val="20"/>
        </w:rPr>
        <w:t xml:space="preserve">144,000.00 per share, subject to a </w:t>
      </w:r>
      <w:bookmarkStart w:id="475" w:name="xdx_90A_ecustom--PercentageOfOutstanding"/>
      <w:bookmarkEnd w:id="475"/>
      <w:r>
        <w:rPr>
          <w:rFonts w:ascii="Times New Roman;Times;Serif" w:hAnsi="Times New Roman;Times;Serif"/>
          <w:b w:val="false"/>
          <w:i w:val="false"/>
          <w:caps w:val="false"/>
          <w:smallCaps w:val="false"/>
          <w:sz w:val="20"/>
        </w:rPr>
        <w:t xml:space="preserve">4.99% blocker provision, or, upon election by a holder prior to the issuance of shares of Series A Preferred Stock, </w:t>
      </w:r>
      <w:bookmarkStart w:id="476" w:name="xdx_907_ecustom--ConvertiblePreferredSto"/>
      <w:bookmarkEnd w:id="476"/>
      <w:r>
        <w:rPr>
          <w:rFonts w:ascii="Times New Roman;Times;Serif" w:hAnsi="Times New Roman;Times;Serif"/>
          <w:b w:val="false"/>
          <w:i w:val="false"/>
          <w:caps w:val="false"/>
          <w:smallCaps w:val="false"/>
          <w:sz w:val="20"/>
        </w:rPr>
        <w:t>9.99%, and is subject to adjustment for stock splits, stock dividends, distributions, subdivisions and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w:t>
      </w:r>
      <w:bookmarkStart w:id="477" w:name="xdx_909_eus-gaap--PreferredStockSharesOu"/>
      <w:bookmarkStart w:id="478" w:name="xdx_909_eus-gaap--PreferredStockSharesIs"/>
      <w:bookmarkStart w:id="479" w:name="xdx_90E_eus-gaap--PreferredStockSharesOu"/>
      <w:bookmarkStart w:id="480" w:name="xdx_907_eus-gaap--PreferredStockSharesIs"/>
      <w:bookmarkEnd w:id="477"/>
      <w:bookmarkEnd w:id="478"/>
      <w:bookmarkEnd w:id="479"/>
      <w:bookmarkEnd w:id="480"/>
      <w:r>
        <w:rPr>
          <w:rFonts w:ascii="Times New Roman;Times;Serif" w:hAnsi="Times New Roman;Times;Serif"/>
          <w:b w:val="false"/>
          <w:i w:val="false"/>
          <w:caps w:val="false"/>
          <w:smallCaps w:val="false"/>
          <w:sz w:val="20"/>
        </w:rPr>
        <w:t xml:space="preserve">264 shares of the Series A Preferred Stock remain issued and outstanding. The </w:t>
      </w:r>
      <w:bookmarkStart w:id="481" w:name="xdx_902_eus-gaap--PreferredStockSharesOu"/>
      <w:bookmarkStart w:id="482" w:name="xdx_90C_eus-gaap--PreferredStockSharesIs"/>
      <w:bookmarkStart w:id="483" w:name="xdx_903_eus-gaap--PreferredStockSharesOu"/>
      <w:bookmarkStart w:id="484" w:name="xdx_904_eus-gaap--PreferredStockSharesIs"/>
      <w:bookmarkEnd w:id="481"/>
      <w:bookmarkEnd w:id="482"/>
      <w:bookmarkEnd w:id="483"/>
      <w:bookmarkEnd w:id="484"/>
      <w:r>
        <w:rPr>
          <w:rFonts w:ascii="Times New Roman;Times;Serif" w:hAnsi="Times New Roman;Times;Serif"/>
          <w:b w:val="false"/>
          <w:i w:val="false"/>
          <w:caps w:val="false"/>
          <w:smallCaps w:val="false"/>
          <w:sz w:val="20"/>
        </w:rPr>
        <w:t xml:space="preserve">264 shares of Series A Preferred Stock issued and outstanding at June 30, 2026, are convertible into </w:t>
      </w:r>
      <w:bookmarkStart w:id="485" w:name="xdx_901_eus-gaap--ConvertiblePreferredSt"/>
      <w:bookmarkEnd w:id="485"/>
      <w:r>
        <w:rPr>
          <w:rFonts w:ascii="Times New Roman;Times;Serif" w:hAnsi="Times New Roman;Times;Serif"/>
          <w:b w:val="false"/>
          <w:i w:val="false"/>
          <w:caps w:val="false"/>
          <w:smallCaps w:val="false"/>
          <w:sz w:val="20"/>
        </w:rPr>
        <w:t>2 shares of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liquidation, the holders of shares of the Series A Preferred Stock may participate on an as-converted-to-common-stock basis in any distribution of assets of the Company. The Company shall not pay any dividends on shares of common stock (other than dividends in the form of common stock) unless and until such time as dividends on each share of Series A Preferred Stock are paid on an as-converted basis. There is no restriction on the Company’s ability to repurchase shares of Series A Preferred Stock while there is an arrearage in the payment of dividends on such shares, and there are no sinking fund provisions applicable to Series A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certain conditions, at any time following the issuance of the Series A Preferred Stock, the Company has the right to cause each holder of the Series A Preferred Stock to convert all or part of such holder’s Series A Preferred Stock in the event that (i) the volume weighted average price of our common stock for 30 consecutive trading days, or Measurement Period exceeds </w:t>
      </w:r>
      <w:bookmarkStart w:id="486" w:name="xdx_905_ecustom--PercentageOfOutstanding"/>
      <w:bookmarkEnd w:id="486"/>
      <w:r>
        <w:rPr>
          <w:rFonts w:ascii="Times New Roman;Times;Serif" w:hAnsi="Times New Roman;Times;Serif"/>
          <w:b w:val="false"/>
          <w:i w:val="false"/>
          <w:caps w:val="false"/>
          <w:smallCaps w:val="false"/>
          <w:sz w:val="20"/>
        </w:rPr>
        <w:t>300% of the initial conversion price of the Series A Preferred Stock (subject to adjustment for forward and reverse stock splits, recapitalizations, stock dividends and similar transactions), (ii) the daily trading volume on each Trading Day during such Measurement Period exceeds $</w:t>
      </w:r>
      <w:bookmarkStart w:id="487" w:name="xdx_90B_eus-gaap--ConversionOfStockAmoun"/>
      <w:bookmarkEnd w:id="487"/>
      <w:r>
        <w:rPr>
          <w:rFonts w:ascii="Times New Roman;Times;Serif" w:hAnsi="Times New Roman;Times;Serif"/>
          <w:b w:val="false"/>
          <w:i w:val="false"/>
          <w:caps w:val="false"/>
          <w:smallCaps w:val="false"/>
          <w:sz w:val="20"/>
        </w:rPr>
        <w:t>500,000 per trading day and (iii) the holder is not in possession of any information that constitutes or might constitute, material non-public information which was provided by the Company. The right to cause each holder of Series A Preferred Stock to convert all or part of such holder’s Series A Preferred Stock shall be exercised ratably among the holders of the then outstanding preferred stock.</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has no maturity date, will carry the same dividend rights as the common stock, and with certain exceptions contains no voting rights. In the event of any liquidation or dissolution of the Company, the Series A Preferred Stock ranks senior to the common stock in the distribution of assets, to the extent legally available for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 Convertible Exchangeable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were </w:t>
      </w:r>
      <w:bookmarkStart w:id="488" w:name="xdx_90F_eus-gaap--PreferredStockSharesIs"/>
      <w:bookmarkEnd w:id="488"/>
      <w:r>
        <w:rPr>
          <w:rFonts w:ascii="Times New Roman;Times;Serif" w:hAnsi="Times New Roman;Times;Serif"/>
          <w:b w:val="false"/>
          <w:i w:val="false"/>
          <w:caps w:val="false"/>
          <w:smallCaps w:val="false"/>
          <w:sz w:val="20"/>
        </w:rPr>
        <w:t xml:space="preserve">135,273 shares of the Company’s </w:t>
      </w:r>
      <w:bookmarkStart w:id="489" w:name="xdx_903_eus-gaap--PreferredStockDividend"/>
      <w:bookmarkEnd w:id="489"/>
      <w:r>
        <w:rPr>
          <w:rFonts w:ascii="Times New Roman;Times;Serif" w:hAnsi="Times New Roman;Times;Serif"/>
          <w:b w:val="false"/>
          <w:i w:val="false"/>
          <w:caps w:val="false"/>
          <w:smallCaps w:val="false"/>
          <w:sz w:val="20"/>
        </w:rPr>
        <w:t>6% Convertible Exchangeable Preferred Stock (the “6% Preferred Stock”) issued and outstanding at an issue price of $</w:t>
      </w:r>
      <w:bookmarkStart w:id="490" w:name="xdx_90E_eus-gaap--SharesIssuedPricePerSh"/>
      <w:bookmarkEnd w:id="490"/>
      <w:r>
        <w:rPr>
          <w:rFonts w:ascii="Times New Roman;Times;Serif" w:hAnsi="Times New Roman;Times;Serif"/>
          <w:b w:val="false"/>
          <w:i w:val="false"/>
          <w:caps w:val="false"/>
          <w:smallCaps w:val="false"/>
          <w:sz w:val="20"/>
        </w:rPr>
        <w:t xml:space="preserve">10.00 per share. Dividends on the </w:t>
      </w:r>
      <w:bookmarkStart w:id="491" w:name="xdx_90B_eus-gaap--PreferredStockDividend"/>
      <w:bookmarkEnd w:id="491"/>
      <w:r>
        <w:rPr>
          <w:rFonts w:ascii="Times New Roman;Times;Serif" w:hAnsi="Times New Roman;Times;Serif"/>
          <w:b w:val="false"/>
          <w:i w:val="false"/>
          <w:caps w:val="false"/>
          <w:smallCaps w:val="false"/>
          <w:sz w:val="20"/>
        </w:rPr>
        <w:t xml:space="preserve">6% Preferred Stock are cumulative from the date of original issuance at the annual rate of </w:t>
      </w:r>
      <w:bookmarkStart w:id="492" w:name="xdx_90A_eus-gaap--PreferredStockDividend"/>
      <w:bookmarkEnd w:id="492"/>
      <w:r>
        <w:rPr>
          <w:rFonts w:ascii="Times New Roman;Times;Serif" w:hAnsi="Times New Roman;Times;Serif"/>
          <w:b w:val="false"/>
          <w:i w:val="false"/>
          <w:caps w:val="false"/>
          <w:smallCaps w:val="false"/>
          <w:sz w:val="20"/>
        </w:rPr>
        <w:t xml:space="preserve">6% of the liquidation preference of the </w:t>
      </w:r>
      <w:bookmarkStart w:id="493" w:name="xdx_90F_eus-gaap--PreferredStockDividend"/>
      <w:bookmarkEnd w:id="493"/>
      <w:r>
        <w:rPr>
          <w:rFonts w:ascii="Times New Roman;Times;Serif" w:hAnsi="Times New Roman;Times;Serif"/>
          <w:b w:val="false"/>
          <w:i w:val="false"/>
          <w:caps w:val="false"/>
          <w:smallCaps w:val="false"/>
          <w:sz w:val="20"/>
        </w:rPr>
        <w:t xml:space="preserve">6% Preferred Stock, payable quarterly on the first day of February, May, August and November, commencing February 1, 2005. Any dividends must be declared by the Company’s board of directors and must come from funds that are legally available for dividend payments. The </w:t>
      </w:r>
      <w:bookmarkStart w:id="494" w:name="xdx_907_eus-gaap--PreferredStockDividend"/>
      <w:bookmarkEnd w:id="494"/>
      <w:r>
        <w:rPr>
          <w:rFonts w:ascii="Times New Roman;Times;Serif" w:hAnsi="Times New Roman;Times;Serif"/>
          <w:b w:val="false"/>
          <w:i w:val="false"/>
          <w:caps w:val="false"/>
          <w:smallCaps w:val="false"/>
          <w:sz w:val="20"/>
        </w:rPr>
        <w:t>6% Preferred Stock has a liquidation preference of $</w:t>
      </w:r>
      <w:bookmarkStart w:id="495" w:name="xdx_902_eus-gaap--PreferredStockLiquidat"/>
      <w:bookmarkEnd w:id="495"/>
      <w:r>
        <w:rPr>
          <w:rFonts w:ascii="Times New Roman;Times;Serif" w:hAnsi="Times New Roman;Times;Serif"/>
          <w:b w:val="false"/>
          <w:i w:val="false"/>
          <w:caps w:val="false"/>
          <w:smallCaps w:val="false"/>
          <w:sz w:val="20"/>
        </w:rPr>
        <w:t>10.00 per share, plus accrued and unpaid dividends. As of June 30, 2026, there were no accrued and unpaid 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automatically convert the </w:t>
      </w:r>
      <w:bookmarkStart w:id="496" w:name="xdx_909_eus-gaap--PreferredStockDividend"/>
      <w:bookmarkEnd w:id="496"/>
      <w:r>
        <w:rPr>
          <w:rFonts w:ascii="Times New Roman;Times;Serif" w:hAnsi="Times New Roman;Times;Serif"/>
          <w:b w:val="false"/>
          <w:i w:val="false"/>
          <w:caps w:val="false"/>
          <w:smallCaps w:val="false"/>
          <w:sz w:val="20"/>
        </w:rPr>
        <w:t>6% Preferred Stock into common stock if the per share closing price of the Company’s common stock has exceeded a per share price of $</w:t>
      </w:r>
      <w:bookmarkStart w:id="497" w:name="xdx_90B_eus-gaap--ConversionOfStockAmoun"/>
      <w:bookmarkEnd w:id="497"/>
      <w:r>
        <w:rPr>
          <w:rFonts w:ascii="Times New Roman;Times;Serif" w:hAnsi="Times New Roman;Times;Serif"/>
          <w:b w:val="false"/>
          <w:i w:val="false"/>
          <w:caps w:val="false"/>
          <w:smallCaps w:val="false"/>
          <w:sz w:val="20"/>
        </w:rPr>
        <w:t xml:space="preserve">213,192,000, which is </w:t>
      </w:r>
      <w:bookmarkStart w:id="498" w:name="xdx_90F_eus-gaap--DebtInstrumentRedempti"/>
      <w:bookmarkEnd w:id="498"/>
      <w:r>
        <w:rPr>
          <w:rFonts w:ascii="Times New Roman;Times;Serif" w:hAnsi="Times New Roman;Times;Serif"/>
          <w:b w:val="false"/>
          <w:i w:val="false"/>
          <w:caps w:val="false"/>
          <w:smallCaps w:val="false"/>
          <w:sz w:val="20"/>
        </w:rPr>
        <w:t xml:space="preserve">150% of the conversion price of the </w:t>
      </w:r>
      <w:bookmarkStart w:id="499" w:name="xdx_90D_eus-gaap--PreferredStockDividend"/>
      <w:bookmarkEnd w:id="499"/>
      <w:r>
        <w:rPr>
          <w:rFonts w:ascii="Times New Roman;Times;Serif" w:hAnsi="Times New Roman;Times;Serif"/>
          <w:b w:val="false"/>
          <w:i w:val="false"/>
          <w:caps w:val="false"/>
          <w:smallCaps w:val="false"/>
          <w:sz w:val="20"/>
        </w:rPr>
        <w:t>6% Preferred Stock, for at least 20 trading days during any 30 day trading period, ending within five trading days prior to notice of automatic 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500" w:name="xdx_908_eus-gaap--PreferredStockDividend"/>
      <w:bookmarkEnd w:id="500"/>
      <w:r>
        <w:rPr>
          <w:rFonts w:ascii="Times New Roman;Times;Serif" w:hAnsi="Times New Roman;Times;Serif"/>
          <w:b w:val="false"/>
          <w:i w:val="false"/>
          <w:caps w:val="false"/>
          <w:smallCaps w:val="false"/>
          <w:sz w:val="20"/>
        </w:rPr>
        <w:t>6% Preferred Stock has no maturity date and no voting rights prior to conversion into common stock, except under limited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at its option, redeem the </w:t>
      </w:r>
      <w:bookmarkStart w:id="501" w:name="xdx_907_eus-gaap--PreferredStockDividend"/>
      <w:bookmarkEnd w:id="501"/>
      <w:r>
        <w:rPr>
          <w:rFonts w:ascii="Times New Roman;Times;Serif" w:hAnsi="Times New Roman;Times;Serif"/>
          <w:b w:val="false"/>
          <w:i w:val="false"/>
          <w:caps w:val="false"/>
          <w:smallCaps w:val="false"/>
          <w:sz w:val="20"/>
        </w:rPr>
        <w:t>6% Preferred Stock in whole or in part, out of funds legally available at the redemption price of $</w:t>
      </w:r>
      <w:bookmarkStart w:id="502" w:name="xdx_90E_eus-gaap--PreferredStockRedempti"/>
      <w:bookmarkEnd w:id="502"/>
      <w:r>
        <w:rPr>
          <w:rFonts w:ascii="Times New Roman;Times;Serif" w:hAnsi="Times New Roman;Times;Serif"/>
          <w:b w:val="false"/>
          <w:i w:val="false"/>
          <w:caps w:val="false"/>
          <w:smallCaps w:val="false"/>
          <w:sz w:val="20"/>
        </w:rPr>
        <w:t>10.00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503" w:name="xdx_907_eus-gaap--PreferredStockDividend"/>
      <w:bookmarkEnd w:id="503"/>
      <w:r>
        <w:rPr>
          <w:rFonts w:ascii="Times New Roman;Times;Serif" w:hAnsi="Times New Roman;Times;Serif"/>
          <w:b w:val="false"/>
          <w:i w:val="false"/>
          <w:caps w:val="false"/>
          <w:smallCaps w:val="false"/>
          <w:sz w:val="20"/>
        </w:rPr>
        <w:t xml:space="preserve">6% Preferred Stock is exchangeable, in whole but not in part, at the option of the Company on any dividend payment date beginning on November 1, 2005 (the “Exchange Date”) for the Company’s </w:t>
      </w:r>
      <w:bookmarkStart w:id="504" w:name="xdx_90A_eus-gaap--PreferredStockDividend"/>
      <w:bookmarkEnd w:id="504"/>
      <w:r>
        <w:rPr>
          <w:rFonts w:ascii="Times New Roman;Times;Serif" w:hAnsi="Times New Roman;Times;Serif"/>
          <w:b w:val="false"/>
          <w:i w:val="false"/>
          <w:caps w:val="false"/>
          <w:smallCaps w:val="false"/>
          <w:sz w:val="20"/>
        </w:rPr>
        <w:t>6% Convertible Subordinated Debentures (the “Debentures”) at the rate of $</w:t>
      </w:r>
      <w:bookmarkStart w:id="505" w:name="xdx_906_eus-gaap--PreferredStockRedempti"/>
      <w:bookmarkEnd w:id="505"/>
      <w:r>
        <w:rPr>
          <w:rFonts w:ascii="Times New Roman;Times;Serif" w:hAnsi="Times New Roman;Times;Serif"/>
          <w:b w:val="false"/>
          <w:i w:val="false"/>
          <w:caps w:val="false"/>
          <w:smallCaps w:val="false"/>
          <w:sz w:val="20"/>
        </w:rPr>
        <w:t xml:space="preserve">10.00 principal amount of Debentures for each share of </w:t>
      </w:r>
      <w:bookmarkStart w:id="506" w:name="xdx_90C_eus-gaap--PreferredStockDividend"/>
      <w:bookmarkEnd w:id="506"/>
      <w:r>
        <w:rPr>
          <w:rFonts w:ascii="Times New Roman;Times;Serif" w:hAnsi="Times New Roman;Times;Serif"/>
          <w:b w:val="false"/>
          <w:i w:val="false"/>
          <w:caps w:val="false"/>
          <w:smallCaps w:val="false"/>
          <w:sz w:val="20"/>
        </w:rPr>
        <w:t xml:space="preserve">6% Preferred Stock. The Debentures, if issued, will mature </w:t>
      </w:r>
      <w:bookmarkStart w:id="507" w:name="xdx_909_eus-gaap--DebtInstrumentTerm_dtY"/>
      <w:bookmarkEnd w:id="507"/>
      <w:r>
        <w:rPr>
          <w:rFonts w:ascii="Times New Roman;Times;Serif" w:hAnsi="Times New Roman;Times;Serif"/>
          <w:b w:val="false"/>
          <w:i w:val="false"/>
          <w:caps w:val="false"/>
          <w:smallCaps w:val="false"/>
          <w:sz w:val="20"/>
        </w:rPr>
        <w:t xml:space="preserve">25 years after the Exchange Date and have substantially similar terms to those of the </w:t>
      </w:r>
      <w:bookmarkStart w:id="508" w:name="xdx_90C_eus-gaap--PreferredStockDividend"/>
      <w:bookmarkEnd w:id="508"/>
      <w:r>
        <w:rPr>
          <w:rFonts w:ascii="Times New Roman;Times;Serif" w:hAnsi="Times New Roman;Times;Serif"/>
          <w:b w:val="false"/>
          <w:i w:val="false"/>
          <w:caps w:val="false"/>
          <w:smallCaps w:val="false"/>
          <w:sz w:val="20"/>
        </w:rPr>
        <w:t>6% Preferred Stock. No such exchanges have taken place to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9" w:name="xdx_808_eus-gaap--SubsequentEventsTextBl"/>
      <w:bookmarkEnd w:id="509"/>
      <w:r>
        <w:rPr>
          <w:rFonts w:ascii="Times New Roman;Times;Serif" w:hAnsi="Times New Roman;Times;Serif"/>
          <w:b/>
          <w:i w:val="false"/>
          <w:caps w:val="false"/>
          <w:smallCaps w:val="false"/>
          <w:sz w:val="20"/>
        </w:rPr>
        <w:t xml:space="preserve">13. </w:t>
      </w:r>
      <w:bookmarkStart w:id="510" w:name="xdx_82C_zJUEZTls9uaj"/>
      <w:bookmarkEnd w:id="510"/>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 on 6%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t>
      </w:r>
      <w:bookmarkStart w:id="511" w:name="xdx_90D_ecustom--DividendsPreferredStock"/>
      <w:bookmarkEnd w:id="511"/>
      <w:r>
        <w:rPr>
          <w:rFonts w:ascii="Times New Roman;Times;Serif" w:hAnsi="Times New Roman;Times;Serif"/>
          <w:b w:val="false"/>
          <w:i w:val="false"/>
          <w:caps w:val="false"/>
          <w:smallCaps w:val="false"/>
          <w:sz w:val="20"/>
        </w:rPr>
        <w:t>July 1, 2026, the board of directors of the Company declared a quarterly cash dividend of $</w:t>
      </w:r>
      <w:bookmarkStart w:id="512" w:name="xdx_90E_eus-gaap--PreferredStockDividend"/>
      <w:bookmarkEnd w:id="512"/>
      <w:r>
        <w:rPr>
          <w:rFonts w:ascii="Times New Roman;Times;Serif" w:hAnsi="Times New Roman;Times;Serif"/>
          <w:b w:val="false"/>
          <w:i w:val="false"/>
          <w:caps w:val="false"/>
          <w:smallCaps w:val="false"/>
          <w:sz w:val="20"/>
        </w:rPr>
        <w:t xml:space="preserve">0.15 per share on the Company’s </w:t>
      </w:r>
      <w:bookmarkStart w:id="513" w:name="xdx_90A_eus-gaap--PreferredStockDividend"/>
      <w:bookmarkEnd w:id="513"/>
      <w:r>
        <w:rPr>
          <w:rFonts w:ascii="Times New Roman;Times;Serif" w:hAnsi="Times New Roman;Times;Serif"/>
          <w:b w:val="false"/>
          <w:i w:val="false"/>
          <w:caps w:val="false"/>
          <w:smallCaps w:val="false"/>
          <w:sz w:val="20"/>
        </w:rPr>
        <w:t xml:space="preserve">6% Convertible Exchangeable Preferred Stock scheduled for August 1, 2026. The cash dividend was paid on </w:t>
      </w:r>
      <w:bookmarkStart w:id="514" w:name="xdx_900_ecustom--DividendsPreferredStock"/>
      <w:bookmarkEnd w:id="514"/>
      <w:r>
        <w:rPr>
          <w:rFonts w:ascii="Times New Roman;Times;Serif" w:hAnsi="Times New Roman;Times;Serif"/>
          <w:b w:val="false"/>
          <w:i w:val="false"/>
          <w:caps w:val="false"/>
          <w:smallCaps w:val="false"/>
          <w:sz w:val="20"/>
        </w:rPr>
        <w:t xml:space="preserve">August 1, 2026, to Preferred Stock stockholders of record as of the close of business on </w:t>
      </w:r>
      <w:bookmarkStart w:id="515" w:name="xdx_90E_ecustom--DividendsPreferredStock"/>
      <w:bookmarkEnd w:id="515"/>
      <w:r>
        <w:rPr>
          <w:rFonts w:ascii="Times New Roman;Times;Serif" w:hAnsi="Times New Roman;Times;Serif"/>
          <w:b w:val="false"/>
          <w:i w:val="false"/>
          <w:caps w:val="false"/>
          <w:smallCaps w:val="false"/>
          <w:sz w:val="20"/>
        </w:rPr>
        <w:t>July 23, 2026. The Board of Directors will continue to evaluate the payment of a quarterly cash dividend on a quarterly basis.</w:t>
      </w:r>
    </w:p>
    <w:p>
      <w:pPr>
        <w:pStyle w:val="TextBody"/>
        <w:bidi w:val="0"/>
        <w:spacing w:before="0" w:after="0"/>
        <w:ind w:left="0" w:right="0" w:firstLine="360"/>
        <w:jc w:val="both"/>
        <w:rPr>
          <w:caps w:val="false"/>
          <w:smallCaps w:val="false"/>
        </w:rPr>
      </w:pPr>
      <w:bookmarkStart w:id="516" w:name="xdx_815_zGvSt7Nwbfq8"/>
      <w:bookmarkEnd w:id="51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7" w:name="ns_009"/>
      <w:bookmarkEnd w:id="517"/>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Quarterly Report on Form 10-Q, including, without limitation, Management’s Discussion and Analysis of Financial Condition and Results of Operations, contains “forward-looking statements” within the meaning of Section 27A of the Securities Act of 1933, as amended (the “Securities Act”), and Section 21E of the Securities Exchange Act of 1934, as amended (the “Exchange Act”). We intend that the forward-looking statements be covered by the safe harbor for forward-looking statements in the Exchange Act. The forward-looking information is based on various factors and was derived using numerous assumptions. All statements, other than statements of historical fact, that address activities, events or developments that we intend, expect, project, believe or anticipate will or may occur in the future are forward-looking statements. Such statements are based upon certain assumptions and assessments made by our management in light of their experience and their perception of historical trends, current conditions, expected future developments and other factors they believe to be appropriate. These forward-looking statements are usually accompanied by words such as “believe,” “anticipate,” “plan,” “seek,” “expect,” “intend” and similar expressions.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 necessarily involve risks and uncertainties, and our actual results could differ materially from those anticipated in the forward-looking statements due to a number of factors, including those set forth in Part I, Item 1A, entitled “Risk Factors,” of our Annual Report on Form 10-K for the year ended December 31, 2025, as updated and supplemented by Part II, Item 1A, entitled “Risk Factors,” of our Quarterly Reports on Form 10-Q, and elsewhere in this report. These factors as well as other cautionary statements made in this Quarterly Report on Form 10-Q, should be read and understood as being applicable to all related forward-looking statements wherever they appear herein. The forward-looking statements contained in this Quarterly Report on Form 10-Q represent our judgment as of the date hereof. We encourage you to read those descriptions carefully. We caution you not to place undue reliance on the forward-looking statements contained in this report. These statements, like all statements in this report, speak only as of the date of this report (unless an earlier date is indicated) and we undertake no obligation to update or revise the statements except as required by law. Such forward-looking statements are not guarantees of future performance and actual results will likely differ, perhaps materially, from those suggested by such forward-looking statements. In this report, “BGMS,” the “Company,” “we,” “us,” and “our” refer to Bio Green Med Solution,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diversified company that was formerly engaged in the biopharmaceutical industry but as of September 2025 has shifted our operations to focus on provision of fire safety protection and distribution activities. Specifically, on September 12, 2025, we completed our acquisition of Fitters Sdn. Bhd., a Malaysia-based group specializing in fire protection products and services. Headquartered in Malaysia, we are now focused on advancing opportunities across these distinct sectors whilst maintaining our commitment to driving long-term value creation for our stockholders. From the time of acquisition, substantially all of our efforts of the Company have been focused on the supply and trading of protective and fire safety equipment providing a wide range of fire safety products, including fire extinguishers, foam systems, fire-resistant doors, personal protective equipment, and fire safety apparel. Our mission is to deliver high-quality, certified safety solutions that enhance protection across commercial, industrial, healthcare, and residential sectors with a focus on trading and distribution to position us as a key player in Malaysia’s fire safety market, with a reputation for reliability and compliance with stringent regulatory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our former wholly owned United Kingdom subsidiary, Cyclacel Limited, entered into a creditors voluntary liquidation. Upon the commencement of the liquidation of Cyclacel Limited, we lost operational and strategic control over Cyclacel Limited and the financial results of Cyclacel Limited have been deconsolidated from the Company as of January 24, 2025. The deconsolidation of the subsidiary resulted in a gain on deconsolidation of approximately $5.0 million shown as a component of discontinued operations within the income statement for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we used net cash of $0.6 million to fund our operating activities. We have cash and cash equivalents of $3.8 million as of June 30, 2026, which will allow us to meet our liquidity requirements into the first quarter of 2027. However, there remains substantial doubt about our ability to continue as a going concern. We are currently investigating ways to raise additional capital through private equity financing or by entering into a strategic transaction. In the event that we are not able to secure funding, we may be forced to curtail operations, delay or stop ongoing development activities, cease operations altogether, and/or file for bankruptcy.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that we can continue as an on-going business for the next twelve months. Although we expect our recently acquired subsidiary, Fitters Sdn. Bhd., to be profitable, it is yet to be determined if any future profits from this division can sustain the entire group. Accordingly, we must raise cash from sources other than operations. Our only other source for cash at this time is investments by others in our company. We must raise cash to implement our business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current economic environment, characterized by a global growth slowdown with risks tilted to the downside, and our lack of funding to implement our business plan, our Board of Directors has begun to analyze strategic alternatives available to the Company to continue as a going concern. Such alternatives include raising additional debt or equity financing or consummating a merger or acquisition with a partner that may involve a change in our business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Board of Directors’ preference would be to obtain additional funding to implement our business plan, the Board believes that it must consider all viable strategic alternatives that are in the best interests of our shareholders. Such strategic alternatives include a merger, acquisition, share exchange, asset purchase, or similar transaction. We believe we would be an attractive candidate for such a business combination due to the perceived benefits of being a publicly listed company, thereby providing a transaction partner access to the public marketplace to raise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key liquidity measures as of the six months ended June 30, 2026 and June 30, 2025 (in $000s):</w:t>
      </w:r>
    </w:p>
    <w:p>
      <w:pPr>
        <w:pStyle w:val="TextBody"/>
        <w:bidi w:val="0"/>
        <w:spacing w:before="0" w:after="0"/>
        <w:ind w:left="0" w:right="0" w:firstLine="720"/>
        <w:jc w:val="left"/>
        <w:rPr>
          <w:caps w:val="false"/>
          <w:smallCaps w:val="false"/>
        </w:rPr>
      </w:pPr>
      <w:r>
        <w:rPr>
          <w:caps w:val="false"/>
          <w:smallCaps w:val="false"/>
        </w:rPr>
        <w:t> </w:t>
      </w:r>
    </w:p>
    <w:tbl>
      <w:tblPr>
        <w:tblW w:w="4250" w:type="dxa"/>
        <w:jc w:val="left"/>
        <w:tblInd w:w="0" w:type="dxa"/>
        <w:tblLayout w:type="fixed"/>
        <w:tblCellMar>
          <w:top w:w="0" w:type="dxa"/>
          <w:left w:w="0" w:type="dxa"/>
          <w:bottom w:w="0" w:type="dxa"/>
          <w:right w:w="0" w:type="dxa"/>
        </w:tblCellMar>
      </w:tblPr>
      <w:tblGrid>
        <w:gridCol w:w="2525"/>
        <w:gridCol w:w="60"/>
        <w:gridCol w:w="140"/>
        <w:gridCol w:w="560"/>
        <w:gridCol w:w="95"/>
        <w:gridCol w:w="60"/>
        <w:gridCol w:w="140"/>
        <w:gridCol w:w="560"/>
        <w:gridCol w:w="11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4,275</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both"/>
              <w:rPr/>
            </w:pPr>
            <w:r>
              <w:rPr/>
              <w:t>Working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4,383</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both"/>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(692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(760</w:t>
            </w:r>
          </w:p>
        </w:tc>
        <w:tc>
          <w:tcPr>
            <w:tcW w:w="110" w:type="dxa"/>
            <w:tcBorders/>
            <w:shd w:fill="FFFFFF" w:val="clear"/>
            <w:vAlign w:val="center"/>
          </w:tcPr>
          <w:p>
            <w:pPr>
              <w:pStyle w:val="TableContents"/>
              <w:bidi w:val="0"/>
              <w:spacing w:before="0" w:after="283"/>
              <w:jc w:val="left"/>
              <w:rPr/>
            </w:pPr>
            <w:r>
              <w:rPr/>
              <w:t>)</w:t>
            </w:r>
          </w:p>
        </w:tc>
      </w:tr>
      <w:tr>
        <w:trPr/>
        <w:tc>
          <w:tcPr>
            <w:tcW w:w="2525" w:type="dxa"/>
            <w:tcBorders/>
            <w:shd w:fill="CCEEFF" w:val="clear"/>
            <w:vAlign w:val="center"/>
          </w:tcPr>
          <w:p>
            <w:pPr>
              <w:pStyle w:val="TableContents"/>
              <w:bidi w:val="0"/>
              <w:spacing w:before="0" w:after="283"/>
              <w:jc w:val="both"/>
              <w:rPr/>
            </w:pPr>
            <w:r>
              <w:rPr/>
              <w:t>Total working capital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5,277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3,623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relied primarily on the proceeds from sales of common and preferred equity securities to finance our operations and internal growth. Additional funding has come through research and development tax credits, government grants, the sale of product rights, interest on investments and licensing revenue. We have incurred significant losses since our inception. As of June 30, 2026, we had an accumulated deficit of $455.0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from operating, investing and financing activities for the six months ended June 30, 2026 and June 30, 2025 is summarized as follows (in $000s):</w:t>
      </w:r>
    </w:p>
    <w:p>
      <w:pPr>
        <w:pStyle w:val="TextBody"/>
        <w:bidi w:val="0"/>
        <w:spacing w:before="0" w:after="0"/>
        <w:ind w:left="0" w:right="0" w:firstLine="720"/>
        <w:jc w:val="left"/>
        <w:rPr>
          <w:caps w:val="false"/>
          <w:smallCaps w:val="false"/>
        </w:rPr>
      </w:pPr>
      <w:r>
        <w:rPr>
          <w:caps w:val="false"/>
          <w:smallCaps w:val="false"/>
        </w:rPr>
        <w:t> </w:t>
      </w:r>
    </w:p>
    <w:tbl>
      <w:tblPr>
        <w:tblW w:w="7527" w:type="dxa"/>
        <w:jc w:val="left"/>
        <w:tblInd w:w="0" w:type="dxa"/>
        <w:tblLayout w:type="fixed"/>
        <w:tblCellMar>
          <w:top w:w="0" w:type="dxa"/>
          <w:left w:w="0" w:type="dxa"/>
          <w:bottom w:w="0" w:type="dxa"/>
          <w:right w:w="0" w:type="dxa"/>
        </w:tblCellMar>
      </w:tblPr>
      <w:tblGrid>
        <w:gridCol w:w="4535"/>
        <w:gridCol w:w="60"/>
        <w:gridCol w:w="259"/>
        <w:gridCol w:w="842"/>
        <w:gridCol w:w="175"/>
        <w:gridCol w:w="111"/>
        <w:gridCol w:w="259"/>
        <w:gridCol w:w="1176"/>
        <w:gridCol w:w="110"/>
      </w:tblGrid>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842" w:type="dxa"/>
            <w:tcBorders/>
            <w:shd w:fill="CCEEFF" w:val="clear"/>
            <w:vAlign w:val="center"/>
          </w:tcPr>
          <w:p>
            <w:pPr>
              <w:pStyle w:val="TableContents"/>
              <w:bidi w:val="0"/>
              <w:spacing w:before="0" w:after="283"/>
              <w:jc w:val="right"/>
              <w:rPr/>
            </w:pPr>
            <w:r>
              <w:rPr/>
              <w:t>(630</w:t>
            </w:r>
          </w:p>
        </w:tc>
        <w:tc>
          <w:tcPr>
            <w:tcW w:w="175" w:type="dxa"/>
            <w:tcBorders/>
            <w:shd w:fill="CCEEFF" w:val="clear"/>
            <w:vAlign w:val="center"/>
          </w:tcPr>
          <w:p>
            <w:pPr>
              <w:pStyle w:val="TableContents"/>
              <w:bidi w:val="0"/>
              <w:spacing w:before="0" w:after="283"/>
              <w:jc w:val="left"/>
              <w:rPr/>
            </w:pPr>
            <w:r>
              <w:rPr/>
              <w:t>)</w:t>
            </w:r>
          </w:p>
        </w:tc>
        <w:tc>
          <w:tcPr>
            <w:tcW w:w="111"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176" w:type="dxa"/>
            <w:tcBorders/>
            <w:shd w:fill="CCEEFF" w:val="clear"/>
            <w:vAlign w:val="center"/>
          </w:tcPr>
          <w:p>
            <w:pPr>
              <w:pStyle w:val="TableContents"/>
              <w:bidi w:val="0"/>
              <w:spacing w:before="0" w:after="283"/>
              <w:jc w:val="right"/>
              <w:rPr/>
            </w:pPr>
            <w:r>
              <w:rPr/>
              <w:t>(4,303</w:t>
            </w:r>
          </w:p>
        </w:tc>
        <w:tc>
          <w:tcPr>
            <w:tcW w:w="110" w:type="dxa"/>
            <w:tcBorders/>
            <w:shd w:fill="CCEEFF" w:val="clear"/>
            <w:vAlign w:val="center"/>
          </w:tcPr>
          <w:p>
            <w:pPr>
              <w:pStyle w:val="TableContents"/>
              <w:bidi w:val="0"/>
              <w:spacing w:before="0" w:after="283"/>
              <w:jc w:val="left"/>
              <w:rPr/>
            </w:pPr>
            <w:r>
              <w:rPr/>
              <w:t>)</w:t>
            </w:r>
          </w:p>
        </w:tc>
      </w:tr>
      <w:tr>
        <w:trPr/>
        <w:tc>
          <w:tcPr>
            <w:tcW w:w="4535"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(1</w:t>
            </w:r>
          </w:p>
        </w:tc>
        <w:tc>
          <w:tcPr>
            <w:tcW w:w="175" w:type="dxa"/>
            <w:tcBorders/>
            <w:shd w:fill="FFFFFF" w:val="clear"/>
            <w:vAlign w:val="center"/>
          </w:tcPr>
          <w:p>
            <w:pPr>
              <w:pStyle w:val="TableContents"/>
              <w:bidi w:val="0"/>
              <w:spacing w:before="0" w:after="283"/>
              <w:jc w:val="left"/>
              <w:rPr/>
            </w:pPr>
            <w:r>
              <w:rPr/>
              <w:t>)</w:t>
            </w:r>
          </w:p>
        </w:tc>
        <w:tc>
          <w:tcPr>
            <w:tcW w:w="111"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Net cash (used) provided by financing activities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878</w:t>
            </w:r>
          </w:p>
        </w:tc>
        <w:tc>
          <w:tcPr>
            <w:tcW w:w="175"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5,526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decreased by $3.6 million, from $4.3 million for the six months ended June 30, 2025 to $0.6 million for the six months ended June 30, 2026. The decrease in cash used by operating activities was primarily due to changes in working capital of $4.6 million following the acquisition of Fitters Sdn. Bhd. in September 2025 and offset by lower year-over-year stock compensation expense of $1.6 million and lower year-over-year net losses of $0.8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investing activities was $1,000 for the six months ended June 30, 2026 and $0 for the six months ended June 30, 2025. Capital expenditure for the six months ended June 30, 2026 was related to computer equipment.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financing activities was $0.9 million for the six months ended June 30, 2026 as a direct result of receiving $0.8 million, net of expenses, from the issuance of a Securities Purchase Agreement in a private placement, and the adjustment to issuance costs of $0.1 million under a warrant exchange agreement, as amended and offset by a dividend payment of approximately $40,580 to the holders of our 6%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$5.5 million for the six months ended June 30, 2025 as a direct result of receiving approximately $6.6 million, net of expenses, from the issuance of preferred stock under Securities Purchase Agreements following a change of control of the Company. This was offset by a payment of $1.1 million under the November 2024 Warrant Exchange Agreement,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Requirements and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sufficient funds to sustain our operations to one year after the date that the financial statements are issued. Current business and capital market risks could have a detrimental effect on the availability of sources of funding and our ability to access them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we can generate a sufficient amount of product revenue to finance our cash requirements, which we may never do, we expect to finance future cash needs primarily through public or private equity offerings, debt financings or strategic collaborations. Although we are not reliant on institutional credit finance and therefore not subject to debt covenant compliance requirements or potential withdrawal of credit by banks, we are reliant on the availability of funds and activity in equity markets. We do not know whether additional funding will be available on acceptable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relied primarily on the proceeds from sales of common and preferred equity securities to finance our operations and internal growth. Additional funding has come through research and development tax credits, government grants, the sale of product rights, interest on investments, licensing revenue, royalty income, and a limited amount of product revenue from operations discontinued in September 2012.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Note 2 of the Notes to the Consolidated Financial Statements accompanying this Quarterly Report on Form 10-Q, under ASC Topic 205-40,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management is required at each reporting period to evaluate whether there are conditions and events, considered in the aggregate, that raise substantial doubt about an entity’s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losses, our negative cash flows from operations, our liquidity resources currently on hand, and our dependence on the ability to obtain additional financing to fund our operations after the current resources are exhausted, about which there can be no certainty, have resulted in our assessment that there is substantial doubt about our ability to continue as a going concern for a period of at least twelve months from the issuance date of this Quarterly Report on Form 10-Q. We are currently investigating ways to raise additional capital through private equity financing or by entering into a strategic transaction. In the event that we are not able to secure funding, we may be forced to curtail operations, delay or stop ongoing development activities, cease operations altogether, and/or file for bankruptcy. In such event, our stockholders may lose their entire investment in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$0.3 million of revenue for the three months ended June 30, 2026 and $1.1 million of revenue for the six months ended June 30, 2026, respectively. Revenue recognized in the current periods relate to product revenues from sales of fire safety equipment and services within our wholly-owned Malaysian-based subsidiary, Fitters Sdn. Bhd. which was acquired in September 2025.</w:t>
      </w:r>
    </w:p>
    <w:p>
      <w:pPr>
        <w:pStyle w:val="TextBody"/>
        <w:bidi w:val="0"/>
        <w:spacing w:before="0" w:after="0"/>
        <w:ind w:left="0" w:right="0" w:firstLine="360"/>
        <w:jc w:val="both"/>
        <w:rPr>
          <w:caps w:val="false"/>
          <w:smallCaps w:val="false"/>
        </w:rPr>
      </w:pPr>
      <w:r>
        <w:rPr>
          <w:caps w:val="false"/>
          <w:smallCaps w:val="false"/>
        </w:rPr>
        <w:t> </w:t>
      </w:r>
    </w:p>
    <w:tbl>
      <w:tblPr>
        <w:tblW w:w="7856" w:type="dxa"/>
        <w:jc w:val="left"/>
        <w:tblInd w:w="0" w:type="dxa"/>
        <w:tblLayout w:type="fixed"/>
        <w:tblCellMar>
          <w:top w:w="0" w:type="dxa"/>
          <w:left w:w="0" w:type="dxa"/>
          <w:bottom w:w="0" w:type="dxa"/>
          <w:right w:w="0" w:type="dxa"/>
        </w:tblCellMar>
      </w:tblPr>
      <w:tblGrid>
        <w:gridCol w:w="2450"/>
        <w:gridCol w:w="60"/>
        <w:gridCol w:w="149"/>
        <w:gridCol w:w="404"/>
        <w:gridCol w:w="63"/>
        <w:gridCol w:w="63"/>
        <w:gridCol w:w="297"/>
        <w:gridCol w:w="203"/>
        <w:gridCol w:w="63"/>
        <w:gridCol w:w="63"/>
        <w:gridCol w:w="149"/>
        <w:gridCol w:w="404"/>
        <w:gridCol w:w="63"/>
        <w:gridCol w:w="63"/>
        <w:gridCol w:w="63"/>
        <w:gridCol w:w="404"/>
        <w:gridCol w:w="60"/>
        <w:gridCol w:w="60"/>
        <w:gridCol w:w="140"/>
        <w:gridCol w:w="560"/>
        <w:gridCol w:w="60"/>
        <w:gridCol w:w="60"/>
        <w:gridCol w:w="297"/>
        <w:gridCol w:w="203"/>
        <w:gridCol w:w="60"/>
        <w:gridCol w:w="60"/>
        <w:gridCol w:w="140"/>
        <w:gridCol w:w="560"/>
        <w:gridCol w:w="60"/>
        <w:gridCol w:w="60"/>
        <w:gridCol w:w="60"/>
        <w:gridCol w:w="380"/>
        <w:gridCol w:w="75"/>
      </w:tblGrid>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51"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4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4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Product sales – fire safety</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04" w:type="dxa"/>
            <w:tcBorders>
              <w:bottom w:val="single" w:sz="8" w:space="0" w:color="000000"/>
            </w:tcBorders>
            <w:shd w:fill="CCEEFF" w:val="clear"/>
            <w:tcMar>
              <w:bottom w:w="28" w:type="dxa"/>
            </w:tcMar>
            <w:vAlign w:val="center"/>
          </w:tcPr>
          <w:p>
            <w:pPr>
              <w:pStyle w:val="TableContents"/>
              <w:bidi w:val="0"/>
              <w:spacing w:before="0" w:after="283"/>
              <w:jc w:val="right"/>
              <w:rPr/>
            </w:pPr>
            <w:r>
              <w:rPr/>
              <w:t>336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04" w:type="dxa"/>
            <w:tcBorders>
              <w:bottom w:val="single" w:sz="8" w:space="0" w:color="000000"/>
            </w:tcBorders>
            <w:shd w:fill="CCEEFF" w:val="clear"/>
            <w:tcMar>
              <w:bottom w:w="28" w:type="dxa"/>
            </w:tcMar>
            <w:vAlign w:val="center"/>
          </w:tcPr>
          <w:p>
            <w:pPr>
              <w:pStyle w:val="TableContents"/>
              <w:bidi w:val="0"/>
              <w:spacing w:before="0" w:after="283"/>
              <w:jc w:val="right"/>
              <w:rPr/>
            </w:pPr>
            <w:r>
              <w:rPr/>
              <w:t>336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4"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04" w:type="dxa"/>
            <w:tcBorders>
              <w:bottom w:val="double" w:sz="6" w:space="0" w:color="000000"/>
            </w:tcBorders>
            <w:shd w:fill="FFFFFF" w:val="clear"/>
            <w:tcMar>
              <w:bottom w:w="28" w:type="dxa"/>
            </w:tcMar>
            <w:vAlign w:val="center"/>
          </w:tcPr>
          <w:p>
            <w:pPr>
              <w:pStyle w:val="TableContents"/>
              <w:bidi w:val="0"/>
              <w:spacing w:before="0" w:after="283"/>
              <w:jc w:val="right"/>
              <w:rPr/>
            </w:pPr>
            <w:r>
              <w:rPr/>
              <w:t>336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04" w:type="dxa"/>
            <w:tcBorders>
              <w:bottom w:val="double" w:sz="6" w:space="0" w:color="000000"/>
            </w:tcBorders>
            <w:shd w:fill="FFFFFF" w:val="clear"/>
            <w:tcMar>
              <w:bottom w:w="28" w:type="dxa"/>
            </w:tcMar>
            <w:vAlign w:val="center"/>
          </w:tcPr>
          <w:p>
            <w:pPr>
              <w:pStyle w:val="TableContents"/>
              <w:bidi w:val="0"/>
              <w:spacing w:before="0" w:after="283"/>
              <w:jc w:val="right"/>
              <w:rPr/>
            </w:pPr>
            <w:r>
              <w:rPr/>
              <w:t>336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revenues in fire safety in general to grow modestly in the near term, but expect more elevated growth in revenues for fire safety equipment in future years, to service the rapid expansion of data centers in Southern Malaysia.</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$0.3 million cost of sales for the three months ended June 30, 2026 and $0.9 million for the six months ended June 30, 2026. This cost of sales is related to product revenue generated by Fitters Sdn. Bhd.</w:t>
      </w:r>
    </w:p>
    <w:p>
      <w:pPr>
        <w:pStyle w:val="TextBody"/>
        <w:bidi w:val="0"/>
        <w:spacing w:before="0" w:after="0"/>
        <w:ind w:left="0" w:right="0" w:firstLine="360"/>
        <w:jc w:val="both"/>
        <w:rPr>
          <w:caps w:val="false"/>
          <w:smallCaps w:val="false"/>
        </w:rPr>
      </w:pPr>
      <w:r>
        <w:rPr>
          <w:caps w:val="false"/>
          <w:smallCaps w:val="false"/>
        </w:rPr>
        <w:t> </w:t>
      </w:r>
    </w:p>
    <w:tbl>
      <w:tblPr>
        <w:tblW w:w="6776" w:type="dxa"/>
        <w:jc w:val="left"/>
        <w:tblInd w:w="0" w:type="dxa"/>
        <w:tblLayout w:type="fixed"/>
        <w:tblCellMar>
          <w:top w:w="0" w:type="dxa"/>
          <w:left w:w="0" w:type="dxa"/>
          <w:bottom w:w="0" w:type="dxa"/>
          <w:right w:w="0" w:type="dxa"/>
        </w:tblCellMar>
      </w:tblPr>
      <w:tblGrid>
        <w:gridCol w:w="1730"/>
        <w:gridCol w:w="60"/>
        <w:gridCol w:w="149"/>
        <w:gridCol w:w="404"/>
        <w:gridCol w:w="63"/>
        <w:gridCol w:w="63"/>
        <w:gridCol w:w="297"/>
        <w:gridCol w:w="203"/>
        <w:gridCol w:w="63"/>
        <w:gridCol w:w="63"/>
        <w:gridCol w:w="149"/>
        <w:gridCol w:w="404"/>
        <w:gridCol w:w="63"/>
        <w:gridCol w:w="63"/>
        <w:gridCol w:w="63"/>
        <w:gridCol w:w="404"/>
        <w:gridCol w:w="60"/>
        <w:gridCol w:w="60"/>
        <w:gridCol w:w="140"/>
        <w:gridCol w:w="380"/>
        <w:gridCol w:w="60"/>
        <w:gridCol w:w="60"/>
        <w:gridCol w:w="297"/>
        <w:gridCol w:w="203"/>
        <w:gridCol w:w="60"/>
        <w:gridCol w:w="60"/>
        <w:gridCol w:w="140"/>
        <w:gridCol w:w="380"/>
        <w:gridCol w:w="60"/>
        <w:gridCol w:w="60"/>
        <w:gridCol w:w="60"/>
        <w:gridCol w:w="380"/>
        <w:gridCol w:w="75"/>
      </w:tblGrid>
      <w:tr>
        <w:trPr/>
        <w:tc>
          <w:tcPr>
            <w:tcW w:w="1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51"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4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4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04" w:type="dxa"/>
            <w:tcBorders>
              <w:bottom w:val="single" w:sz="8" w:space="0" w:color="000000"/>
            </w:tcBorders>
            <w:shd w:fill="CCEEFF" w:val="clear"/>
            <w:tcMar>
              <w:bottom w:w="28" w:type="dxa"/>
            </w:tcMar>
            <w:vAlign w:val="center"/>
          </w:tcPr>
          <w:p>
            <w:pPr>
              <w:pStyle w:val="TableContents"/>
              <w:bidi w:val="0"/>
              <w:spacing w:before="0" w:after="283"/>
              <w:jc w:val="right"/>
              <w:rPr/>
            </w:pPr>
            <w:r>
              <w:rPr/>
              <w:t>257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04" w:type="dxa"/>
            <w:tcBorders>
              <w:bottom w:val="single" w:sz="8" w:space="0" w:color="000000"/>
            </w:tcBorders>
            <w:shd w:fill="CCEEFF" w:val="clear"/>
            <w:tcMar>
              <w:bottom w:w="28" w:type="dxa"/>
            </w:tcMar>
            <w:vAlign w:val="center"/>
          </w:tcPr>
          <w:p>
            <w:pPr>
              <w:pStyle w:val="TableContents"/>
              <w:bidi w:val="0"/>
              <w:spacing w:before="0" w:after="283"/>
              <w:jc w:val="right"/>
              <w:rPr/>
            </w:pPr>
            <w:r>
              <w:rPr/>
              <w:t>257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4"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pPr>
            <w:r>
              <w:rPr/>
              <w:t>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pPr>
            <w:r>
              <w:rPr/>
              <w:t>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pPr>
            <w:r>
              <w:rPr/>
              <w:t>Total cost of sales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04" w:type="dxa"/>
            <w:tcBorders>
              <w:bottom w:val="double" w:sz="6" w:space="0" w:color="000000"/>
            </w:tcBorders>
            <w:shd w:fill="FFFFFF" w:val="clear"/>
            <w:tcMar>
              <w:bottom w:w="28" w:type="dxa"/>
            </w:tcMar>
            <w:vAlign w:val="center"/>
          </w:tcPr>
          <w:p>
            <w:pPr>
              <w:pStyle w:val="TableContents"/>
              <w:bidi w:val="0"/>
              <w:spacing w:before="0" w:after="283"/>
              <w:jc w:val="right"/>
              <w:rPr/>
            </w:pPr>
            <w:r>
              <w:rPr/>
              <w:t>257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04" w:type="dxa"/>
            <w:tcBorders>
              <w:bottom w:val="double" w:sz="6" w:space="0" w:color="000000"/>
            </w:tcBorders>
            <w:shd w:fill="FFFFFF" w:val="clear"/>
            <w:tcMar>
              <w:bottom w:w="28" w:type="dxa"/>
            </w:tcMar>
            <w:vAlign w:val="center"/>
          </w:tcPr>
          <w:p>
            <w:pPr>
              <w:pStyle w:val="TableContents"/>
              <w:bidi w:val="0"/>
              <w:spacing w:before="0" w:after="283"/>
              <w:jc w:val="right"/>
              <w:rPr/>
            </w:pPr>
            <w:r>
              <w:rPr/>
              <w:t>257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pPr>
            <w:r>
              <w:rPr/>
              <w:t>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pPr>
            <w:r>
              <w:rPr/>
              <w:t>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sales represented 50% and 0% of our operating expenses for the six months ended June 30, 2026 and 2025, respectively. Our gross margins for the six months ended June 30, 2026 approximate to 20% of gross revenues. We do not expect the product mix or margins to change significantly in the near term. We are, however, susceptible to potential increased costs brought about by geo-political events such as adverse movements in world oil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costs for administrative personnel, legal and other professional expenses and general corporate expenses. The following table summarizes the general and administrative expenses for the six months ended June 30, 2026 and 2025 (in $000s except percentages):</w:t>
      </w:r>
    </w:p>
    <w:p>
      <w:pPr>
        <w:pStyle w:val="TextBody"/>
        <w:bidi w:val="0"/>
        <w:spacing w:before="0" w:after="0"/>
        <w:ind w:left="0" w:right="0" w:firstLine="720"/>
        <w:jc w:val="both"/>
        <w:rPr>
          <w:caps w:val="false"/>
          <w:smallCaps w:val="false"/>
        </w:rPr>
      </w:pPr>
      <w:r>
        <w:rPr>
          <w:caps w:val="false"/>
          <w:smallCaps w:val="false"/>
        </w:rPr>
        <w:t> </w:t>
      </w:r>
    </w:p>
    <w:tbl>
      <w:tblPr>
        <w:tblW w:w="9695" w:type="dxa"/>
        <w:jc w:val="left"/>
        <w:tblInd w:w="0" w:type="dxa"/>
        <w:tblLayout w:type="fixed"/>
        <w:tblCellMar>
          <w:top w:w="0" w:type="dxa"/>
          <w:left w:w="0" w:type="dxa"/>
          <w:bottom w:w="0" w:type="dxa"/>
          <w:right w:w="0" w:type="dxa"/>
        </w:tblCellMar>
      </w:tblPr>
      <w:tblGrid>
        <w:gridCol w:w="3980"/>
        <w:gridCol w:w="60"/>
        <w:gridCol w:w="140"/>
        <w:gridCol w:w="380"/>
        <w:gridCol w:w="60"/>
        <w:gridCol w:w="60"/>
        <w:gridCol w:w="140"/>
        <w:gridCol w:w="560"/>
        <w:gridCol w:w="60"/>
        <w:gridCol w:w="60"/>
        <w:gridCol w:w="140"/>
        <w:gridCol w:w="455"/>
        <w:gridCol w:w="95"/>
        <w:gridCol w:w="60"/>
        <w:gridCol w:w="60"/>
        <w:gridCol w:w="335"/>
        <w:gridCol w:w="95"/>
        <w:gridCol w:w="60"/>
        <w:gridCol w:w="140"/>
        <w:gridCol w:w="380"/>
        <w:gridCol w:w="60"/>
        <w:gridCol w:w="60"/>
        <w:gridCol w:w="140"/>
        <w:gridCol w:w="560"/>
        <w:gridCol w:w="60"/>
        <w:gridCol w:w="60"/>
        <w:gridCol w:w="140"/>
        <w:gridCol w:w="635"/>
        <w:gridCol w:w="95"/>
        <w:gridCol w:w="60"/>
        <w:gridCol w:w="60"/>
        <w:gridCol w:w="335"/>
        <w:gridCol w:w="110"/>
      </w:tblGrid>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0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pPr>
            <w:r>
              <w:rPr/>
              <w:t>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(752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pPr>
            <w:r>
              <w:rPr/>
              <w:t>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5,463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(4,577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(84</w:t>
            </w:r>
          </w:p>
        </w:tc>
        <w:tc>
          <w:tcPr>
            <w:tcW w:w="110" w:type="dxa"/>
            <w:tcBorders/>
            <w:shd w:fill="CCEEFF" w:val="clear"/>
            <w:vAlign w:val="center"/>
          </w:tcPr>
          <w:p>
            <w:pPr>
              <w:pStyle w:val="TableContents"/>
              <w:bidi w:val="0"/>
              <w:spacing w:before="0" w:after="283"/>
              <w:jc w:val="left"/>
              <w:rPr/>
            </w:pPr>
            <w:r>
              <w:rPr/>
              <w:t>)</w:t>
            </w:r>
          </w:p>
        </w:tc>
      </w:tr>
      <w:tr>
        <w:trPr/>
        <w:tc>
          <w:tcPr>
            <w:tcW w:w="3980" w:type="dxa"/>
            <w:tcBorders/>
            <w:shd w:fill="FFFFFF" w:val="clear"/>
            <w:vAlign w:val="center"/>
          </w:tcPr>
          <w:p>
            <w:pPr>
              <w:pStyle w:val="TableContents"/>
              <w:bidi w:val="0"/>
              <w:spacing w:before="0" w:after="283"/>
              <w:jc w:val="left"/>
              <w:rPr/>
            </w:pPr>
            <w:r>
              <w:rPr/>
              <w:t>Total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pPr>
            <w:r>
              <w:rPr/>
              <w:t>497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(752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pPr>
            <w:r>
              <w:rPr/>
              <w:t>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5,463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(4,577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pPr>
            <w:r>
              <w:rPr/>
              <w:t>(84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 expenses represented 50% and 100% of our operating expenses for the six months ended June 30, 2026 and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approximately $4.6 million from $5.5 million for the six months ended June 30, 2025 to $0.9 million for the six months ended June 30, 2026, due to several one-time costs associated with the two changes of control of the Company; primarily stock compensation expense of $1.6 million, D&amp;O insurance costs of $0.9 million, compensation expense of $1.3 million, legal and professional costs of $0.8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general and administrative expenditures for the year ended December 31, 2026 to be significantly lower than our expenditures for the year ended December 31, 2025, due to the various non-recurring one-time costs associated with the two changes of control of the Company during the prior year.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income,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other (expense) income, net for the six months ended June 30, 2026 and 2025 (in $000 except percentages):</w:t>
      </w:r>
    </w:p>
    <w:p>
      <w:pPr>
        <w:pStyle w:val="TextBody"/>
        <w:bidi w:val="0"/>
        <w:spacing w:before="0" w:after="0"/>
        <w:ind w:left="0" w:right="0" w:firstLine="360"/>
        <w:jc w:val="both"/>
        <w:rPr>
          <w:caps w:val="false"/>
          <w:smallCaps w:val="false"/>
        </w:rPr>
      </w:pPr>
      <w:r>
        <w:rPr>
          <w:caps w:val="false"/>
          <w:smallCaps w:val="false"/>
        </w:rPr>
        <w:t> </w:t>
      </w:r>
    </w:p>
    <w:tbl>
      <w:tblPr>
        <w:tblW w:w="8450" w:type="dxa"/>
        <w:jc w:val="left"/>
        <w:tblInd w:w="0" w:type="dxa"/>
        <w:tblLayout w:type="fixed"/>
        <w:tblCellMar>
          <w:top w:w="0" w:type="dxa"/>
          <w:left w:w="0" w:type="dxa"/>
          <w:bottom w:w="0" w:type="dxa"/>
          <w:right w:w="0" w:type="dxa"/>
        </w:tblCellMar>
      </w:tblPr>
      <w:tblGrid>
        <w:gridCol w:w="3050"/>
        <w:gridCol w:w="60"/>
        <w:gridCol w:w="147"/>
        <w:gridCol w:w="353"/>
        <w:gridCol w:w="95"/>
        <w:gridCol w:w="60"/>
        <w:gridCol w:w="197"/>
        <w:gridCol w:w="303"/>
        <w:gridCol w:w="95"/>
        <w:gridCol w:w="60"/>
        <w:gridCol w:w="140"/>
        <w:gridCol w:w="335"/>
        <w:gridCol w:w="95"/>
        <w:gridCol w:w="60"/>
        <w:gridCol w:w="60"/>
        <w:gridCol w:w="560"/>
        <w:gridCol w:w="95"/>
        <w:gridCol w:w="60"/>
        <w:gridCol w:w="140"/>
        <w:gridCol w:w="380"/>
        <w:gridCol w:w="60"/>
        <w:gridCol w:w="60"/>
        <w:gridCol w:w="147"/>
        <w:gridCol w:w="353"/>
        <w:gridCol w:w="95"/>
        <w:gridCol w:w="60"/>
        <w:gridCol w:w="140"/>
        <w:gridCol w:w="260"/>
        <w:gridCol w:w="60"/>
        <w:gridCol w:w="60"/>
        <w:gridCol w:w="140"/>
        <w:gridCol w:w="560"/>
        <w:gridCol w:w="110"/>
      </w:tblGrid>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6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Foreign exchange gains (losses)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353"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303"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35" w:type="dxa"/>
            <w:tcBorders/>
            <w:shd w:fill="CCEEFF" w:val="cle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353"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(291</w:t>
            </w:r>
          </w:p>
        </w:tc>
        <w:tc>
          <w:tcPr>
            <w:tcW w:w="110" w:type="dxa"/>
            <w:tcBorders/>
            <w:shd w:fill="CCEEFF" w:val="clear"/>
            <w:vAlign w:val="center"/>
          </w:tcPr>
          <w:p>
            <w:pPr>
              <w:pStyle w:val="TableContents"/>
              <w:bidi w:val="0"/>
              <w:spacing w:before="0" w:after="283"/>
              <w:jc w:val="left"/>
              <w:rPr/>
            </w:pPr>
            <w:r>
              <w:rPr/>
              <w:t>)</w:t>
            </w:r>
          </w:p>
        </w:tc>
      </w:tr>
      <w:tr>
        <w:trPr/>
        <w:tc>
          <w:tcPr>
            <w:tcW w:w="305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125</w:t>
            </w:r>
          </w:p>
        </w:tc>
        <w:tc>
          <w:tcPr>
            <w:tcW w:w="11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03"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pPr>
            <w:r>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right"/>
              <w:rPr/>
            </w:pPr>
            <w:r>
              <w:rPr/>
              <w:t>50</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417</w:t>
            </w:r>
          </w:p>
        </w:tc>
        <w:tc>
          <w:tcPr>
            <w:tcW w:w="11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53" w:type="dxa"/>
            <w:tcBorders>
              <w:bottom w:val="double" w:sz="6" w:space="0" w:color="000000"/>
            </w:tcBorders>
            <w:shd w:fill="FFFFFF" w:val="clear"/>
            <w:tcMar>
              <w:bottom w:w="28" w:type="dxa"/>
            </w:tcM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3"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2,100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pPr>
            <w:r>
              <w:rPr/>
              <w:t>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53" w:type="dxa"/>
            <w:tcBorders>
              <w:bottom w:val="double" w:sz="6" w:space="0" w:color="000000"/>
            </w:tcBorders>
            <w:shd w:fill="FFFFFF" w:val="clear"/>
            <w:tcMar>
              <w:bottom w:w="28" w:type="dxa"/>
            </w:tcM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right"/>
              <w:rPr/>
            </w:pPr>
            <w:r>
              <w:rPr/>
              <w:t>92</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1,022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increased by $0.1 million from $9,000 for the six months ended June 30, 2025 to $101,000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gains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losses increased by $32,000, from a loss of $11,000 for the six months ended June 30, 2025, to a gain of $21,000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for the year ended December 31, 2026, will continue to be impacted by changes in the receipt of income under a December 2005 Asset Purchase Agreement, or APA, whereby Xcyte Therapies, Inc., or Xcyte (a business acquired by us in March 2006) sold certain assets and intellectual property to ThermoFisher Scientific Company, or TSC (formerly Invitrogen Corporation) through the APA and other related agreements. As we are not in control of sales made by TSC, we are unable to estimate the level and timing of income under the APA, if 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 is estimated and recorded as part of the consolidated statements of operations. Due to our history of losses, we set 100% allowances for all deferred income tax. Accordingly, we reported approximately $39,000 income tax provision for the six months ended June 30, 2026, and approximately $2,000 income tax provision during the six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total income tax provision for the six months ended June 30, 2026 and 2025 (in $000s except percentages):</w:t>
      </w:r>
    </w:p>
    <w:p>
      <w:pPr>
        <w:pStyle w:val="TextBody"/>
        <w:bidi w:val="0"/>
        <w:spacing w:before="0" w:after="0"/>
        <w:ind w:left="0" w:right="0" w:firstLine="360"/>
        <w:jc w:val="both"/>
        <w:rPr>
          <w:caps w:val="false"/>
          <w:smallCaps w:val="false"/>
        </w:rPr>
      </w:pPr>
      <w:r>
        <w:rPr>
          <w:caps w:val="false"/>
          <w:smallCaps w:val="false"/>
        </w:rPr>
        <w:t> </w:t>
      </w:r>
    </w:p>
    <w:tbl>
      <w:tblPr>
        <w:tblW w:w="7801" w:type="dxa"/>
        <w:jc w:val="left"/>
        <w:tblInd w:w="0" w:type="dxa"/>
        <w:tblLayout w:type="fixed"/>
        <w:tblCellMar>
          <w:top w:w="0" w:type="dxa"/>
          <w:left w:w="0" w:type="dxa"/>
          <w:bottom w:w="0" w:type="dxa"/>
          <w:right w:w="0" w:type="dxa"/>
        </w:tblCellMar>
      </w:tblPr>
      <w:tblGrid>
        <w:gridCol w:w="2570"/>
        <w:gridCol w:w="60"/>
        <w:gridCol w:w="197"/>
        <w:gridCol w:w="303"/>
        <w:gridCol w:w="106"/>
        <w:gridCol w:w="67"/>
        <w:gridCol w:w="197"/>
        <w:gridCol w:w="303"/>
        <w:gridCol w:w="106"/>
        <w:gridCol w:w="67"/>
        <w:gridCol w:w="157"/>
        <w:gridCol w:w="242"/>
        <w:gridCol w:w="107"/>
        <w:gridCol w:w="67"/>
        <w:gridCol w:w="67"/>
        <w:gridCol w:w="430"/>
        <w:gridCol w:w="60"/>
        <w:gridCol w:w="60"/>
        <w:gridCol w:w="147"/>
        <w:gridCol w:w="353"/>
        <w:gridCol w:w="95"/>
        <w:gridCol w:w="60"/>
        <w:gridCol w:w="197"/>
        <w:gridCol w:w="303"/>
        <w:gridCol w:w="95"/>
        <w:gridCol w:w="60"/>
        <w:gridCol w:w="140"/>
        <w:gridCol w:w="335"/>
        <w:gridCol w:w="95"/>
        <w:gridCol w:w="60"/>
        <w:gridCol w:w="60"/>
        <w:gridCol w:w="560"/>
        <w:gridCol w:w="75"/>
      </w:tblGrid>
      <w:tr>
        <w:trPr/>
        <w:tc>
          <w:tcPr>
            <w:tcW w:w="2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1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3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4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03"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03"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10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right"/>
              <w:rPr/>
            </w:pPr>
            <w:r>
              <w:rPr/>
              <w:t>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03"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1,850</w:t>
            </w:r>
          </w:p>
        </w:tc>
        <w:tc>
          <w:tcPr>
            <w:tcW w:w="75"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Total income tax provision</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3" w:type="dxa"/>
            <w:tcBorders>
              <w:bottom w:val="double" w:sz="6" w:space="0" w:color="000000"/>
            </w:tcBorders>
            <w:shd w:fill="FFFFFF" w:val="clear"/>
            <w:tcMar>
              <w:bottom w:w="28" w:type="dxa"/>
            </w:tcMar>
            <w:vAlign w:val="center"/>
          </w:tcPr>
          <w:p>
            <w:pPr>
              <w:pStyle w:val="TableContents"/>
              <w:bidi w:val="0"/>
              <w:spacing w:before="0" w:after="283"/>
              <w:jc w:val="right"/>
              <w:rPr/>
            </w:pPr>
            <w:r>
              <w:rPr/>
              <w:t>(9</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3" w:type="dxa"/>
            <w:tcBorders>
              <w:bottom w:val="double" w:sz="6" w:space="0" w:color="000000"/>
            </w:tcBorders>
            <w:shd w:fill="FFFFFF" w:val="clear"/>
            <w:tcMar>
              <w:bottom w:w="28" w:type="dxa"/>
            </w:tcMar>
            <w:vAlign w:val="center"/>
          </w:tcPr>
          <w:p>
            <w:pPr>
              <w:pStyle w:val="TableContents"/>
              <w:bidi w:val="0"/>
              <w:spacing w:before="0" w:after="283"/>
              <w:jc w:val="right"/>
              <w:rPr/>
            </w:pPr>
            <w:r>
              <w:rPr/>
              <w:t>(2</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42" w:type="dxa"/>
            <w:tcBorders>
              <w:bottom w:val="double" w:sz="6" w:space="0" w:color="000000"/>
            </w:tcBorders>
            <w:shd w:fill="FFFFFF" w:val="clear"/>
            <w:tcMar>
              <w:bottom w:w="28" w:type="dxa"/>
            </w:tcMar>
            <w:vAlign w:val="center"/>
          </w:tcPr>
          <w:p>
            <w:pPr>
              <w:pStyle w:val="TableContents"/>
              <w:bidi w:val="0"/>
              <w:spacing w:before="0" w:after="283"/>
              <w:jc w:val="right"/>
              <w:rPr/>
            </w:pPr>
            <w:r>
              <w:rPr/>
              <w:t>(7</w:t>
            </w:r>
          </w:p>
        </w:tc>
        <w:tc>
          <w:tcPr>
            <w:tcW w:w="10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pPr>
            <w:r>
              <w:rPr/>
              <w:t>350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53" w:type="dxa"/>
            <w:tcBorders>
              <w:bottom w:val="double" w:sz="6" w:space="0" w:color="000000"/>
            </w:tcBorders>
            <w:shd w:fill="FFFFFF" w:val="clear"/>
            <w:tcMar>
              <w:bottom w:w="28" w:type="dxa"/>
            </w:tcM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3" w:type="dxa"/>
            <w:tcBorders>
              <w:bottom w:val="double" w:sz="6"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1,850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liquidation of our former subsidiary Cyclacel Limited in January 2025 and the subsequent sale of our remaining research and development asset Plogosertib in October 2025, we no longer undertake any research and development related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with respect to our research and development expenditures, now discontinued operations, for the six months ended June 30, 2026 and June 30, 2025 (in $000s except percentages):</w:t>
      </w:r>
    </w:p>
    <w:p>
      <w:pPr>
        <w:pStyle w:val="TextBody"/>
        <w:bidi w:val="0"/>
        <w:spacing w:before="0" w:after="0"/>
        <w:ind w:left="0" w:right="0" w:firstLine="720"/>
        <w:jc w:val="both"/>
        <w:rPr>
          <w:caps w:val="false"/>
          <w:smallCaps w:val="false"/>
        </w:rPr>
      </w:pPr>
      <w:r>
        <w:rPr>
          <w:caps w:val="false"/>
          <w:smallCaps w:val="false"/>
        </w:rPr>
        <w:t> </w:t>
      </w:r>
    </w:p>
    <w:tbl>
      <w:tblPr>
        <w:tblW w:w="9386" w:type="dxa"/>
        <w:jc w:val="left"/>
        <w:tblInd w:w="0" w:type="dxa"/>
        <w:tblLayout w:type="fixed"/>
        <w:tblCellMar>
          <w:top w:w="0" w:type="dxa"/>
          <w:left w:w="0" w:type="dxa"/>
          <w:bottom w:w="0" w:type="dxa"/>
          <w:right w:w="0" w:type="dxa"/>
        </w:tblCellMar>
      </w:tblPr>
      <w:tblGrid>
        <w:gridCol w:w="4010"/>
        <w:gridCol w:w="60"/>
        <w:gridCol w:w="297"/>
        <w:gridCol w:w="203"/>
        <w:gridCol w:w="65"/>
        <w:gridCol w:w="65"/>
        <w:gridCol w:w="153"/>
        <w:gridCol w:w="366"/>
        <w:gridCol w:w="103"/>
        <w:gridCol w:w="65"/>
        <w:gridCol w:w="153"/>
        <w:gridCol w:w="284"/>
        <w:gridCol w:w="65"/>
        <w:gridCol w:w="65"/>
        <w:gridCol w:w="65"/>
        <w:gridCol w:w="497"/>
        <w:gridCol w:w="95"/>
        <w:gridCol w:w="60"/>
        <w:gridCol w:w="297"/>
        <w:gridCol w:w="203"/>
        <w:gridCol w:w="60"/>
        <w:gridCol w:w="60"/>
        <w:gridCol w:w="140"/>
        <w:gridCol w:w="455"/>
        <w:gridCol w:w="95"/>
        <w:gridCol w:w="60"/>
        <w:gridCol w:w="140"/>
        <w:gridCol w:w="380"/>
        <w:gridCol w:w="60"/>
        <w:gridCol w:w="60"/>
        <w:gridCol w:w="140"/>
        <w:gridCol w:w="455"/>
        <w:gridCol w:w="110"/>
      </w:tblGrid>
      <w:tr>
        <w:trPr/>
        <w:tc>
          <w:tcPr>
            <w:tcW w:w="4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4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0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center"/>
              <w:rPr/>
            </w:pPr>
            <w:r>
              <w:rPr/>
              <w:t> </w:t>
            </w:r>
          </w:p>
        </w:tc>
      </w:tr>
      <w:tr>
        <w:trPr/>
        <w:tc>
          <w:tcPr>
            <w:tcW w:w="4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03"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112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center"/>
              <w:rPr/>
            </w:pPr>
            <w:r>
              <w:rPr/>
              <w:t> </w:t>
            </w:r>
          </w:p>
        </w:tc>
      </w:tr>
      <w:tr>
        <w:trPr/>
        <w:tc>
          <w:tcPr>
            <w:tcW w:w="4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5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3"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4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5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center"/>
              <w:rPr/>
            </w:pPr>
            <w:r>
              <w:rPr/>
              <w:t> </w:t>
            </w:r>
          </w:p>
        </w:tc>
      </w:tr>
      <w:tr>
        <w:trPr/>
        <w:tc>
          <w:tcPr>
            <w:tcW w:w="4010" w:type="dxa"/>
            <w:tcBorders/>
            <w:shd w:fill="CCEEFF" w:val="clear"/>
            <w:vAlign w:val="center"/>
          </w:tcPr>
          <w:p>
            <w:pPr>
              <w:pStyle w:val="TableContents"/>
              <w:bidi w:val="0"/>
              <w:spacing w:before="0" w:after="283"/>
              <w:jc w:val="left"/>
              <w:rPr/>
            </w:pPr>
            <w:r>
              <w:rPr/>
              <w:t>Transcriptional regulation (fadraciblib)</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203"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366"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284"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2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(389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Anti0mitotic (plogosertib)</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right"/>
              <w:rPr/>
            </w:pPr>
            <w:r>
              <w:rPr/>
              <w:t>(63</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right"/>
              <w:rPr/>
            </w:pPr>
            <w:r>
              <w:rPr/>
              <w:t>63</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(423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423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Other research and development expenses</w:t>
            </w:r>
          </w:p>
        </w:tc>
        <w:tc>
          <w:tcPr>
            <w:tcW w:w="6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66"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97"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pPr>
            <w:r>
              <w:rPr/>
              <w:t>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Total research and development expenses</w:t>
            </w:r>
          </w:p>
        </w:tc>
        <w:tc>
          <w:tcPr>
            <w:tcW w:w="60"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66" w:type="dxa"/>
            <w:tcBorders>
              <w:bottom w:val="double" w:sz="6" w:space="0" w:color="000000"/>
            </w:tcBorders>
            <w:shd w:fill="FFFFFF" w:val="clear"/>
            <w:tcMar>
              <w:bottom w:w="28" w:type="dxa"/>
            </w:tcMar>
            <w:vAlign w:val="center"/>
          </w:tcPr>
          <w:p>
            <w:pPr>
              <w:pStyle w:val="TableContents"/>
              <w:bidi w:val="0"/>
              <w:spacing w:before="0" w:after="283"/>
              <w:jc w:val="right"/>
              <w:rPr/>
            </w:pPr>
            <w:r>
              <w:rPr/>
              <w:t>(68</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84" w:type="dxa"/>
            <w:tcBorders>
              <w:bottom w:val="double" w:sz="6" w:space="0" w:color="000000"/>
            </w:tcBorders>
            <w:shd w:fill="FFFFFF" w:val="clear"/>
            <w:tcMar>
              <w:bottom w:w="28" w:type="dxa"/>
            </w:tcMar>
            <w:vAlign w:val="center"/>
          </w:tcPr>
          <w:p>
            <w:pPr>
              <w:pStyle w:val="TableContents"/>
              <w:bidi w:val="0"/>
              <w:spacing w:before="0" w:after="283"/>
              <w:jc w:val="right"/>
              <w:rPr/>
            </w:pPr>
            <w:r>
              <w:rPr/>
              <w:t>68</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97"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pPr>
            <w:r>
              <w:rPr/>
              <w:t>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with respect to net other income from discontinued operations, for the six months ended June 30, 2026 and June 30, 2025 (in $000s except percentages):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4"/>
        <w:gridCol w:w="60"/>
        <w:gridCol w:w="297"/>
        <w:gridCol w:w="203"/>
        <w:gridCol w:w="101"/>
        <w:gridCol w:w="101"/>
        <w:gridCol w:w="297"/>
        <w:gridCol w:w="203"/>
        <w:gridCol w:w="101"/>
        <w:gridCol w:w="101"/>
        <w:gridCol w:w="293"/>
        <w:gridCol w:w="199"/>
        <w:gridCol w:w="125"/>
        <w:gridCol w:w="125"/>
        <w:gridCol w:w="125"/>
        <w:gridCol w:w="203"/>
        <w:gridCol w:w="60"/>
        <w:gridCol w:w="60"/>
        <w:gridCol w:w="297"/>
        <w:gridCol w:w="203"/>
        <w:gridCol w:w="60"/>
        <w:gridCol w:w="60"/>
        <w:gridCol w:w="140"/>
        <w:gridCol w:w="560"/>
        <w:gridCol w:w="60"/>
        <w:gridCol w:w="60"/>
        <w:gridCol w:w="140"/>
        <w:gridCol w:w="635"/>
        <w:gridCol w:w="95"/>
        <w:gridCol w:w="60"/>
        <w:gridCol w:w="60"/>
        <w:gridCol w:w="455"/>
        <w:gridCol w:w="112"/>
      </w:tblGrid>
      <w:tr>
        <w:trPr/>
        <w:tc>
          <w:tcPr>
            <w:tcW w:w="45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7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112" w:type="dxa"/>
            <w:tcBorders/>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2" w:type="dxa"/>
            <w:tcBorders/>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4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3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2" w:type="dxa"/>
            <w:tcBorders/>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12" w:type="dxa"/>
            <w:tcBorders/>
            <w:shd w:fill="CCEEFF" w:val="clear"/>
            <w:vAlign w:val="center"/>
          </w:tcPr>
          <w:p>
            <w:pPr>
              <w:pStyle w:val="TableContents"/>
              <w:bidi w:val="0"/>
              <w:spacing w:before="0" w:after="283"/>
              <w:jc w:val="left"/>
              <w:rPr/>
            </w:pPr>
            <w:r>
              <w:rPr/>
              <w:t>)</w:t>
            </w:r>
          </w:p>
        </w:tc>
      </w:tr>
      <w:tr>
        <w:trPr/>
        <w:tc>
          <w:tcPr>
            <w:tcW w:w="4554" w:type="dxa"/>
            <w:tcBorders/>
            <w:shd w:fill="FFFFFF" w:val="clear"/>
            <w:vAlign w:val="center"/>
          </w:tcPr>
          <w:p>
            <w:pPr>
              <w:pStyle w:val="TableContents"/>
              <w:bidi w:val="0"/>
              <w:spacing w:before="0" w:after="283"/>
              <w:jc w:val="left"/>
              <w:rPr/>
            </w:pPr>
            <w:r>
              <w:rPr/>
              <w:t>Total other income, net from discontinued operations</w:t>
            </w:r>
          </w:p>
        </w:tc>
        <w:tc>
          <w:tcPr>
            <w:tcW w:w="60"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4,947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(4,947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11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liquidation of our formerly wholly owned subsidiary and the subsequent deconsolidation thereof in January 2025 resulted in a $4.9 million gain on deconsolidation during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critical accounting policies are those policies which require the most significant judgments and estimates in the preparation of our consolidated financial statements. We evaluate our estimates, judgments, and assumptions on an ongoing basis. Actual results may differ from these estimates under different assumptions or conditions. A summary of our critical accounting policies is presented in Part II, Item 7, of our Annual Report on Form 10-K for the year ended December 31, 2025 and Note 2 to our unaudited consolidated financial statements included elsewhere in this Quarterly Report on Form 10-Q. There have been no material changes to our critical accounting policies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8" w:name="ns_010"/>
      <w:bookmarkEnd w:id="518"/>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provide information in response to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9" w:name="ns_011"/>
      <w:bookmarkEnd w:id="519"/>
      <w:r>
        <w:rPr>
          <w:rFonts w:ascii="Times New Roman;Times;Serif" w:hAnsi="Times New Roman;Times;Serif"/>
          <w:b/>
          <w:i w:val="false"/>
          <w:caps w:val="false"/>
          <w:smallCaps w:val="false"/>
          <w:sz w:val="20"/>
        </w:rPr>
        <w:t>Item 4.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chief executive officer and principal financial and accounting officer, we conducted an evaluation of the effectiveness, as of June 30, 2026, of our disclosure controls and procedures, as defined in Rules 13a-15(e) and 15d-15(e) under the Securities Exchange Act of 1934, as amended, or the Exchange Act. Based upon such evaluation, our chief executive officer and principal financial and accounting officer have concluded that, as of June 30, 2026, our disclosure controls and procedures were effective to provide reasonable assurance that the information we are required to disclose in our filings with the Securities and Exchange Commission, or SEC, under the Exchange Act (i) is recorded, processed, summarized and reported within the time periods specified in the SEC’s rules and forms, and (ii) accumulated and communicated to our management, including our chief executive officer and principal financial and accounting officer, as appropriate to allow timely decisions regarding required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Fitters Sdn. Bhd. on September 12, 2025, there have been some changes in internal control over financial reporting. However, these changes have not materially affected our internal controls over financial reporting for the quarter ended June 30, 2026. As we progress with our integration of Fitters, we will continue to evaluate our internal controls processes to ascertain if any changes have materially affected, or are reasonably likely to materially affect, our internal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Inherent Limitation on the Effectiveness of Internal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ensure that such improvements will be sufficient to provide us with effective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0" w:name="ns_012"/>
      <w:bookmarkEnd w:id="520"/>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1" w:name="ns_013"/>
      <w:bookmarkEnd w:id="521"/>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about May 13, 2026, David Lazar (“Lazar”), a self-described activist investor and former interim CEO of Cyclacel Pharmaceuticals, Inc., brought an action in the Supreme Court of the State of New York, New York County, against Datuk Dr. Doris Wong Sing Ee, the current CEO and Executive Director of Bio Green Med Solution, Inc., f/k/a Cyclacel Pharmaceuticals, Inc. (the “Company”), Kiu Cu Seng, Kwang Fock Chong, Inigo Angel Laurduraj, and Dr. Satis Waran Nair Krishnan, all of whom are members of the Board of Directors of the Company, titled David Lazar v. Datuk Dr. Doris Wong Sing Ee, Kiu Cu Seng, Kwang Fock Chong, Inigo Angel Laurduraj, and Dr. Satis Waran Nair Krishnan, Index No. 652797/2026 (the “2026 Action”). The Company is not a party to the 2026 Action. The 2026 Action alleges two causes of action for breach of fiduciary duty and seeks damages in the total amount of approximately $12 million. All defendants have moved to dismiss the 2026 Action, which motion is currently sub judice. The Company believes the 2026 Action is without merit. All defendants in the 2026 Action are covered under the Company’s directors’ and officers’ liability insurance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about September 2, 2025, Lazar brought a separate action in the Supreme Court of the State of New York, New York County, against Datuk Dr. Doris Wong Sing Ee, titled David Lazar v. Datuk Dr. Doris Wong Sing Ee, Index No. 655184/2025 (the “2025 Action”). The Company is not a party to the 2025 Action. The complaint alleged four causes of action: breach of contract, breach of implied covenant of good faith and fair dealing, conversion, and unjust enrichment, and seeks damages in the total amount of $629,501.36. The defendant brought a motion to dismiss, pursuant to which the Court dismissed all causes of action except the first cause of action for breach of contract. The defendant is currently appealing the denial of the motion to dismiss that cause of action. The 2025 Action is in the early stages of discovery. The Company believes the 2025 Action is without merit. Wong is covered under the Company’s directors’ and officers’ liability insurance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that the ultimate resolution of these matters will have a material adverse effect on its financial condition, results of operations, or cash flows; however, litigation is inherently uncertain and there can be no assurance that these matters will be resolved favorably. No amounts have been accrued for these matters as of the date of this filing, as the Company has determined that a loss is not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2" w:name="ns_014"/>
      <w:bookmarkEnd w:id="522"/>
      <w:r>
        <w:rPr>
          <w:rFonts w:ascii="Times New Roman;Times;Serif" w:hAnsi="Times New Roman;Times;Serif"/>
          <w:b/>
          <w:i w:val="false"/>
          <w:caps w:val="false"/>
          <w:smallCaps w:val="false"/>
          <w:sz w:val="20"/>
        </w:rPr>
        <w:t>Item 1A. Risk Factors</w:t>
      </w:r>
    </w:p>
    <w:p>
      <w:pPr>
        <w:pStyle w:val="TextBody"/>
        <w:bidi w:val="0"/>
        <w:spacing w:before="0" w:after="0"/>
        <w:ind w:left="0" w:right="0" w:firstLine="41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our risk factors contained in our Annual Report on Form 10-K for the year ended December 31, 2025. For a further discussion of our Risk Factors, refer to Part I, Item 1A, “Risk Factors,” of our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3" w:name="ns_015"/>
      <w:bookmarkEnd w:id="523"/>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2026, the Company entered into a Securities Purchase Agreement (the “Purchase Agreement”) with certain foreign accredited investors (the “Investors”), pursuant to which the Investors agreed to purchase from the Company an aggregate of 1,103,338 shares of Common Stock, par value $0.001 (the “Shares”) of the Company at a purchase price of $0.72 per share for aggregate gross proceeds of $794,403, subject to the terms and conditions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entry into the Purchase Agreement, the Company entered into a Registration Rights Agreement (the “Registration Rights Agreement”) with the Investors for the registration for resale of the Shares pursuant to a registration statement (the “Registration Statement”) to be filed with the Securities and Exchange Commission (the “SEC”). Following the effectiveness of the resale Registration Statement, the Company is obligated to keep Registration Statement continuously effective from the date on which the SEC declares the Registration Statement effective until such date that all Registrable Securities (as such term is defined in the Registration Rights Agreement) covered by such Registration Statement have been sold pursuant to a registration statement under the Securities Act of 1933, as amended (the “Securities Act”), or under Rule 144 as promulgated by the SEC under the Securities Act, or otherwise shall have ceased to be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4" w:name="ns_016"/>
      <w:bookmarkEnd w:id="524"/>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5" w:name="ns_017"/>
      <w:bookmarkEnd w:id="525"/>
      <w:r>
        <w:rPr>
          <w:rFonts w:ascii="Times New Roman;Times;Serif" w:hAnsi="Times New Roman;Times;Serif"/>
          <w:b/>
          <w:i w:val="false"/>
          <w:caps w:val="false"/>
          <w:smallCaps w:val="false"/>
          <w:sz w:val="20"/>
        </w:rPr>
        <w:t>Item 4. Mine Safety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6" w:name="ns_018"/>
      <w:bookmarkEnd w:id="526"/>
      <w:r>
        <w:rPr>
          <w:rFonts w:ascii="Times New Roman;Times;Serif" w:hAnsi="Times New Roman;Times;Serif"/>
          <w:b/>
          <w:i w:val="false"/>
          <w:caps w:val="false"/>
          <w:smallCaps w:val="false"/>
          <w:sz w:val="20"/>
        </w:rPr>
        <w:t>Item 5. Other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7" w:name="ns_019"/>
      <w:bookmarkEnd w:id="527"/>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15"/>
        <w:gridCol w:w="125"/>
        <w:gridCol w:w="9165"/>
      </w:tblGrid>
      <w:tr>
        <w:trPr/>
        <w:tc>
          <w:tcPr>
            <w:tcW w:w="91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Number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5"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Securities Exchange Act Rule 13a-14(a) As Adopted Pursuant to Section 302 of the Sarbanes-Oxley Act of 2002.</w:t>
              </w:r>
            </w:hyperlink>
          </w:p>
        </w:tc>
      </w:tr>
      <w:tr>
        <w:trPr/>
        <w:tc>
          <w:tcPr>
            <w:tcW w:w="9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5"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Securities Exchange Act Rule 13a-14(a) As Adopted Pursuant to Section 302 of the Sarbanes-Oxley Act of 2002.</w:t>
              </w:r>
            </w:hyperlink>
          </w:p>
        </w:tc>
      </w:tr>
      <w:tr>
        <w:trPr/>
        <w:tc>
          <w:tcPr>
            <w:tcW w:w="9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5"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pursuant to Section 906 of the Sarbanes-Oxley Act of 2002.</w:t>
              </w:r>
            </w:hyperlink>
          </w:p>
        </w:tc>
      </w:tr>
      <w:tr>
        <w:trPr/>
        <w:tc>
          <w:tcPr>
            <w:tcW w:w="9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5" w:type="dxa"/>
            <w:tcBorders/>
            <w:tcMar>
              <w:bottom w:w="0" w:type="dxa"/>
            </w:tcM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Principal Financial Officer pursuant to Section 906 of the Sarbanes-Oxley Act of 2002.</w:t>
              </w:r>
            </w:hyperlink>
          </w:p>
        </w:tc>
      </w:tr>
      <w:tr>
        <w:trPr/>
        <w:tc>
          <w:tcPr>
            <w:tcW w:w="9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materials from Bio Green Med Solution, Inc.’s Quarterly Report on Form 10-Q for the period ended June 30, 2026, formatted in iXBRL (Inline eXtensible Business Reporting Language): (i) the Consolidated Statements of Income, (ii) the Consolidated Balance Sheets, (iii) the Consolidated Statements of Cash Flows, and (iv) Notes to Consolidated Financial Statements.</w:t>
            </w:r>
          </w:p>
        </w:tc>
      </w:tr>
      <w:tr>
        <w:trPr/>
        <w:tc>
          <w:tcPr>
            <w:tcW w:w="9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 page from the Company’s Quarterly Report on Form 10-Q for the quarter ended June 30, 2026, formatted in Inline eXtensible Business Reporting Language (included with Exhibit 101).</w:t>
            </w:r>
          </w:p>
        </w:tc>
      </w:tr>
      <w:tr>
        <w:trPr/>
        <w:tc>
          <w:tcPr>
            <w:tcW w:w="9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6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9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contract or compensatory plans or agreements.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28" w:name="ns_020"/>
      <w:bookmarkEnd w:id="528"/>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w:t>
      </w:r>
    </w:p>
    <w:p>
      <w:pPr>
        <w:pStyle w:val="TextBody"/>
        <w:bidi w:val="0"/>
        <w:spacing w:before="0" w:after="0"/>
        <w:ind w:left="0" w:right="0" w:firstLine="720"/>
        <w:jc w:val="left"/>
        <w:rPr>
          <w:caps w:val="false"/>
          <w:smallCaps w:val="false"/>
        </w:rPr>
      </w:pPr>
      <w:r>
        <w:rPr>
          <w:caps w:val="false"/>
          <w:smallCaps w:val="false"/>
        </w:rPr>
        <w:t> </w:t>
      </w:r>
    </w:p>
    <w:tbl>
      <w:tblPr>
        <w:tblW w:w="6060" w:type="dxa"/>
        <w:jc w:val="left"/>
        <w:tblInd w:w="0" w:type="dxa"/>
        <w:shd w:fill="FFFFFF" w:val="clear"/>
        <w:tblLayout w:type="fixed"/>
        <w:tblCellMar>
          <w:top w:w="0" w:type="dxa"/>
          <w:left w:w="0" w:type="dxa"/>
          <w:bottom w:w="0" w:type="dxa"/>
          <w:right w:w="0" w:type="dxa"/>
        </w:tblCellMar>
      </w:tblPr>
      <w:tblGrid>
        <w:gridCol w:w="1865"/>
        <w:gridCol w:w="320"/>
        <w:gridCol w:w="3875"/>
      </w:tblGrid>
      <w:tr>
        <w:trPr/>
        <w:tc>
          <w:tcPr>
            <w:tcW w:w="1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5"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tc>
      </w:tr>
      <w:tr>
        <w:trPr/>
        <w:tc>
          <w:tcPr>
            <w:tcW w:w="1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Datuk Dr. Doris Wong</w:t>
            </w:r>
          </w:p>
        </w:tc>
      </w:tr>
      <w:tr>
        <w:trPr/>
        <w:tc>
          <w:tcPr>
            <w:tcW w:w="1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r>
      <w:tr>
        <w:trPr/>
        <w:tc>
          <w:tcPr>
            <w:tcW w:w="1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shd w:fill="FFFFFF" w:val="clear"/>
        <w:bidi w:val="0"/>
        <w:spacing w:before="0" w:after="0"/>
        <w:ind w:left="0" w:right="0" w:hanging="0"/>
        <w:jc w:val="right"/>
        <w:rPr>
          <w:caps w:val="false"/>
          <w:smallCaps w:val="false"/>
        </w:rPr>
      </w:pPr>
      <w:bookmarkStart w:id="529" w:name="ex31-1.htm"/>
      <w:bookmarkStart w:id="530" w:name="ksex311"/>
      <w:bookmarkEnd w:id="529"/>
      <w:bookmarkEnd w:id="530"/>
      <w:r>
        <w:rPr>
          <w:caps w:val="false"/>
          <w:smallCaps w:val="false"/>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Datuk Dr. Doris Wong, certify that: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six months ended June 30, 2026 of Bio Green Med Solution, Inc.;</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omitted pursuant to SEC Release Nos. 33-8238/34-47986 and 33-8392/34-49313);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4545" w:type="dxa"/>
        <w:jc w:val="left"/>
        <w:tblInd w:w="0" w:type="dxa"/>
        <w:shd w:fill="FFFFFF" w:val="clear"/>
        <w:tblLayout w:type="fixed"/>
        <w:tblCellMar>
          <w:top w:w="0" w:type="dxa"/>
          <w:left w:w="0" w:type="dxa"/>
          <w:bottom w:w="0" w:type="dxa"/>
          <w:right w:w="0" w:type="dxa"/>
        </w:tblCellMar>
      </w:tblPr>
      <w:tblGrid>
        <w:gridCol w:w="1865"/>
        <w:gridCol w:w="320"/>
        <w:gridCol w:w="2360"/>
      </w:tblGrid>
      <w:tr>
        <w:trPr/>
        <w:tc>
          <w:tcPr>
            <w:tcW w:w="18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3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8"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Datuk Dr. Doris Wong</w:t>
            </w:r>
          </w:p>
        </w:tc>
      </w:tr>
      <w:tr>
        <w:trPr/>
        <w:tc>
          <w:tcPr>
            <w:tcW w:w="18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3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r>
      <w:tr>
        <w:trPr/>
        <w:tc>
          <w:tcPr>
            <w:tcW w:w="18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3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3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531" w:name="ex31-2.htm"/>
      <w:bookmarkStart w:id="532" w:name="ksex312"/>
      <w:bookmarkEnd w:id="531"/>
      <w:bookmarkEnd w:id="532"/>
      <w:r>
        <w:rPr>
          <w:caps w:val="false"/>
          <w:smallCaps w:val="false"/>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Kiu Cu Seng, certify that:</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six months ended June 30, 2026 of Bio Green Med Solution, Inc.;</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omitted pursuant to SEC Release Nos. 33-8238/34-47986 and 33-8392/34-49313);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4485" w:type="dxa"/>
        <w:jc w:val="left"/>
        <w:tblInd w:w="0" w:type="dxa"/>
        <w:shd w:fill="FFFFFF" w:val="clear"/>
        <w:tblLayout w:type="fixed"/>
        <w:tblCellMar>
          <w:top w:w="0" w:type="dxa"/>
          <w:left w:w="0" w:type="dxa"/>
          <w:bottom w:w="0" w:type="dxa"/>
          <w:right w:w="0" w:type="dxa"/>
        </w:tblCellMar>
      </w:tblPr>
      <w:tblGrid>
        <w:gridCol w:w="1865"/>
        <w:gridCol w:w="320"/>
        <w:gridCol w:w="2300"/>
      </w:tblGrid>
      <w:tr>
        <w:trPr/>
        <w:tc>
          <w:tcPr>
            <w:tcW w:w="18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3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00" w:type="dxa"/>
            <w:tcBorders>
              <w:bottom w:val="single" w:sz="8"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Kiu Cu Seng</w:t>
            </w:r>
          </w:p>
        </w:tc>
      </w:tr>
      <w:tr>
        <w:trPr/>
        <w:tc>
          <w:tcPr>
            <w:tcW w:w="18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3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r>
      <w:tr>
        <w:trPr/>
        <w:tc>
          <w:tcPr>
            <w:tcW w:w="18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3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3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33" w:name="ex32-1.htm"/>
      <w:bookmarkStart w:id="534" w:name="ksex321"/>
      <w:bookmarkEnd w:id="533"/>
      <w:bookmarkEnd w:id="534"/>
      <w:r>
        <w:rPr>
          <w:caps w:val="false"/>
          <w:smallCaps w:val="false"/>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Bio Green Med Solution, Inc. (the “Company”) for the quarter ended June 30, 2026, as filed with the Securities and Exchange Commission (the “Report”), I, Datuk Dr. Doris Wong, Chief Executive Officer of the Company, certify, pursuant to 18 U.S.C. §1350, as adopted pursuant to Section 906 of the Sarbanes-Oxley Act of 2002, that:</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my knowledge, the information contained in the Report fairly presents, in all material respects, the financial condition and results of operations of the Company as of and for the period covered by the report.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4575" w:type="dxa"/>
        <w:jc w:val="left"/>
        <w:tblInd w:w="0" w:type="dxa"/>
        <w:shd w:fill="FFFFFF" w:val="clear"/>
        <w:tblLayout w:type="fixed"/>
        <w:tblCellMar>
          <w:top w:w="0" w:type="dxa"/>
          <w:left w:w="0" w:type="dxa"/>
          <w:bottom w:w="0" w:type="dxa"/>
          <w:right w:w="0" w:type="dxa"/>
        </w:tblCellMar>
      </w:tblPr>
      <w:tblGrid>
        <w:gridCol w:w="1865"/>
        <w:gridCol w:w="320"/>
        <w:gridCol w:w="2390"/>
      </w:tblGrid>
      <w:tr>
        <w:trPr/>
        <w:tc>
          <w:tcPr>
            <w:tcW w:w="18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3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90" w:type="dxa"/>
            <w:tcBorders>
              <w:bottom w:val="single" w:sz="8"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Datuk Dr. Doris Wong</w:t>
            </w:r>
          </w:p>
        </w:tc>
      </w:tr>
      <w:tr>
        <w:trPr/>
        <w:tc>
          <w:tcPr>
            <w:tcW w:w="18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3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r>
      <w:tr>
        <w:trPr/>
        <w:tc>
          <w:tcPr>
            <w:tcW w:w="18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3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390"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35" w:name="ex32-2.htm"/>
      <w:bookmarkStart w:id="536" w:name="ksex322"/>
      <w:bookmarkEnd w:id="535"/>
      <w:bookmarkEnd w:id="536"/>
      <w:r>
        <w:rPr>
          <w:caps w:val="false"/>
          <w:smallCaps w:val="false"/>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Bio Green Med Solution, Inc. (the “Company”) for the quarter ended June 30, 2026, as filed with the Securities and Exchange Commission (the “Report”), I, Kiu Cu Seng, Chief Financial Officer of the Company, certify, pursuant to 18 U.S.C. §1350, as adopted pursuant to Section 906 of the Sarbanes-Oxley Act of 2002, that:</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my knowledge, the information contained in the Report fairly presents, in all material respects, the financial condition and results of operations of the Company as of and for the period covered by the report.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4590" w:type="dxa"/>
        <w:jc w:val="left"/>
        <w:tblInd w:w="0" w:type="dxa"/>
        <w:shd w:fill="FFFFFF" w:val="clear"/>
        <w:tblLayout w:type="fixed"/>
        <w:tblCellMar>
          <w:top w:w="0" w:type="dxa"/>
          <w:left w:w="0" w:type="dxa"/>
          <w:bottom w:w="0" w:type="dxa"/>
          <w:right w:w="0" w:type="dxa"/>
        </w:tblCellMar>
      </w:tblPr>
      <w:tblGrid>
        <w:gridCol w:w="1865"/>
        <w:gridCol w:w="320"/>
        <w:gridCol w:w="2405"/>
      </w:tblGrid>
      <w:tr>
        <w:trPr/>
        <w:tc>
          <w:tcPr>
            <w:tcW w:w="18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3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05" w:type="dxa"/>
            <w:tcBorders>
              <w:bottom w:val="single" w:sz="8"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Kiu Cu Seng</w:t>
            </w:r>
          </w:p>
        </w:tc>
      </w:tr>
      <w:tr>
        <w:trPr/>
        <w:tc>
          <w:tcPr>
            <w:tcW w:w="18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r>
      <w:tr>
        <w:trPr/>
        <w:tc>
          <w:tcPr>
            <w:tcW w:w="18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0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15495</Words>
  <Characters>82773</Characters>
  <CharactersWithSpaces>99774</CharactersWithSpaces>
  <Paragraphs>5286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